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39E86" w14:textId="77777777" w:rsidR="00A46D28" w:rsidRDefault="00D54863">
      <w:pPr>
        <w:pBdr>
          <w:top w:val="nil"/>
          <w:left w:val="nil"/>
          <w:bottom w:val="nil"/>
          <w:right w:val="nil"/>
          <w:between w:val="nil"/>
        </w:pBdr>
        <w:spacing w:after="0" w:line="36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Embodied Paradigms: Performative Responses to Byzantium</w:t>
      </w:r>
    </w:p>
    <w:p w14:paraId="67752EAE" w14:textId="77777777" w:rsidR="00A46D28" w:rsidRDefault="00D54863">
      <w:pPr>
        <w:pBdr>
          <w:top w:val="nil"/>
          <w:left w:val="nil"/>
          <w:bottom w:val="nil"/>
          <w:right w:val="nil"/>
          <w:between w:val="nil"/>
        </w:pBdr>
        <w:spacing w:after="0"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Niamh Bhalla and Dimitra </w:t>
      </w:r>
      <w:proofErr w:type="spellStart"/>
      <w:r>
        <w:rPr>
          <w:rFonts w:ascii="Times New Roman" w:eastAsia="Times New Roman" w:hAnsi="Times New Roman" w:cs="Times New Roman"/>
          <w:color w:val="000000"/>
        </w:rPr>
        <w:t>Kotoula</w:t>
      </w:r>
      <w:proofErr w:type="spellEnd"/>
    </w:p>
    <w:p w14:paraId="158CA54D" w14:textId="77777777" w:rsidR="00A46D28" w:rsidRDefault="00A46D28">
      <w:pPr>
        <w:pBdr>
          <w:top w:val="nil"/>
          <w:left w:val="nil"/>
          <w:bottom w:val="nil"/>
          <w:right w:val="nil"/>
          <w:between w:val="nil"/>
        </w:pBdr>
        <w:spacing w:after="0" w:line="360" w:lineRule="auto"/>
        <w:rPr>
          <w:rFonts w:ascii="Times New Roman" w:eastAsia="Times New Roman" w:hAnsi="Times New Roman" w:cs="Times New Roman"/>
          <w:color w:val="000000"/>
        </w:rPr>
      </w:pPr>
    </w:p>
    <w:p w14:paraId="4FAE3784" w14:textId="77777777" w:rsidR="00A46D28" w:rsidRDefault="00A46D28">
      <w:pPr>
        <w:pBdr>
          <w:top w:val="nil"/>
          <w:left w:val="nil"/>
          <w:bottom w:val="nil"/>
          <w:right w:val="nil"/>
          <w:between w:val="nil"/>
        </w:pBdr>
        <w:spacing w:after="0" w:line="360" w:lineRule="auto"/>
        <w:rPr>
          <w:rFonts w:ascii="Times New Roman" w:eastAsia="Times New Roman" w:hAnsi="Times New Roman" w:cs="Times New Roman"/>
          <w:color w:val="000000"/>
        </w:rPr>
      </w:pPr>
    </w:p>
    <w:p w14:paraId="699493CC" w14:textId="77777777" w:rsidR="00A46D28" w:rsidRDefault="00D54863" w:rsidP="00A357C8">
      <w:pPr>
        <w:pBdr>
          <w:top w:val="nil"/>
          <w:left w:val="nil"/>
          <w:bottom w:val="nil"/>
          <w:right w:val="nil"/>
          <w:between w:val="nil"/>
        </w:pBdr>
        <w:spacing w:after="0" w:line="480" w:lineRule="auto"/>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ABSTRACT</w:t>
      </w:r>
    </w:p>
    <w:p w14:paraId="03F6F8F1" w14:textId="1B1FFF52" w:rsidR="00A46D28" w:rsidRDefault="00D54863" w:rsidP="00A357C8">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 xml:space="preserve">Byzantine performativity has echoed through the ages, mingling with other traditions in ways both enduring and nebulous. This introductory essay to the final section of the Handbook explores Byzantine reception through the lens of performativity, arguing that performance constitutes both a defining characteristic of the culture of the eastern Roman Empire and a synthesizing thread connecting Byzantium to its modern receptions. Byzantium is discussed as a performative culture par excellence, encompassing art, architecture, liturgy, imperial ceremonial, social rituals and more. Byzantine visual arts themselves are argued to have functioned as performances that intersected with embodied practices, coalescing with ritual and ceremonial life to express theological and political concepts. Such inherited embodied paradigms have manifested across diverse modern performance types, demonstrating citationality in the Derridean sense. Contemporary artists have brought Byzantine iconography into the streets through graffiti and street art, while </w:t>
      </w:r>
      <w:r>
        <w:rPr>
          <w:rFonts w:ascii="Times New Roman" w:eastAsia="Times New Roman" w:hAnsi="Times New Roman" w:cs="Times New Roman"/>
          <w:highlight w:val="yellow"/>
        </w:rPr>
        <w:t>others</w:t>
      </w:r>
      <w:r w:rsidR="006A1AF3">
        <w:rPr>
          <w:rFonts w:ascii="Times New Roman" w:eastAsia="Times New Roman" w:hAnsi="Times New Roman" w:cs="Times New Roman"/>
          <w:highlight w:val="yellow"/>
        </w:rPr>
        <w:t xml:space="preserve"> </w:t>
      </w:r>
      <w:r>
        <w:rPr>
          <w:rFonts w:ascii="Times New Roman" w:eastAsia="Times New Roman" w:hAnsi="Times New Roman" w:cs="Times New Roman"/>
          <w:highlight w:val="yellow"/>
        </w:rPr>
        <w:t>evolved</w:t>
      </w:r>
      <w:r>
        <w:rPr>
          <w:rFonts w:ascii="Times New Roman" w:eastAsia="Times New Roman" w:hAnsi="Times New Roman" w:cs="Times New Roman"/>
          <w:color w:val="000000"/>
          <w:highlight w:val="yellow"/>
        </w:rPr>
        <w:t xml:space="preserve"> Byzantine traditions as socio-political commentary, radically reworking Byzantine themes to address marginalization, war, and modern technological realities. Such creative receptions – spanning jewellery, haute couture, video games, film and beyond – reveal dissonant yet compelling engagements with the Byzantine tradition. The essay introduces an expanded field of Byzantine performativity. Far from declining into obsolescence, Byzantium's performative legacy continues to generate and inspire; its reverberating, performative Byzantinisms live on as fecund heuristics even now.</w:t>
      </w:r>
    </w:p>
    <w:p w14:paraId="34B8E462" w14:textId="77777777" w:rsidR="00A46D28" w:rsidRDefault="00A46D28" w:rsidP="00A357C8">
      <w:pPr>
        <w:pBdr>
          <w:top w:val="nil"/>
          <w:left w:val="nil"/>
          <w:bottom w:val="nil"/>
          <w:right w:val="nil"/>
          <w:between w:val="nil"/>
        </w:pBdr>
        <w:spacing w:after="0" w:line="480" w:lineRule="auto"/>
        <w:jc w:val="both"/>
        <w:rPr>
          <w:rFonts w:ascii="Times New Roman" w:eastAsia="Times New Roman" w:hAnsi="Times New Roman" w:cs="Times New Roman"/>
          <w:highlight w:val="yellow"/>
        </w:rPr>
      </w:pPr>
    </w:p>
    <w:p w14:paraId="341E4B3C" w14:textId="77777777" w:rsidR="00A46D28" w:rsidRDefault="00D54863" w:rsidP="00A357C8">
      <w:pPr>
        <w:spacing w:line="240" w:lineRule="auto"/>
        <w:rPr>
          <w:rFonts w:ascii="Times New Roman" w:eastAsia="Times New Roman" w:hAnsi="Times New Roman" w:cs="Times New Roman"/>
          <w:highlight w:val="yellow"/>
        </w:rPr>
      </w:pPr>
      <w:r>
        <w:rPr>
          <w:rFonts w:ascii="Times New Roman" w:eastAsia="Times New Roman" w:hAnsi="Times New Roman" w:cs="Times New Roman"/>
          <w:highlight w:val="yellow"/>
        </w:rPr>
        <w:lastRenderedPageBreak/>
        <w:t>Niamh Bhalla is Assistant Dean, Associate Professor of Art History and Director for Belonging at Northeastern University, London.</w:t>
      </w:r>
    </w:p>
    <w:p w14:paraId="09390927" w14:textId="77777777" w:rsidR="00A46D28" w:rsidRPr="00A357C8" w:rsidRDefault="00D54863" w:rsidP="00A357C8">
      <w:pPr>
        <w:spacing w:after="0" w:line="240" w:lineRule="auto"/>
        <w:rPr>
          <w:rFonts w:ascii="Times New Roman" w:eastAsia="Times New Roman" w:hAnsi="Times New Roman" w:cs="Times New Roman"/>
        </w:rPr>
      </w:pPr>
      <w:r>
        <w:rPr>
          <w:rFonts w:ascii="Times New Roman" w:eastAsia="Times New Roman" w:hAnsi="Times New Roman" w:cs="Times New Roman"/>
          <w:highlight w:val="yellow"/>
        </w:rPr>
        <w:t xml:space="preserve">Dimitra </w:t>
      </w:r>
      <w:proofErr w:type="spellStart"/>
      <w:r>
        <w:rPr>
          <w:rFonts w:ascii="Times New Roman" w:eastAsia="Times New Roman" w:hAnsi="Times New Roman" w:cs="Times New Roman"/>
          <w:highlight w:val="yellow"/>
        </w:rPr>
        <w:t>Kotoula</w:t>
      </w:r>
      <w:proofErr w:type="spellEnd"/>
      <w:r>
        <w:rPr>
          <w:rFonts w:ascii="Times New Roman" w:eastAsia="Times New Roman" w:hAnsi="Times New Roman" w:cs="Times New Roman"/>
          <w:highlight w:val="yellow"/>
        </w:rPr>
        <w:t xml:space="preserve"> is an Art-Historian at the Hellenic Ministry of Culture and Professor of Byzantine and Medieval Art History at A College Year in Athens.</w:t>
      </w:r>
    </w:p>
    <w:p w14:paraId="6C20D42A" w14:textId="77777777" w:rsidR="00A46D28" w:rsidRDefault="00A46D28"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p>
    <w:p w14:paraId="65B696FC" w14:textId="1152C5AF" w:rsidR="00A46D28" w:rsidRDefault="00D54863" w:rsidP="00A7181B">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28CB383C" w14:textId="7C093DA6" w:rsidR="00A357C8" w:rsidRDefault="00D54863" w:rsidP="00A357C8">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St Jude, Jude the Apostle or the Apostle Thaddeus, enters cultural history as the carrier of the </w:t>
      </w:r>
      <w:proofErr w:type="spellStart"/>
      <w:r>
        <w:rPr>
          <w:rFonts w:ascii="Times New Roman" w:eastAsia="Times New Roman" w:hAnsi="Times New Roman" w:cs="Times New Roman"/>
          <w:i/>
          <w:iCs/>
          <w:color w:val="000000"/>
        </w:rPr>
        <w:t>acheiropoietos</w:t>
      </w:r>
      <w:proofErr w:type="spellEnd"/>
      <w:r>
        <w:rPr>
          <w:rFonts w:ascii="Times New Roman" w:eastAsia="Times New Roman" w:hAnsi="Times New Roman" w:cs="Times New Roman"/>
          <w:i/>
          <w:iCs/>
          <w:color w:val="000000"/>
        </w:rPr>
        <w:t xml:space="preserve"> </w:t>
      </w:r>
      <w:r>
        <w:rPr>
          <w:rFonts w:ascii="Times New Roman" w:eastAsia="Times New Roman" w:hAnsi="Times New Roman" w:cs="Times New Roman"/>
          <w:color w:val="000000"/>
        </w:rPr>
        <w:t>image of Christ’s face, which was miraculously inscribed on a piece of linen,</w:t>
      </w:r>
      <w:r w:rsidR="006A1AF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to the sick king of Edessa, Abgar.</w:t>
      </w:r>
      <w:r w:rsidR="00A7181B">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Later accounts based on an earlier narration recorded by Eusebius in his fourth-century </w:t>
      </w:r>
      <w:r>
        <w:rPr>
          <w:rFonts w:ascii="Times New Roman" w:eastAsia="Times New Roman" w:hAnsi="Times New Roman" w:cs="Times New Roman"/>
          <w:i/>
          <w:iCs/>
          <w:color w:val="000000"/>
        </w:rPr>
        <w:t>Ecclesiastical History</w:t>
      </w:r>
      <w:r>
        <w:rPr>
          <w:rFonts w:ascii="Times New Roman" w:eastAsia="Times New Roman" w:hAnsi="Times New Roman" w:cs="Times New Roman"/>
          <w:color w:val="000000"/>
        </w:rPr>
        <w:t xml:space="preserve"> narrate this story of the Image of Edessa or the Holy Mandylion.</w:t>
      </w:r>
      <w:r w:rsidR="00A357C8">
        <w:rPr>
          <w:rFonts w:ascii="Times New Roman" w:eastAsia="Times New Roman" w:hAnsi="Times New Roman" w:cs="Times New Roman"/>
          <w:color w:val="000000"/>
          <w:vertAlign w:val="superscript"/>
        </w:rPr>
        <w:endnoteReference w:id="1"/>
      </w:r>
      <w:r w:rsidR="00A357C8">
        <w:rPr>
          <w:rFonts w:ascii="Times New Roman" w:eastAsia="Times New Roman" w:hAnsi="Times New Roman" w:cs="Times New Roman"/>
          <w:color w:val="000000"/>
        </w:rPr>
        <w:t xml:space="preserve"> Both an Orthodox and a Catholic saint, the reputation of St </w:t>
      </w:r>
      <w:proofErr w:type="spellStart"/>
      <w:r w:rsidR="00A357C8">
        <w:rPr>
          <w:rFonts w:ascii="Times New Roman" w:eastAsia="Times New Roman" w:hAnsi="Times New Roman" w:cs="Times New Roman"/>
          <w:color w:val="000000"/>
        </w:rPr>
        <w:t>Judeas</w:t>
      </w:r>
      <w:proofErr w:type="spellEnd"/>
      <w:r w:rsidR="00A357C8">
        <w:rPr>
          <w:rFonts w:ascii="Times New Roman" w:eastAsia="Times New Roman" w:hAnsi="Times New Roman" w:cs="Times New Roman"/>
          <w:color w:val="000000"/>
        </w:rPr>
        <w:t xml:space="preserve"> the ‘Patron Saint of the Impossible’ – the salvager of hopeless causes, desperate situations and particularly grave misfortunes – was formed during the early years of Christianity. The celebrated tenth-century encaustic icon at the Monastery of St Catherine’s, Mount Sinai, preserves one of the earliest, if not the earliest, depiction of the apostle performing his ‘mission’.</w:t>
      </w:r>
      <w:r w:rsidR="00A357C8">
        <w:rPr>
          <w:rFonts w:ascii="Times New Roman" w:eastAsia="Times New Roman" w:hAnsi="Times New Roman" w:cs="Times New Roman"/>
          <w:color w:val="000000"/>
          <w:vertAlign w:val="superscript"/>
        </w:rPr>
        <w:endnoteReference w:id="2"/>
      </w:r>
      <w:r w:rsidR="00A357C8">
        <w:rPr>
          <w:rFonts w:ascii="Times New Roman" w:eastAsia="Times New Roman" w:hAnsi="Times New Roman" w:cs="Times New Roman"/>
          <w:color w:val="000000"/>
        </w:rPr>
        <w:t xml:space="preserve"> Centuries later,</w:t>
      </w:r>
      <w:r w:rsidR="00A7181B">
        <w:rPr>
          <w:rFonts w:ascii="Times New Roman" w:eastAsia="Times New Roman" w:hAnsi="Times New Roman" w:cs="Times New Roman"/>
          <w:color w:val="000000"/>
        </w:rPr>
        <w:t xml:space="preserve"> in 2015,</w:t>
      </w:r>
      <w:r w:rsidR="00A357C8">
        <w:rPr>
          <w:rFonts w:ascii="Times New Roman" w:eastAsia="Times New Roman" w:hAnsi="Times New Roman" w:cs="Times New Roman"/>
          <w:color w:val="000000"/>
        </w:rPr>
        <w:t xml:space="preserve"> Florence Welch and her band performed, as a song this time, the prayer to St Jude – an entrancing evocation of the saint of ‘lost causes’ rooted in the Byzantine tradition</w:t>
      </w:r>
      <w:r w:rsidR="00A7181B">
        <w:rPr>
          <w:rFonts w:ascii="Times New Roman" w:eastAsia="Times New Roman" w:hAnsi="Times New Roman" w:cs="Times New Roman"/>
          <w:color w:val="000000"/>
        </w:rPr>
        <w:t>:</w:t>
      </w:r>
      <w:r w:rsidR="00A357C8">
        <w:rPr>
          <w:rFonts w:ascii="Times New Roman" w:eastAsia="Times New Roman" w:hAnsi="Times New Roman" w:cs="Times New Roman"/>
          <w:color w:val="000000"/>
        </w:rPr>
        <w:t xml:space="preserve"> </w:t>
      </w:r>
      <w:r w:rsidR="00A7181B" w:rsidRPr="00A7181B">
        <w:rPr>
          <w:rFonts w:ascii="Times New Roman" w:eastAsia="Times New Roman" w:hAnsi="Times New Roman" w:cs="Times New Roman"/>
          <w:color w:val="000000"/>
        </w:rPr>
        <w:t>“St Jude, the patron saint of lost causes</w:t>
      </w:r>
      <w:r w:rsidR="00A7181B">
        <w:rPr>
          <w:rFonts w:ascii="Times New Roman" w:eastAsia="Times New Roman" w:hAnsi="Times New Roman" w:cs="Times New Roman"/>
          <w:color w:val="000000"/>
        </w:rPr>
        <w:t xml:space="preserve">. </w:t>
      </w:r>
      <w:r w:rsidR="00A7181B" w:rsidRPr="00A7181B">
        <w:rPr>
          <w:rFonts w:ascii="Times New Roman" w:eastAsia="Times New Roman" w:hAnsi="Times New Roman" w:cs="Times New Roman"/>
          <w:color w:val="000000"/>
        </w:rPr>
        <w:t>St Jude, maybe I’ve always been more comfortable in chaos</w:t>
      </w:r>
      <w:r w:rsidR="00A7181B">
        <w:rPr>
          <w:rFonts w:ascii="Times New Roman" w:eastAsia="Times New Roman" w:hAnsi="Times New Roman" w:cs="Times New Roman"/>
          <w:color w:val="000000"/>
        </w:rPr>
        <w:t>.</w:t>
      </w:r>
      <w:r w:rsidR="00A7181B" w:rsidRPr="00A7181B">
        <w:rPr>
          <w:rFonts w:ascii="Times New Roman" w:eastAsia="Times New Roman" w:hAnsi="Times New Roman" w:cs="Times New Roman"/>
          <w:color w:val="000000"/>
        </w:rPr>
        <w:t>”</w:t>
      </w:r>
      <w:r w:rsidR="00A7181B">
        <w:rPr>
          <w:rStyle w:val="EndnoteReference"/>
          <w:rFonts w:ascii="Times New Roman" w:eastAsia="Times New Roman" w:hAnsi="Times New Roman" w:cs="Times New Roman"/>
          <w:color w:val="000000"/>
        </w:rPr>
        <w:endnoteReference w:id="3"/>
      </w:r>
      <w:r w:rsidR="00A7181B">
        <w:rPr>
          <w:rFonts w:ascii="Times New Roman" w:eastAsia="Times New Roman" w:hAnsi="Times New Roman" w:cs="Times New Roman"/>
          <w:color w:val="000000"/>
        </w:rPr>
        <w:t xml:space="preserve"> </w:t>
      </w:r>
      <w:r w:rsidR="00A357C8">
        <w:rPr>
          <w:rFonts w:ascii="Times New Roman" w:eastAsia="Times New Roman" w:hAnsi="Times New Roman" w:cs="Times New Roman"/>
          <w:color w:val="000000"/>
        </w:rPr>
        <w:t>Byzantine performativity has echoed through the ages, mingling with other traditions in ways both enduring and nebulous.</w:t>
      </w:r>
    </w:p>
    <w:p w14:paraId="173924D9" w14:textId="77777777" w:rsidR="00A357C8" w:rsidRDefault="00A357C8" w:rsidP="00A357C8">
      <w:pPr>
        <w:pBdr>
          <w:top w:val="nil"/>
          <w:left w:val="nil"/>
          <w:bottom w:val="nil"/>
          <w:right w:val="nil"/>
          <w:between w:val="nil"/>
        </w:pBdr>
        <w:spacing w:after="0" w:line="480" w:lineRule="auto"/>
        <w:jc w:val="both"/>
        <w:rPr>
          <w:rFonts w:ascii="Times New Roman" w:eastAsia="Times New Roman" w:hAnsi="Times New Roman" w:cs="Times New Roman"/>
          <w:i/>
          <w:iCs/>
          <w:color w:val="000000"/>
        </w:rPr>
      </w:pPr>
      <w:r>
        <w:rPr>
          <w:rFonts w:ascii="Times New Roman" w:eastAsia="Times New Roman" w:hAnsi="Times New Roman" w:cs="Times New Roman"/>
          <w:color w:val="000000"/>
        </w:rPr>
        <w:tab/>
        <w:t xml:space="preserve">Modernist Greek painter, Yannis </w:t>
      </w:r>
      <w:proofErr w:type="spellStart"/>
      <w:r>
        <w:rPr>
          <w:rFonts w:ascii="Times New Roman" w:eastAsia="Times New Roman" w:hAnsi="Times New Roman" w:cs="Times New Roman"/>
          <w:color w:val="000000"/>
        </w:rPr>
        <w:t>Tsarouchis</w:t>
      </w:r>
      <w:proofErr w:type="spellEnd"/>
      <w:r>
        <w:rPr>
          <w:rFonts w:ascii="Times New Roman" w:eastAsia="Times New Roman" w:hAnsi="Times New Roman" w:cs="Times New Roman"/>
          <w:color w:val="000000"/>
        </w:rPr>
        <w:t xml:space="preserve"> (1910–89), who studied the painting of Byzantium in depth, compared in his </w:t>
      </w:r>
      <w:r>
        <w:rPr>
          <w:rFonts w:ascii="Times New Roman" w:eastAsia="Times New Roman" w:hAnsi="Times New Roman" w:cs="Times New Roman"/>
          <w:i/>
          <w:iCs/>
          <w:color w:val="000000"/>
        </w:rPr>
        <w:t xml:space="preserve">Lessons on Painting </w:t>
      </w:r>
      <w:r>
        <w:rPr>
          <w:rFonts w:ascii="Times New Roman" w:eastAsia="Times New Roman" w:hAnsi="Times New Roman" w:cs="Times New Roman"/>
          <w:color w:val="000000"/>
        </w:rPr>
        <w:t>the freedom of the arts of Byzantium to that of a “great contemporary actor” performing a role.</w:t>
      </w:r>
      <w:r>
        <w:rPr>
          <w:rFonts w:ascii="Times New Roman" w:eastAsia="Times New Roman" w:hAnsi="Times New Roman" w:cs="Times New Roman"/>
          <w:color w:val="000000"/>
          <w:vertAlign w:val="superscript"/>
        </w:rPr>
        <w:endnoteReference w:id="4"/>
      </w:r>
      <w:r>
        <w:rPr>
          <w:rFonts w:ascii="Times New Roman" w:eastAsia="Times New Roman" w:hAnsi="Times New Roman" w:cs="Times New Roman"/>
          <w:color w:val="000000"/>
        </w:rPr>
        <w:t xml:space="preserve"> Indeed performance and performativity were distinct and indelible markers of Byzantine life and culture.</w:t>
      </w:r>
      <w:r>
        <w:rPr>
          <w:rFonts w:ascii="Times New Roman" w:eastAsia="Times New Roman" w:hAnsi="Times New Roman" w:cs="Times New Roman"/>
          <w:color w:val="000000"/>
          <w:vertAlign w:val="superscript"/>
        </w:rPr>
        <w:endnoteReference w:id="5"/>
      </w:r>
      <w:r>
        <w:rPr>
          <w:rFonts w:ascii="Times New Roman" w:eastAsia="Times New Roman" w:hAnsi="Times New Roman" w:cs="Times New Roman"/>
          <w:color w:val="000000"/>
        </w:rPr>
        <w:t xml:space="preserve"> The culture of Byzantium can be defined as a </w:t>
      </w:r>
      <w:r>
        <w:rPr>
          <w:rFonts w:ascii="Times New Roman" w:eastAsia="Times New Roman" w:hAnsi="Times New Roman" w:cs="Times New Roman"/>
          <w:color w:val="000000"/>
        </w:rPr>
        <w:lastRenderedPageBreak/>
        <w:t xml:space="preserve">performative culture </w:t>
      </w:r>
      <w:r>
        <w:rPr>
          <w:rFonts w:ascii="Times New Roman" w:eastAsia="Times New Roman" w:hAnsi="Times New Roman" w:cs="Times New Roman"/>
          <w:i/>
          <w:iCs/>
          <w:color w:val="000000"/>
        </w:rPr>
        <w:t>par excellence</w:t>
      </w:r>
      <w:r>
        <w:rPr>
          <w:rFonts w:ascii="Times New Roman" w:eastAsia="Times New Roman" w:hAnsi="Times New Roman" w:cs="Times New Roman"/>
          <w:color w:val="000000"/>
        </w:rPr>
        <w:t>, from its art, architecture and liturgy to its imperial ceremonial, games and genders. Peter Meinecke has recently argued, imagination for the Byzantines – at least according to Patriarch Photios (ninth century) and John of Damascus (late sevent</w:t>
      </w:r>
      <w:r>
        <w:rPr>
          <w:rFonts w:ascii="Times New Roman" w:eastAsia="Times New Roman" w:hAnsi="Times New Roman" w:cs="Times New Roman"/>
        </w:rPr>
        <w:t>h-early eighth centuries)</w:t>
      </w:r>
      <w:r>
        <w:rPr>
          <w:rFonts w:ascii="Times New Roman" w:eastAsia="Times New Roman" w:hAnsi="Times New Roman" w:cs="Times New Roman"/>
          <w:color w:val="000000"/>
        </w:rPr>
        <w:t xml:space="preserve"> – communicated directly with the seat of thought and reason.</w:t>
      </w:r>
      <w:r>
        <w:rPr>
          <w:rFonts w:ascii="Times New Roman" w:eastAsia="Times New Roman" w:hAnsi="Times New Roman" w:cs="Times New Roman"/>
          <w:color w:val="000000"/>
          <w:vertAlign w:val="superscript"/>
        </w:rPr>
        <w:endnoteReference w:id="6"/>
      </w:r>
      <w:r>
        <w:rPr>
          <w:rFonts w:ascii="Times New Roman" w:eastAsia="Times New Roman" w:hAnsi="Times New Roman" w:cs="Times New Roman"/>
          <w:color w:val="000000"/>
        </w:rPr>
        <w:t xml:space="preserve"> Performances in Byzantium were accordingly both improvisational, spontaneous and imaginative or more formulaic and systematic. They varied in nature, as did the range of performative types. This concluding section of the Handbook examines Byzantine reception through the lens of performance. Performativity can be seen as a synthesizing and constituent thread woven through Byzantium and most Byzantinisms. Byzantine response is nothing if not performative like the culture from which it springs.</w:t>
      </w:r>
    </w:p>
    <w:p w14:paraId="06476483" w14:textId="77777777" w:rsidR="00A357C8" w:rsidRDefault="00A357C8" w:rsidP="00A357C8">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Theatrical enactments, texts, chants and hymns, gestures and clothing, music and miracles, the holy liturgy, and social, political and religious rituals were all performed in Byzantium. Byzantine sacred and secular life, both public and private, were punctuated with prestigious and official or merely every day, mundane performances and ceremonials that resonated and intersected in myriad ways. The visual arts were performances in and of themselves, for example, that coalesced with other embodied enactments. They could point to and comment upon the lived expression of a ritual or ceremonial as the embodied practice of an idea or concept. The personifications that decorate the cloisonné side panels of the lavish ceremonial ‘</w:t>
      </w:r>
      <w:proofErr w:type="spellStart"/>
      <w:r>
        <w:rPr>
          <w:rFonts w:ascii="Times New Roman" w:eastAsia="Times New Roman" w:hAnsi="Times New Roman" w:cs="Times New Roman"/>
          <w:color w:val="000000"/>
        </w:rPr>
        <w:t>Monomachus</w:t>
      </w:r>
      <w:proofErr w:type="spellEnd"/>
      <w:r>
        <w:rPr>
          <w:rFonts w:ascii="Times New Roman" w:eastAsia="Times New Roman" w:hAnsi="Times New Roman" w:cs="Times New Roman"/>
          <w:color w:val="000000"/>
        </w:rPr>
        <w:t xml:space="preserve"> Crown’ are identified as ‘Humility’ and ‘Truth’ by accompanying inscriptions. They embody and imply qualities that were supposed to characterize the Byzantine emperor and that should be practiced </w:t>
      </w:r>
      <w:r>
        <w:rPr>
          <w:rFonts w:ascii="Times New Roman" w:eastAsia="Times New Roman" w:hAnsi="Times New Roman" w:cs="Times New Roman"/>
        </w:rPr>
        <w:t>by the sovereign</w:t>
      </w:r>
      <w:r>
        <w:rPr>
          <w:rFonts w:ascii="Times New Roman" w:eastAsia="Times New Roman" w:hAnsi="Times New Roman" w:cs="Times New Roman"/>
          <w:color w:val="000000"/>
        </w:rPr>
        <w:t xml:space="preserve">. This can be compared also to the narthex mosaic in Hagia Sophia where the emperor, often identified with Leo VI the Wise, prostrates himself before the image of the enthroned </w:t>
      </w:r>
      <w:r>
        <w:rPr>
          <w:rFonts w:ascii="Times New Roman" w:eastAsia="Times New Roman" w:hAnsi="Times New Roman" w:cs="Times New Roman"/>
          <w:color w:val="000000"/>
        </w:rPr>
        <w:lastRenderedPageBreak/>
        <w:t xml:space="preserve">Christ in a gesture of humility and recognition of the truth of God’s sovereignty. Art intersected with life: the image resonated with imagined performative actions and the deportment of the emperor </w:t>
      </w:r>
      <w:r>
        <w:rPr>
          <w:rFonts w:ascii="Times New Roman" w:eastAsia="Times New Roman" w:hAnsi="Times New Roman" w:cs="Times New Roman"/>
        </w:rPr>
        <w:t>in space</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7"/>
      </w:r>
      <w:r>
        <w:rPr>
          <w:rFonts w:ascii="Times New Roman" w:eastAsia="Times New Roman" w:hAnsi="Times New Roman" w:cs="Times New Roman"/>
          <w:color w:val="000000"/>
        </w:rPr>
        <w:t xml:space="preserve"> Interestingly, President Barack Obama spoke at length about ‘humility’ and ‘truth’ during the 2015 National Prayer Breakfast in Washington, D.C., a long-standing ceremony attended by the Dalai Lama and other international spiritual </w:t>
      </w:r>
      <w:r>
        <w:rPr>
          <w:rFonts w:ascii="Times New Roman" w:eastAsia="Times New Roman" w:hAnsi="Times New Roman" w:cs="Times New Roman"/>
        </w:rPr>
        <w:t>leaders that</w:t>
      </w:r>
      <w:r>
        <w:rPr>
          <w:rFonts w:ascii="Times New Roman" w:eastAsia="Times New Roman" w:hAnsi="Times New Roman" w:cs="Times New Roman"/>
          <w:color w:val="000000"/>
        </w:rPr>
        <w:t xml:space="preserve"> has been held since 1953.</w:t>
      </w:r>
      <w:r>
        <w:rPr>
          <w:rFonts w:ascii="Times New Roman" w:eastAsia="Times New Roman" w:hAnsi="Times New Roman" w:cs="Times New Roman"/>
          <w:color w:val="000000"/>
          <w:vertAlign w:val="superscript"/>
        </w:rPr>
        <w:endnoteReference w:id="8"/>
      </w:r>
      <w:r>
        <w:rPr>
          <w:rFonts w:ascii="Times New Roman" w:eastAsia="Times New Roman" w:hAnsi="Times New Roman" w:cs="Times New Roman"/>
          <w:color w:val="000000"/>
        </w:rPr>
        <w:t xml:space="preserve"> He described these as the two most important virtues for a leader and their people when interacting with foreign nations and various religious group</w:t>
      </w:r>
      <w:r>
        <w:rPr>
          <w:rFonts w:ascii="Times New Roman" w:eastAsia="Times New Roman" w:hAnsi="Times New Roman" w:cs="Times New Roman"/>
        </w:rPr>
        <w:t>s.</w:t>
      </w:r>
    </w:p>
    <w:p w14:paraId="7BE7BA98" w14:textId="77777777" w:rsidR="00A357C8" w:rsidRDefault="00A357C8" w:rsidP="00A357C8">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The embodied paradigms of Byzantine reception have played out across an expanded field of performance types in the modern period, some of which are closer than others to original Byzantine iterations. Those examined in this section are analysed in terms of purpose, appeal, audiences, variations through time and in different spheres as well as socio-political contexts. The impact of such performances on the collective and public imagination in relation to Byzantium is also comprehensively examined. Ranging from film, plays, jewellery and TV, haute couture, world heritage practices and oriental secular music, to digital models of Constantinople’s Hagia Sofia in video games and performances of gender, the paradigms presented here offer a unique panorama of the diversity and protean character of these Byzantine receptions.</w:t>
      </w:r>
    </w:p>
    <w:p w14:paraId="03EE6497" w14:textId="6BA77F64" w:rsidR="00A357C8" w:rsidRDefault="00A357C8"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Citationality in the Derridean sense emerges in ways that are perhaps unsurprising and yet dissonant. Byzantine painting, both its style and iconography, has recently been the subject of a most innovative kind of performative invocation: that of graffiti and street art. “Hagiography is not about reality, but it has to do with conceptual recreations”, claimed Stelios Faitakis (1976–2023) in an interview in October 2017.</w:t>
      </w:r>
      <w:r>
        <w:rPr>
          <w:rFonts w:ascii="Times New Roman" w:eastAsia="Times New Roman" w:hAnsi="Times New Roman" w:cs="Times New Roman"/>
          <w:color w:val="000000"/>
          <w:vertAlign w:val="superscript"/>
        </w:rPr>
        <w:endnoteReference w:id="9"/>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Faitakis</w:t>
      </w:r>
      <w:proofErr w:type="spellEnd"/>
      <w:r>
        <w:rPr>
          <w:rFonts w:ascii="Times New Roman" w:eastAsia="Times New Roman" w:hAnsi="Times New Roman" w:cs="Times New Roman"/>
          <w:color w:val="000000"/>
        </w:rPr>
        <w:t xml:space="preserve"> along with Nikos Fikos (b. 1987) came to prominence at the </w:t>
      </w:r>
      <w:r>
        <w:rPr>
          <w:rFonts w:ascii="Times New Roman" w:eastAsia="Times New Roman" w:hAnsi="Times New Roman" w:cs="Times New Roman"/>
          <w:color w:val="000000"/>
        </w:rPr>
        <w:lastRenderedPageBreak/>
        <w:t>heart of the rising Greek graffiti scene in the mid-1990s, as two of its most prominent and radically innovative artists. They had illustrious careers spanning the globe with clear renown on both sides of the Atlantic in particular.</w:t>
      </w:r>
      <w:r>
        <w:rPr>
          <w:rFonts w:ascii="Times New Roman" w:eastAsia="Times New Roman" w:hAnsi="Times New Roman" w:cs="Times New Roman"/>
          <w:color w:val="000000"/>
          <w:vertAlign w:val="superscript"/>
        </w:rPr>
        <w:endnoteReference w:id="10"/>
      </w:r>
      <w:r>
        <w:rPr>
          <w:rFonts w:ascii="Times New Roman" w:eastAsia="Times New Roman" w:hAnsi="Times New Roman" w:cs="Times New Roman"/>
          <w:color w:val="000000"/>
        </w:rPr>
        <w:t xml:space="preserve"> Both artists were deeply rooted in the Byzantine tradition of icon painting and were fervent admirers of the icon. They trained as ‘hagiographers’, though they would later renounce this term. Through their work, they managed to create a solid and intriguingly personal artistic idiom based on ‘paraphrases’ of Byzantine icon painting. In doing so, they literally brought Byzantium into the streets.</w:t>
      </w:r>
    </w:p>
    <w:p w14:paraId="0B0DC0C3" w14:textId="29A8AB7E" w:rsidR="003D7119" w:rsidRP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b/>
          <w:bCs/>
          <w:color w:val="000000"/>
        </w:rPr>
      </w:pPr>
      <w:r w:rsidRPr="003D7119">
        <w:rPr>
          <w:rFonts w:ascii="Times New Roman" w:eastAsia="Times New Roman" w:hAnsi="Times New Roman" w:cs="Times New Roman"/>
          <w:b/>
          <w:bCs/>
          <w:color w:val="000000"/>
          <w:highlight w:val="yellow"/>
        </w:rPr>
        <w:t>&lt;Figure 42.1 here&gt;</w:t>
      </w:r>
    </w:p>
    <w:p w14:paraId="18D11745" w14:textId="3F670A41" w:rsid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sidRPr="003D7119">
        <w:rPr>
          <w:rFonts w:ascii="Times New Roman" w:eastAsia="Times New Roman" w:hAnsi="Times New Roman" w:cs="Times New Roman"/>
          <w:color w:val="000000"/>
          <w:highlight w:val="yellow"/>
        </w:rPr>
        <w:t xml:space="preserve">Figure 42.1. Nikos Fikos, From the Wasted Love Series, 2011, Graffiti, Athens and Cyprus. Photograph © Dimitra </w:t>
      </w:r>
      <w:proofErr w:type="spellStart"/>
      <w:r w:rsidRPr="003D7119">
        <w:rPr>
          <w:rFonts w:ascii="Times New Roman" w:eastAsia="Times New Roman" w:hAnsi="Times New Roman" w:cs="Times New Roman"/>
          <w:color w:val="000000"/>
          <w:highlight w:val="yellow"/>
        </w:rPr>
        <w:t>Kotoula</w:t>
      </w:r>
      <w:proofErr w:type="spellEnd"/>
      <w:r w:rsidRPr="003D7119">
        <w:rPr>
          <w:rFonts w:ascii="Times New Roman" w:eastAsia="Times New Roman" w:hAnsi="Times New Roman" w:cs="Times New Roman"/>
          <w:color w:val="000000"/>
          <w:highlight w:val="yellow"/>
        </w:rPr>
        <w:t>.</w:t>
      </w:r>
    </w:p>
    <w:p w14:paraId="6B95A2A2" w14:textId="38B819BF" w:rsidR="00A357C8" w:rsidRDefault="00A357C8"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Faitakis</w:t>
      </w:r>
      <w:proofErr w:type="spellEnd"/>
      <w:r>
        <w:rPr>
          <w:rFonts w:ascii="Times New Roman" w:eastAsia="Times New Roman" w:hAnsi="Times New Roman" w:cs="Times New Roman"/>
          <w:color w:val="000000"/>
        </w:rPr>
        <w:t xml:space="preserve"> and </w:t>
      </w:r>
      <w:proofErr w:type="spellStart"/>
      <w:r>
        <w:rPr>
          <w:rFonts w:ascii="Times New Roman" w:eastAsia="Times New Roman" w:hAnsi="Times New Roman" w:cs="Times New Roman"/>
          <w:color w:val="000000"/>
        </w:rPr>
        <w:t>Fikos</w:t>
      </w:r>
      <w:proofErr w:type="spellEnd"/>
      <w:r>
        <w:rPr>
          <w:rFonts w:ascii="Times New Roman" w:eastAsia="Times New Roman" w:hAnsi="Times New Roman" w:cs="Times New Roman"/>
          <w:color w:val="000000"/>
        </w:rPr>
        <w:t xml:space="preserve"> created monumental graffiti and painting-installations that invited viewers to participate and decode their meaning. The two artists exhibited their works at Biennales and in alternative spaces, such as the Building of the Institute of Computational Science at the Technological Institute in Zurich, where </w:t>
      </w:r>
      <w:proofErr w:type="spellStart"/>
      <w:r>
        <w:rPr>
          <w:rFonts w:ascii="Times New Roman" w:eastAsia="Times New Roman" w:hAnsi="Times New Roman" w:cs="Times New Roman"/>
          <w:color w:val="000000"/>
        </w:rPr>
        <w:t>Fikos</w:t>
      </w:r>
      <w:proofErr w:type="spellEnd"/>
      <w:r>
        <w:rPr>
          <w:rFonts w:ascii="Times New Roman" w:eastAsia="Times New Roman" w:hAnsi="Times New Roman" w:cs="Times New Roman"/>
          <w:color w:val="000000"/>
        </w:rPr>
        <w:t xml:space="preserve"> displayed a series of monumental wall-paintings. Through manners, styles and iconographies borrowed from Byzantine painting, they revisited issues such as the dogmatic nature of science, the idoli</w:t>
      </w:r>
      <w:r>
        <w:rPr>
          <w:rFonts w:ascii="Times New Roman" w:eastAsia="Times New Roman" w:hAnsi="Times New Roman" w:cs="Times New Roman"/>
        </w:rPr>
        <w:t>s</w:t>
      </w:r>
      <w:r>
        <w:rPr>
          <w:rFonts w:ascii="Times New Roman" w:eastAsia="Times New Roman" w:hAnsi="Times New Roman" w:cs="Times New Roman"/>
          <w:color w:val="000000"/>
        </w:rPr>
        <w:t xml:space="preserve">ed ego of modern man and the fragmentary, frantic rhythm of the post-modern era. Their background as painter-performers shaped their artistic idiom in general. Although </w:t>
      </w:r>
      <w:proofErr w:type="spellStart"/>
      <w:r>
        <w:rPr>
          <w:rFonts w:ascii="Times New Roman" w:eastAsia="Times New Roman" w:hAnsi="Times New Roman" w:cs="Times New Roman"/>
          <w:color w:val="000000"/>
        </w:rPr>
        <w:t>Faitakis</w:t>
      </w:r>
      <w:proofErr w:type="spellEnd"/>
      <w:r>
        <w:rPr>
          <w:rFonts w:ascii="Times New Roman" w:eastAsia="Times New Roman" w:hAnsi="Times New Roman" w:cs="Times New Roman"/>
          <w:color w:val="000000"/>
        </w:rPr>
        <w:t xml:space="preserve"> largely moved away from street art for the duration of his career thereafter, his last monumental paintings–exhibited at the Allouche </w:t>
      </w:r>
      <w:proofErr w:type="spellStart"/>
      <w:r>
        <w:rPr>
          <w:rFonts w:ascii="Times New Roman" w:eastAsia="Times New Roman" w:hAnsi="Times New Roman" w:cs="Times New Roman"/>
          <w:color w:val="000000"/>
        </w:rPr>
        <w:t>Benias</w:t>
      </w:r>
      <w:proofErr w:type="spellEnd"/>
      <w:r>
        <w:rPr>
          <w:rFonts w:ascii="Times New Roman" w:eastAsia="Times New Roman" w:hAnsi="Times New Roman" w:cs="Times New Roman"/>
          <w:color w:val="000000"/>
        </w:rPr>
        <w:t xml:space="preserve"> Gallery in Athens in 2022–are profoundly reminiscent of his past experience as a performer and street artist. Both artists emphatically claimed that they were ‘just painting’ without ideological or socio-political implications or agendas. However, the re-invention of the Byzantine icon as a cultural project in space, a </w:t>
      </w:r>
      <w:r>
        <w:rPr>
          <w:rFonts w:ascii="Times New Roman" w:eastAsia="Times New Roman" w:hAnsi="Times New Roman" w:cs="Times New Roman"/>
          <w:color w:val="000000"/>
        </w:rPr>
        <w:lastRenderedPageBreak/>
        <w:t>process in which both played a significant role in the twenty-first century, is laden unavoidably with a whole set of ideological implications outside the religious or purely aesthetic spheres.</w:t>
      </w:r>
    </w:p>
    <w:p w14:paraId="3587A1C0" w14:textId="6AEF6FCC" w:rsidR="003D7119" w:rsidRPr="003D7119" w:rsidRDefault="003D7119" w:rsidP="003D7119">
      <w:pPr>
        <w:pBdr>
          <w:top w:val="nil"/>
          <w:left w:val="nil"/>
          <w:bottom w:val="nil"/>
          <w:right w:val="nil"/>
          <w:between w:val="nil"/>
        </w:pBdr>
        <w:spacing w:after="0" w:line="480" w:lineRule="auto"/>
        <w:jc w:val="both"/>
        <w:rPr>
          <w:rFonts w:ascii="Times New Roman" w:eastAsia="Times New Roman" w:hAnsi="Times New Roman" w:cs="Times New Roman"/>
          <w:b/>
          <w:bCs/>
          <w:color w:val="000000"/>
        </w:rPr>
      </w:pPr>
      <w:r w:rsidRPr="003D7119">
        <w:rPr>
          <w:rFonts w:ascii="Times New Roman" w:eastAsia="Times New Roman" w:hAnsi="Times New Roman" w:cs="Times New Roman"/>
          <w:b/>
          <w:bCs/>
          <w:color w:val="000000"/>
          <w:highlight w:val="yellow"/>
        </w:rPr>
        <w:t>&lt;Figure 42.</w:t>
      </w:r>
      <w:r>
        <w:rPr>
          <w:rFonts w:ascii="Times New Roman" w:eastAsia="Times New Roman" w:hAnsi="Times New Roman" w:cs="Times New Roman"/>
          <w:b/>
          <w:bCs/>
          <w:color w:val="000000"/>
          <w:highlight w:val="yellow"/>
        </w:rPr>
        <w:t>2</w:t>
      </w:r>
      <w:r w:rsidRPr="003D7119">
        <w:rPr>
          <w:rFonts w:ascii="Times New Roman" w:eastAsia="Times New Roman" w:hAnsi="Times New Roman" w:cs="Times New Roman"/>
          <w:b/>
          <w:bCs/>
          <w:color w:val="000000"/>
          <w:highlight w:val="yellow"/>
        </w:rPr>
        <w:t xml:space="preserve"> here&gt;</w:t>
      </w:r>
    </w:p>
    <w:p w14:paraId="384E7913" w14:textId="29328441" w:rsidR="003D7119" w:rsidRP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highlight w:val="yellow"/>
        </w:rPr>
      </w:pPr>
      <w:r w:rsidRPr="003D7119">
        <w:rPr>
          <w:rFonts w:ascii="Times New Roman" w:eastAsia="Times New Roman" w:hAnsi="Times New Roman" w:cs="Times New Roman"/>
          <w:color w:val="000000"/>
          <w:highlight w:val="yellow"/>
        </w:rPr>
        <w:t xml:space="preserve">Figure 42.2. Stelios Faitakis, In agony. Volfgang Pauli (1900-58). The theoretical physicist and pioneer in quantum mechanics in agony, 2022, Oil on canvas. Photograph © Dimitra </w:t>
      </w:r>
      <w:proofErr w:type="spellStart"/>
      <w:r w:rsidRPr="003D7119">
        <w:rPr>
          <w:rFonts w:ascii="Times New Roman" w:eastAsia="Times New Roman" w:hAnsi="Times New Roman" w:cs="Times New Roman"/>
          <w:color w:val="000000"/>
          <w:highlight w:val="yellow"/>
        </w:rPr>
        <w:t>Kotoula</w:t>
      </w:r>
      <w:proofErr w:type="spellEnd"/>
      <w:r w:rsidRPr="003D7119">
        <w:rPr>
          <w:rFonts w:ascii="Times New Roman" w:eastAsia="Times New Roman" w:hAnsi="Times New Roman" w:cs="Times New Roman"/>
          <w:color w:val="000000"/>
          <w:highlight w:val="yellow"/>
        </w:rPr>
        <w:t>.</w:t>
      </w:r>
    </w:p>
    <w:p w14:paraId="668D2061" w14:textId="41E9E1F0" w:rsidR="00A357C8" w:rsidRPr="00100D89" w:rsidRDefault="00A357C8" w:rsidP="00100D89">
      <w:pPr>
        <w:pBdr>
          <w:top w:val="nil"/>
          <w:left w:val="nil"/>
          <w:bottom w:val="nil"/>
          <w:right w:val="nil"/>
          <w:between w:val="nil"/>
        </w:pBdr>
        <w:spacing w:after="0" w:line="480" w:lineRule="auto"/>
        <w:jc w:val="both"/>
        <w:rPr>
          <w:rFonts w:ascii="Times New Roman" w:eastAsia="Times New Roman" w:hAnsi="Times New Roman" w:cs="Times New Roman"/>
        </w:rPr>
      </w:pPr>
      <w:r>
        <w:rPr>
          <w:rFonts w:ascii="Times New Roman" w:eastAsia="Times New Roman" w:hAnsi="Times New Roman" w:cs="Times New Roman"/>
          <w:color w:val="000000"/>
        </w:rPr>
        <w:tab/>
        <w:t>The most recent 2021 exhibition at the Pera Museum, Istanbul, one of the very few devoted exclusively to this issue, maps the creatively eclectic presence of Byzantium in contemporary popular, primarily performative, culture.</w:t>
      </w:r>
      <w:r>
        <w:rPr>
          <w:rFonts w:ascii="Times New Roman" w:eastAsia="Times New Roman" w:hAnsi="Times New Roman" w:cs="Times New Roman"/>
          <w:color w:val="000000"/>
          <w:vertAlign w:val="superscript"/>
        </w:rPr>
        <w:endnoteReference w:id="11"/>
      </w:r>
      <w:r>
        <w:rPr>
          <w:rFonts w:ascii="Times New Roman" w:eastAsia="Times New Roman" w:hAnsi="Times New Roman" w:cs="Times New Roman"/>
          <w:color w:val="000000"/>
        </w:rPr>
        <w:t xml:space="preserve">A most radical example of this in the twentieth century is the work of </w:t>
      </w:r>
      <w:proofErr w:type="spellStart"/>
      <w:r>
        <w:rPr>
          <w:rFonts w:ascii="Times New Roman" w:eastAsia="Times New Roman" w:hAnsi="Times New Roman" w:cs="Times New Roman"/>
          <w:color w:val="000000"/>
        </w:rPr>
        <w:t>Tsarouchis</w:t>
      </w:r>
      <w:proofErr w:type="spellEnd"/>
      <w:r>
        <w:rPr>
          <w:rFonts w:ascii="Times New Roman" w:eastAsia="Times New Roman" w:hAnsi="Times New Roman" w:cs="Times New Roman"/>
          <w:color w:val="000000"/>
        </w:rPr>
        <w:t xml:space="preserve"> who creatively revisited traditional styles and iconographies to inventively criticize and question the social and political realities of his era in paintings-artifacts that constitute, in fact, incisive commentary. His creation of the iconographic type of the 'Virgin of the Victory' –a Mother and Child variation incorporating war scenes inspired by notorious battles at the Greek-Albanian front – celebrates the miraculous intervention of the Virgin in favour of the Greeks during W</w:t>
      </w:r>
      <w:r>
        <w:rPr>
          <w:rFonts w:ascii="Times New Roman" w:eastAsia="Times New Roman" w:hAnsi="Times New Roman" w:cs="Times New Roman"/>
        </w:rPr>
        <w:t>W</w:t>
      </w:r>
      <w:r>
        <w:rPr>
          <w:rFonts w:ascii="Times New Roman" w:eastAsia="Times New Roman" w:hAnsi="Times New Roman" w:cs="Times New Roman"/>
          <w:color w:val="000000"/>
        </w:rPr>
        <w:t>II</w:t>
      </w:r>
      <w:r w:rsidR="003D711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3D7119" w:rsidRPr="003D7119">
        <w:rPr>
          <w:rFonts w:ascii="Times New Roman" w:eastAsia="Times New Roman" w:hAnsi="Times New Roman" w:cs="Times New Roman"/>
          <w:b/>
          <w:bCs/>
          <w:color w:val="000000"/>
          <w:highlight w:val="yellow"/>
        </w:rPr>
        <w:t>&lt;Figure 42.</w:t>
      </w:r>
      <w:r w:rsidR="003D7119">
        <w:rPr>
          <w:rFonts w:ascii="Times New Roman" w:eastAsia="Times New Roman" w:hAnsi="Times New Roman" w:cs="Times New Roman"/>
          <w:b/>
          <w:bCs/>
          <w:color w:val="000000"/>
          <w:highlight w:val="yellow"/>
        </w:rPr>
        <w:t>3</w:t>
      </w:r>
      <w:r w:rsidR="00100D89">
        <w:rPr>
          <w:rFonts w:ascii="Times New Roman" w:eastAsia="Times New Roman" w:hAnsi="Times New Roman" w:cs="Times New Roman"/>
          <w:b/>
          <w:bCs/>
          <w:color w:val="000000"/>
          <w:highlight w:val="yellow"/>
        </w:rPr>
        <w:t>.1</w:t>
      </w:r>
      <w:r w:rsidR="003D7119" w:rsidRPr="003D7119">
        <w:rPr>
          <w:rFonts w:ascii="Times New Roman" w:eastAsia="Times New Roman" w:hAnsi="Times New Roman" w:cs="Times New Roman"/>
          <w:b/>
          <w:bCs/>
          <w:color w:val="000000"/>
          <w:highlight w:val="yellow"/>
        </w:rPr>
        <w:t xml:space="preserve"> here&gt;</w:t>
      </w:r>
      <w:r w:rsidR="00100D89">
        <w:rPr>
          <w:rFonts w:ascii="Times New Roman" w:eastAsia="Times New Roman" w:hAnsi="Times New Roman" w:cs="Times New Roman"/>
          <w:b/>
          <w:bCs/>
          <w:color w:val="000000"/>
        </w:rPr>
        <w:t xml:space="preserve"> </w:t>
      </w:r>
      <w:r w:rsidR="00100D89" w:rsidRPr="00100D89">
        <w:rPr>
          <w:rFonts w:ascii="Times New Roman" w:hAnsi="Times New Roman" w:cs="Times New Roman"/>
          <w:highlight w:val="yellow"/>
        </w:rPr>
        <w:t>Fig. 42.3.</w:t>
      </w:r>
      <w:r w:rsidR="00100D89">
        <w:rPr>
          <w:rFonts w:ascii="Times New Roman" w:hAnsi="Times New Roman" w:cs="Times New Roman"/>
          <w:highlight w:val="yellow"/>
        </w:rPr>
        <w:t>1</w:t>
      </w:r>
      <w:r w:rsidR="00100D89" w:rsidRPr="00100D89">
        <w:rPr>
          <w:rFonts w:ascii="Times New Roman" w:hAnsi="Times New Roman" w:cs="Times New Roman"/>
          <w:b/>
          <w:bCs/>
          <w:highlight w:val="yellow"/>
        </w:rPr>
        <w:t xml:space="preserve"> </w:t>
      </w:r>
      <w:r w:rsidR="00100D89" w:rsidRPr="00100D89">
        <w:rPr>
          <w:rFonts w:ascii="Times New Roman" w:hAnsi="Times New Roman" w:cs="Times New Roman"/>
          <w:highlight w:val="yellow"/>
        </w:rPr>
        <w:t xml:space="preserve">Yannis </w:t>
      </w:r>
      <w:proofErr w:type="spellStart"/>
      <w:r w:rsidR="00100D89" w:rsidRPr="00100D89">
        <w:rPr>
          <w:rFonts w:ascii="Times New Roman" w:hAnsi="Times New Roman" w:cs="Times New Roman"/>
          <w:highlight w:val="yellow"/>
        </w:rPr>
        <w:t>Tsarouchis</w:t>
      </w:r>
      <w:proofErr w:type="spellEnd"/>
      <w:r w:rsidR="00100D89" w:rsidRPr="00100D89">
        <w:rPr>
          <w:rFonts w:ascii="Times New Roman" w:hAnsi="Times New Roman" w:cs="Times New Roman"/>
          <w:highlight w:val="yellow"/>
        </w:rPr>
        <w:t>, Virgin of Victory, 1941. Coloured photograph. By permission of the creator.</w:t>
      </w:r>
      <w:r w:rsidR="00100D89">
        <w:rPr>
          <w:rFonts w:ascii="Times New Roman" w:eastAsia="Times New Roman" w:hAnsi="Times New Roman" w:cs="Times New Roman"/>
        </w:rPr>
        <w:t xml:space="preserve"> </w:t>
      </w:r>
      <w:proofErr w:type="spellStart"/>
      <w:r>
        <w:rPr>
          <w:rFonts w:ascii="Times New Roman" w:eastAsia="Times New Roman" w:hAnsi="Times New Roman" w:cs="Times New Roman"/>
          <w:color w:val="000000"/>
        </w:rPr>
        <w:t>Tsarouchis</w:t>
      </w:r>
      <w:proofErr w:type="spellEnd"/>
      <w:r>
        <w:rPr>
          <w:rFonts w:ascii="Times New Roman" w:eastAsia="Times New Roman" w:hAnsi="Times New Roman" w:cs="Times New Roman"/>
          <w:color w:val="000000"/>
        </w:rPr>
        <w:t>, who served as a soldier himself, had the opportunity to witness these events firsthand.</w:t>
      </w:r>
      <w:r>
        <w:rPr>
          <w:rFonts w:ascii="Times New Roman" w:eastAsia="Times New Roman" w:hAnsi="Times New Roman" w:cs="Times New Roman"/>
          <w:color w:val="000000"/>
          <w:vertAlign w:val="superscript"/>
        </w:rPr>
        <w:endnoteReference w:id="12"/>
      </w:r>
      <w:r>
        <w:rPr>
          <w:rFonts w:ascii="Times New Roman" w:eastAsia="Times New Roman" w:hAnsi="Times New Roman" w:cs="Times New Roman"/>
          <w:color w:val="000000"/>
        </w:rPr>
        <w:t xml:space="preserve"> </w:t>
      </w:r>
      <w:r w:rsidR="00100D89" w:rsidRPr="003D7119">
        <w:rPr>
          <w:rFonts w:ascii="Times New Roman" w:eastAsia="Times New Roman" w:hAnsi="Times New Roman" w:cs="Times New Roman"/>
          <w:b/>
          <w:bCs/>
          <w:color w:val="000000"/>
          <w:highlight w:val="yellow"/>
        </w:rPr>
        <w:t>&lt;Figure 42.</w:t>
      </w:r>
      <w:r w:rsidR="00100D89">
        <w:rPr>
          <w:rFonts w:ascii="Times New Roman" w:eastAsia="Times New Roman" w:hAnsi="Times New Roman" w:cs="Times New Roman"/>
          <w:b/>
          <w:bCs/>
          <w:color w:val="000000"/>
          <w:highlight w:val="yellow"/>
        </w:rPr>
        <w:t>3.2</w:t>
      </w:r>
      <w:r w:rsidR="00100D89" w:rsidRPr="003D7119">
        <w:rPr>
          <w:rFonts w:ascii="Times New Roman" w:eastAsia="Times New Roman" w:hAnsi="Times New Roman" w:cs="Times New Roman"/>
          <w:b/>
          <w:bCs/>
          <w:color w:val="000000"/>
          <w:highlight w:val="yellow"/>
        </w:rPr>
        <w:t xml:space="preserve"> here&gt;</w:t>
      </w:r>
      <w:r w:rsidR="00100D89">
        <w:rPr>
          <w:rFonts w:ascii="Times New Roman" w:eastAsia="Times New Roman" w:hAnsi="Times New Roman" w:cs="Times New Roman"/>
          <w:b/>
          <w:bCs/>
          <w:color w:val="000000"/>
          <w:highlight w:val="yellow"/>
        </w:rPr>
        <w:t xml:space="preserve"> </w:t>
      </w:r>
      <w:r w:rsidR="00100D89" w:rsidRPr="003D7119">
        <w:rPr>
          <w:rFonts w:ascii="Times New Roman" w:eastAsia="Times New Roman" w:hAnsi="Times New Roman" w:cs="Times New Roman"/>
          <w:color w:val="000000"/>
          <w:highlight w:val="yellow"/>
        </w:rPr>
        <w:t>Figure 42.3.</w:t>
      </w:r>
      <w:r w:rsidR="00100D89">
        <w:rPr>
          <w:rFonts w:ascii="Times New Roman" w:eastAsia="Times New Roman" w:hAnsi="Times New Roman" w:cs="Times New Roman"/>
          <w:color w:val="000000"/>
          <w:highlight w:val="yellow"/>
        </w:rPr>
        <w:t>2</w:t>
      </w:r>
      <w:r w:rsidR="00100D89" w:rsidRPr="003D7119">
        <w:rPr>
          <w:rFonts w:ascii="Times New Roman" w:eastAsia="Times New Roman" w:hAnsi="Times New Roman" w:cs="Times New Roman"/>
          <w:color w:val="000000"/>
          <w:highlight w:val="yellow"/>
        </w:rPr>
        <w:t xml:space="preserve"> Yannis </w:t>
      </w:r>
      <w:proofErr w:type="spellStart"/>
      <w:r w:rsidR="00100D89" w:rsidRPr="003D7119">
        <w:rPr>
          <w:rFonts w:ascii="Times New Roman" w:eastAsia="Times New Roman" w:hAnsi="Times New Roman" w:cs="Times New Roman"/>
          <w:color w:val="000000"/>
          <w:highlight w:val="yellow"/>
        </w:rPr>
        <w:t>Tsarouchis</w:t>
      </w:r>
      <w:proofErr w:type="spellEnd"/>
      <w:r w:rsidR="00100D89" w:rsidRPr="003D7119">
        <w:rPr>
          <w:rFonts w:ascii="Times New Roman" w:eastAsia="Times New Roman" w:hAnsi="Times New Roman" w:cs="Times New Roman"/>
          <w:color w:val="000000"/>
          <w:highlight w:val="yellow"/>
        </w:rPr>
        <w:t xml:space="preserve"> with Virgin of Victory on the Albanian Front, 1941. Coloured photograph. By permission of the creator.</w:t>
      </w:r>
      <w:r w:rsidR="00100D89">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His ‘</w:t>
      </w:r>
      <w:r>
        <w:rPr>
          <w:rFonts w:ascii="Times New Roman" w:eastAsia="Times New Roman" w:hAnsi="Times New Roman" w:cs="Times New Roman"/>
        </w:rPr>
        <w:t>Manger</w:t>
      </w:r>
      <w:r>
        <w:rPr>
          <w:rFonts w:ascii="Times New Roman" w:eastAsia="Times New Roman" w:hAnsi="Times New Roman" w:cs="Times New Roman"/>
          <w:color w:val="000000"/>
        </w:rPr>
        <w:t xml:space="preserve">’, a small three-dimensional watercolour on thick paper created around the 1940s, features robust, naked male figures as angels. With this bold imagery, the work constitutes a visual manifesto calling for the full </w:t>
      </w:r>
      <w:r>
        <w:rPr>
          <w:rFonts w:ascii="Times New Roman" w:eastAsia="Times New Roman" w:hAnsi="Times New Roman" w:cs="Times New Roman"/>
          <w:color w:val="000000"/>
        </w:rPr>
        <w:lastRenderedPageBreak/>
        <w:t>assimilation of marginalized individuals and alternative gay and lesbian communities in the then extremely conservative Greek society</w:t>
      </w:r>
      <w:r>
        <w:rPr>
          <w:rFonts w:ascii="Times New Roman" w:eastAsia="Times New Roman" w:hAnsi="Times New Roman" w:cs="Times New Roman"/>
          <w:color w:val="001D35"/>
          <w:highlight w:val="white"/>
        </w:rPr>
        <w:t>.</w:t>
      </w:r>
      <w:r>
        <w:rPr>
          <w:rFonts w:ascii="Times New Roman" w:eastAsia="Times New Roman" w:hAnsi="Times New Roman" w:cs="Times New Roman"/>
          <w:color w:val="001D35"/>
          <w:highlight w:val="white"/>
          <w:vertAlign w:val="superscript"/>
        </w:rPr>
        <w:endnoteReference w:id="13"/>
      </w:r>
    </w:p>
    <w:p w14:paraId="4F200912" w14:textId="7E31E469" w:rsidR="00A357C8" w:rsidRDefault="00A357C8" w:rsidP="00A357C8">
      <w:pPr>
        <w:pBdr>
          <w:top w:val="nil"/>
          <w:left w:val="nil"/>
          <w:bottom w:val="nil"/>
          <w:right w:val="nil"/>
          <w:between w:val="nil"/>
        </w:pBdr>
        <w:spacing w:after="0" w:line="480" w:lineRule="auto"/>
        <w:jc w:val="both"/>
        <w:rPr>
          <w:rFonts w:ascii="Times New Roman" w:eastAsia="Times New Roman" w:hAnsi="Times New Roman" w:cs="Times New Roman"/>
          <w:color w:val="001D35"/>
        </w:rPr>
      </w:pPr>
      <w:r>
        <w:rPr>
          <w:rFonts w:ascii="Times New Roman" w:eastAsia="Times New Roman" w:hAnsi="Times New Roman" w:cs="Times New Roman"/>
          <w:color w:val="001D35"/>
          <w:highlight w:val="white"/>
        </w:rPr>
        <w:tab/>
        <w:t xml:space="preserve">The treatment of hagiography as socio-political commentary was later elaborated further by artists such as Rallis Kospidis (1929–2010). His radical reworking of standard themes from Byzantine iconography for the decoration of the Church of the Apostle Paul in </w:t>
      </w:r>
      <w:proofErr w:type="spellStart"/>
      <w:r>
        <w:rPr>
          <w:rFonts w:ascii="Times New Roman" w:eastAsia="Times New Roman" w:hAnsi="Times New Roman" w:cs="Times New Roman"/>
          <w:color w:val="001D35"/>
          <w:highlight w:val="white"/>
        </w:rPr>
        <w:t>Chamb</w:t>
      </w:r>
      <w:r>
        <w:rPr>
          <w:rFonts w:ascii="Times New Roman" w:eastAsia="Times New Roman" w:hAnsi="Times New Roman" w:cs="Times New Roman"/>
          <w:color w:val="474747"/>
          <w:highlight w:val="white"/>
        </w:rPr>
        <w:t>é</w:t>
      </w:r>
      <w:r>
        <w:rPr>
          <w:rFonts w:ascii="Times New Roman" w:eastAsia="Times New Roman" w:hAnsi="Times New Roman" w:cs="Times New Roman"/>
          <w:color w:val="001D35"/>
          <w:highlight w:val="white"/>
        </w:rPr>
        <w:t>sy</w:t>
      </w:r>
      <w:proofErr w:type="spellEnd"/>
      <w:r>
        <w:rPr>
          <w:rFonts w:ascii="Times New Roman" w:eastAsia="Times New Roman" w:hAnsi="Times New Roman" w:cs="Times New Roman"/>
          <w:color w:val="001D35"/>
          <w:highlight w:val="white"/>
        </w:rPr>
        <w:t>, a commission of the Orthodox Centre in Geneva in 1975, included folklore elements as well as figures and scenes from modern culture</w:t>
      </w:r>
      <w:r w:rsidR="003D7119">
        <w:rPr>
          <w:rFonts w:ascii="Times New Roman" w:eastAsia="Times New Roman" w:hAnsi="Times New Roman" w:cs="Times New Roman"/>
          <w:color w:val="001D35"/>
          <w:highlight w:val="white"/>
        </w:rPr>
        <w:t xml:space="preserve"> (Fig. 42.4.1)</w:t>
      </w:r>
      <w:r>
        <w:rPr>
          <w:rFonts w:ascii="Times New Roman" w:eastAsia="Times New Roman" w:hAnsi="Times New Roman" w:cs="Times New Roman"/>
          <w:color w:val="001D35"/>
          <w:highlight w:val="white"/>
        </w:rPr>
        <w:t>. Particularly illuminating is the majestic scene of the Assumption of Christ that decorates the dome: the leader of an African tribe, a young man in blue jeans and a Chinese worker are among the figures included in the lower zone of the scene</w:t>
      </w:r>
      <w:r w:rsidR="003D7119">
        <w:rPr>
          <w:rFonts w:ascii="Times New Roman" w:eastAsia="Times New Roman" w:hAnsi="Times New Roman" w:cs="Times New Roman"/>
          <w:color w:val="001D35"/>
          <w:highlight w:val="white"/>
        </w:rPr>
        <w:t xml:space="preserve"> (Fig. 42.4.2)</w:t>
      </w:r>
      <w:r>
        <w:rPr>
          <w:rFonts w:ascii="Times New Roman" w:eastAsia="Times New Roman" w:hAnsi="Times New Roman" w:cs="Times New Roman"/>
          <w:color w:val="001D35"/>
          <w:highlight w:val="white"/>
        </w:rPr>
        <w:t>.</w:t>
      </w:r>
      <w:r>
        <w:rPr>
          <w:rFonts w:ascii="Times New Roman" w:eastAsia="Times New Roman" w:hAnsi="Times New Roman" w:cs="Times New Roman"/>
          <w:color w:val="001D35"/>
          <w:highlight w:val="white"/>
          <w:vertAlign w:val="superscript"/>
        </w:rPr>
        <w:endnoteReference w:id="14"/>
      </w:r>
      <w:r w:rsidR="003D7119">
        <w:rPr>
          <w:rFonts w:ascii="Times New Roman" w:eastAsia="Times New Roman" w:hAnsi="Times New Roman" w:cs="Times New Roman"/>
          <w:color w:val="001D35"/>
          <w:highlight w:val="white"/>
        </w:rPr>
        <w:t xml:space="preserve"> </w:t>
      </w:r>
      <w:r>
        <w:rPr>
          <w:rFonts w:ascii="Times New Roman" w:eastAsia="Times New Roman" w:hAnsi="Times New Roman" w:cs="Times New Roman"/>
          <w:color w:val="001D35"/>
          <w:highlight w:val="white"/>
        </w:rPr>
        <w:t>As the painter himself stated to his patrons, it was the performative dynamics of the scene that tempted him to include innovative details from modern life, prompting him to reinvent its iconography: “It would be a work worthy of prayer if my desire were to be accepted to depict contemporary flying objects in the sky, such as airplanes, spacecrafts, TV antennas, or other modern technological equipment. In so far as we begin from the premise that the Gospel events occur perpetually, and that the Ascension and other Gospel episodes are, for people, events that are eternally repeated, as the Divine Liturgy itself indicates, which is not mere reenactment but a performance–then these scenes could be depicted through scenes from modern life”.</w:t>
      </w:r>
      <w:r>
        <w:rPr>
          <w:rFonts w:ascii="Times New Roman" w:eastAsia="Times New Roman" w:hAnsi="Times New Roman" w:cs="Times New Roman"/>
          <w:color w:val="001D35"/>
          <w:highlight w:val="white"/>
          <w:vertAlign w:val="superscript"/>
        </w:rPr>
        <w:endnoteReference w:id="15"/>
      </w:r>
    </w:p>
    <w:p w14:paraId="50BCC4B3" w14:textId="2A05D711" w:rsid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b/>
          <w:bCs/>
          <w:color w:val="000000"/>
        </w:rPr>
      </w:pPr>
      <w:r w:rsidRPr="003D7119">
        <w:rPr>
          <w:rFonts w:ascii="Times New Roman" w:eastAsia="Times New Roman" w:hAnsi="Times New Roman" w:cs="Times New Roman"/>
          <w:b/>
          <w:bCs/>
          <w:color w:val="000000"/>
          <w:highlight w:val="yellow"/>
        </w:rPr>
        <w:t>&lt;Figure 42.4.1 here&gt;</w:t>
      </w:r>
    </w:p>
    <w:p w14:paraId="6B1561EE" w14:textId="7D9BE883" w:rsid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sidRPr="003D7119">
        <w:rPr>
          <w:rFonts w:ascii="Times New Roman" w:eastAsia="Times New Roman" w:hAnsi="Times New Roman" w:cs="Times New Roman"/>
          <w:color w:val="000000"/>
          <w:highlight w:val="yellow"/>
        </w:rPr>
        <w:t xml:space="preserve">Figure 42.4.1. Rallis Kopsidis, The Ascension of Christ, 1975, Fresco, Church of St Paul at </w:t>
      </w:r>
      <w:proofErr w:type="spellStart"/>
      <w:r w:rsidRPr="003D7119">
        <w:rPr>
          <w:rFonts w:ascii="Times New Roman" w:eastAsia="Times New Roman" w:hAnsi="Times New Roman" w:cs="Times New Roman"/>
          <w:color w:val="000000"/>
          <w:highlight w:val="yellow"/>
        </w:rPr>
        <w:t>Chambésy</w:t>
      </w:r>
      <w:proofErr w:type="spellEnd"/>
      <w:r w:rsidRPr="003D7119">
        <w:rPr>
          <w:rFonts w:ascii="Times New Roman" w:eastAsia="Times New Roman" w:hAnsi="Times New Roman" w:cs="Times New Roman"/>
          <w:color w:val="000000"/>
          <w:highlight w:val="yellow"/>
        </w:rPr>
        <w:t>, Geneva, Switzerland. Photograph © Alamy, CC17WW</w:t>
      </w:r>
    </w:p>
    <w:p w14:paraId="2C8ECEAF" w14:textId="77777777" w:rsidR="003D7119" w:rsidRDefault="003D7119" w:rsidP="003D7119">
      <w:pPr>
        <w:pBdr>
          <w:top w:val="nil"/>
          <w:left w:val="nil"/>
          <w:bottom w:val="nil"/>
          <w:right w:val="nil"/>
          <w:between w:val="nil"/>
        </w:pBdr>
        <w:spacing w:after="0" w:line="480" w:lineRule="auto"/>
        <w:jc w:val="both"/>
        <w:rPr>
          <w:rFonts w:ascii="Times New Roman" w:eastAsia="Times New Roman" w:hAnsi="Times New Roman" w:cs="Times New Roman"/>
          <w:b/>
          <w:bCs/>
          <w:color w:val="000000"/>
        </w:rPr>
      </w:pPr>
      <w:r w:rsidRPr="003D7119">
        <w:rPr>
          <w:rFonts w:ascii="Times New Roman" w:eastAsia="Times New Roman" w:hAnsi="Times New Roman" w:cs="Times New Roman"/>
          <w:b/>
          <w:bCs/>
          <w:color w:val="000000"/>
          <w:highlight w:val="yellow"/>
        </w:rPr>
        <w:t>&lt;Figure 42.4.1 here&gt;</w:t>
      </w:r>
    </w:p>
    <w:p w14:paraId="7E7A1544" w14:textId="220DA07C" w:rsidR="003D7119" w:rsidRDefault="003D7119"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sidRPr="003D7119">
        <w:rPr>
          <w:rFonts w:ascii="Times New Roman" w:eastAsia="Times New Roman" w:hAnsi="Times New Roman" w:cs="Times New Roman"/>
          <w:color w:val="000000"/>
          <w:highlight w:val="yellow"/>
        </w:rPr>
        <w:lastRenderedPageBreak/>
        <w:t xml:space="preserve">Figure 42.4.2. Rallis Kopsidis, Detail from The Ascension of Christ, 1975, Fresco, Church of St Paul at </w:t>
      </w:r>
      <w:proofErr w:type="spellStart"/>
      <w:r w:rsidRPr="003D7119">
        <w:rPr>
          <w:rFonts w:ascii="Times New Roman" w:eastAsia="Times New Roman" w:hAnsi="Times New Roman" w:cs="Times New Roman"/>
          <w:color w:val="000000"/>
          <w:highlight w:val="yellow"/>
        </w:rPr>
        <w:t>Chambésy</w:t>
      </w:r>
      <w:proofErr w:type="spellEnd"/>
      <w:r w:rsidRPr="003D7119">
        <w:rPr>
          <w:rFonts w:ascii="Times New Roman" w:eastAsia="Times New Roman" w:hAnsi="Times New Roman" w:cs="Times New Roman"/>
          <w:color w:val="000000"/>
          <w:highlight w:val="yellow"/>
        </w:rPr>
        <w:t>, Geneva, Switzerland. Photograph © Alamy, CC17WW.</w:t>
      </w:r>
    </w:p>
    <w:p w14:paraId="1B08DD98" w14:textId="18690768" w:rsidR="00A46D28" w:rsidRDefault="00D54863" w:rsidP="00A357C8">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2012 the vampire film </w:t>
      </w:r>
      <w:r>
        <w:rPr>
          <w:rFonts w:ascii="Times New Roman" w:eastAsia="Times New Roman" w:hAnsi="Times New Roman" w:cs="Times New Roman"/>
          <w:i/>
          <w:iCs/>
          <w:color w:val="000000"/>
        </w:rPr>
        <w:t xml:space="preserve">Byzantium </w:t>
      </w:r>
      <w:r>
        <w:rPr>
          <w:rFonts w:ascii="Times New Roman" w:eastAsia="Times New Roman" w:hAnsi="Times New Roman" w:cs="Times New Roman"/>
          <w:color w:val="000000"/>
        </w:rPr>
        <w:t>was released</w:t>
      </w:r>
      <w:r w:rsidR="003D7119">
        <w:rPr>
          <w:rFonts w:ascii="Times New Roman" w:eastAsia="Times New Roman" w:hAnsi="Times New Roman" w:cs="Times New Roman"/>
          <w:color w:val="000000"/>
        </w:rPr>
        <w:t xml:space="preserve"> (Fig 42.5)</w:t>
      </w:r>
      <w:r>
        <w:rPr>
          <w:rFonts w:ascii="Times New Roman" w:eastAsia="Times New Roman" w:hAnsi="Times New Roman" w:cs="Times New Roman"/>
          <w:color w:val="000000"/>
        </w:rPr>
        <w:t xml:space="preserve">. Paradoxically, aside from its title, the movie has nothing to do with the empire of the Byzantines. It takes its name from the ‘Byzantium Hotel’, the building which features prominently in it as the setting of various key episodes. We cannot be sure what inspired the creators of the film to use this name, though it likely pertained to the creation of a creeping atmosphere of aging Gothic decay and a liminality of setting. The fate of the hospitality business in the movie, however, could not be associated with historical Byzantium’s fate, as this Handbook as a whole– and particularly this section– prove: the once-thriving ‘Byzantium Hotel’ falls into disrepair in the course of time, while the desperate Byzantines of the last years of the once-glorious </w:t>
      </w:r>
      <w:r>
        <w:rPr>
          <w:rFonts w:ascii="Times New Roman" w:eastAsia="Times New Roman" w:hAnsi="Times New Roman" w:cs="Times New Roman"/>
        </w:rPr>
        <w:t>empire could</w:t>
      </w:r>
      <w:r>
        <w:rPr>
          <w:rFonts w:ascii="Times New Roman" w:eastAsia="Times New Roman" w:hAnsi="Times New Roman" w:cs="Times New Roman"/>
          <w:color w:val="000000"/>
        </w:rPr>
        <w:t xml:space="preserve"> not have imagined the vibrant afterlife of their culture after its supposed death. Byzantium was inherently performative and provocative in its time,</w:t>
      </w:r>
      <w:r w:rsidR="003D7119">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arousing covetous fascination and agonist desire. It continues to generate and inspire; its reverberating, performative Byzantinisms live on </w:t>
      </w:r>
      <w:r>
        <w:rPr>
          <w:rFonts w:ascii="Times New Roman" w:eastAsia="Times New Roman" w:hAnsi="Times New Roman" w:cs="Times New Roman"/>
        </w:rPr>
        <w:t>as fecund heuristics</w:t>
      </w:r>
      <w:r>
        <w:rPr>
          <w:rFonts w:ascii="Times New Roman" w:eastAsia="Times New Roman" w:hAnsi="Times New Roman" w:cs="Times New Roman"/>
          <w:color w:val="000000"/>
        </w:rPr>
        <w:t xml:space="preserve"> even now.</w:t>
      </w:r>
    </w:p>
    <w:p w14:paraId="104DEC89" w14:textId="5100F345" w:rsidR="003D7119" w:rsidRDefault="003D7119" w:rsidP="003D7119">
      <w:pPr>
        <w:pBdr>
          <w:top w:val="nil"/>
          <w:left w:val="nil"/>
          <w:bottom w:val="nil"/>
          <w:right w:val="nil"/>
          <w:between w:val="nil"/>
        </w:pBdr>
        <w:spacing w:after="0" w:line="480" w:lineRule="auto"/>
        <w:jc w:val="both"/>
        <w:rPr>
          <w:rFonts w:ascii="Times New Roman" w:eastAsia="Times New Roman" w:hAnsi="Times New Roman" w:cs="Times New Roman"/>
          <w:b/>
          <w:bCs/>
          <w:color w:val="000000"/>
        </w:rPr>
      </w:pPr>
      <w:r w:rsidRPr="003D7119">
        <w:rPr>
          <w:rFonts w:ascii="Times New Roman" w:eastAsia="Times New Roman" w:hAnsi="Times New Roman" w:cs="Times New Roman"/>
          <w:b/>
          <w:bCs/>
          <w:color w:val="000000"/>
          <w:highlight w:val="yellow"/>
        </w:rPr>
        <w:t>&lt;Figure 42.</w:t>
      </w:r>
      <w:r>
        <w:rPr>
          <w:rFonts w:ascii="Times New Roman" w:eastAsia="Times New Roman" w:hAnsi="Times New Roman" w:cs="Times New Roman"/>
          <w:b/>
          <w:bCs/>
          <w:color w:val="000000"/>
          <w:highlight w:val="yellow"/>
        </w:rPr>
        <w:t>5</w:t>
      </w:r>
      <w:r w:rsidRPr="003D7119">
        <w:rPr>
          <w:rFonts w:ascii="Times New Roman" w:eastAsia="Times New Roman" w:hAnsi="Times New Roman" w:cs="Times New Roman"/>
          <w:b/>
          <w:bCs/>
          <w:color w:val="000000"/>
          <w:highlight w:val="yellow"/>
        </w:rPr>
        <w:t xml:space="preserve"> here&gt;</w:t>
      </w:r>
    </w:p>
    <w:p w14:paraId="7D15BA22" w14:textId="4C7854A2" w:rsidR="003D7119" w:rsidRPr="003D7119" w:rsidRDefault="003D7119" w:rsidP="003D7119">
      <w:pPr>
        <w:pBdr>
          <w:top w:val="nil"/>
          <w:left w:val="nil"/>
          <w:bottom w:val="nil"/>
          <w:right w:val="nil"/>
          <w:between w:val="nil"/>
        </w:pBdr>
        <w:spacing w:after="0" w:line="480" w:lineRule="auto"/>
        <w:jc w:val="both"/>
        <w:rPr>
          <w:rFonts w:ascii="Times New Roman" w:eastAsia="Times New Roman" w:hAnsi="Times New Roman" w:cs="Times New Roman"/>
          <w:color w:val="000000"/>
        </w:rPr>
      </w:pPr>
      <w:r w:rsidRPr="003D7119">
        <w:rPr>
          <w:rFonts w:ascii="Times New Roman" w:eastAsia="Times New Roman" w:hAnsi="Times New Roman" w:cs="Times New Roman"/>
          <w:color w:val="000000"/>
          <w:highlight w:val="yellow"/>
        </w:rPr>
        <w:t>Figure 42.5. Poster for the film Byzantium, 2012. Photograph © Alamy, 2JJHPRJ.</w:t>
      </w:r>
    </w:p>
    <w:p w14:paraId="3E29D2D5" w14:textId="77777777" w:rsidR="00A46D28" w:rsidRDefault="00A46D28"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p>
    <w:p w14:paraId="6589FB36" w14:textId="77777777" w:rsidR="00A46D28" w:rsidRDefault="00A46D28" w:rsidP="00A357C8">
      <w:pPr>
        <w:pBdr>
          <w:top w:val="nil"/>
          <w:left w:val="nil"/>
          <w:bottom w:val="nil"/>
          <w:right w:val="nil"/>
          <w:between w:val="nil"/>
        </w:pBdr>
        <w:spacing w:after="0" w:line="480" w:lineRule="auto"/>
        <w:jc w:val="both"/>
        <w:rPr>
          <w:rFonts w:ascii="Times New Roman" w:eastAsia="Times New Roman" w:hAnsi="Times New Roman" w:cs="Times New Roman"/>
          <w:color w:val="000000"/>
        </w:rPr>
      </w:pPr>
    </w:p>
    <w:p w14:paraId="79772B8B" w14:textId="77777777" w:rsidR="00A46D28" w:rsidRDefault="00D54863">
      <w:pPr>
        <w:spacing w:after="0" w:line="360" w:lineRule="auto"/>
        <w:rPr>
          <w:rFonts w:ascii="Times New Roman" w:eastAsia="Times New Roman" w:hAnsi="Times New Roman" w:cs="Times New Roman"/>
        </w:rPr>
      </w:pPr>
      <w:r>
        <w:rPr>
          <w:rFonts w:ascii="Times New Roman" w:eastAsia="Times New Roman" w:hAnsi="Times New Roman" w:cs="Times New Roman"/>
        </w:rPr>
        <w:t>BIBLIOGRAPHY</w:t>
      </w:r>
    </w:p>
    <w:p w14:paraId="6BCE6708" w14:textId="77777777" w:rsidR="00A357C8" w:rsidRDefault="00A357C8">
      <w:pPr>
        <w:spacing w:after="0" w:line="360" w:lineRule="auto"/>
        <w:rPr>
          <w:rFonts w:ascii="Times New Roman" w:eastAsia="Times New Roman" w:hAnsi="Times New Roman" w:cs="Times New Roman"/>
        </w:rPr>
      </w:pPr>
    </w:p>
    <w:p w14:paraId="6853A1B4"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Dawson, T. (2009)</w:t>
      </w:r>
      <w:r w:rsidR="00D54863">
        <w:rPr>
          <w:rFonts w:ascii="Times New Roman" w:eastAsia="Times New Roman" w:hAnsi="Times New Roman" w:cs="Times New Roman"/>
          <w:color w:val="000000"/>
        </w:rPr>
        <w:t> </w:t>
      </w:r>
      <w:r w:rsidR="00A357C8">
        <w:rPr>
          <w:rFonts w:ascii="Times New Roman" w:eastAsia="Times New Roman" w:hAnsi="Times New Roman" w:cs="Times New Roman"/>
          <w:color w:val="000000"/>
        </w:rPr>
        <w:t>‘</w:t>
      </w:r>
      <w:hyperlink r:id="rId8">
        <w:r w:rsidR="00D54863" w:rsidRPr="00A357C8">
          <w:rPr>
            <w:rFonts w:ascii="Times New Roman" w:eastAsia="Times New Roman" w:hAnsi="Times New Roman" w:cs="Times New Roman"/>
            <w:iCs/>
            <w:color w:val="000000"/>
          </w:rPr>
          <w:t xml:space="preserve">The </w:t>
        </w:r>
        <w:proofErr w:type="spellStart"/>
        <w:r w:rsidR="00D54863" w:rsidRPr="00A357C8">
          <w:rPr>
            <w:rFonts w:ascii="Times New Roman" w:eastAsia="Times New Roman" w:hAnsi="Times New Roman" w:cs="Times New Roman"/>
            <w:iCs/>
            <w:color w:val="000000"/>
          </w:rPr>
          <w:t>Monomachos</w:t>
        </w:r>
        <w:proofErr w:type="spellEnd"/>
        <w:r w:rsidR="00D54863" w:rsidRPr="00A357C8">
          <w:rPr>
            <w:rFonts w:ascii="Times New Roman" w:eastAsia="Times New Roman" w:hAnsi="Times New Roman" w:cs="Times New Roman"/>
            <w:iCs/>
            <w:color w:val="000000"/>
          </w:rPr>
          <w:t xml:space="preserve"> Crown – Towards a Resolution</w:t>
        </w:r>
        <w:r w:rsidR="00A357C8">
          <w:rPr>
            <w:rFonts w:ascii="Times New Roman" w:eastAsia="Times New Roman" w:hAnsi="Times New Roman" w:cs="Times New Roman"/>
            <w:i/>
            <w:iCs/>
            <w:color w:val="000000"/>
          </w:rPr>
          <w:t>’</w:t>
        </w:r>
        <w:r w:rsidR="00D54863">
          <w:rPr>
            <w:rFonts w:ascii="Times New Roman" w:eastAsia="Times New Roman" w:hAnsi="Times New Roman" w:cs="Times New Roman"/>
            <w:i/>
            <w:iCs/>
            <w:color w:val="000000"/>
          </w:rPr>
          <w:t>.</w:t>
        </w:r>
      </w:hyperlink>
      <w:r w:rsidR="00A357C8">
        <w:rPr>
          <w:rFonts w:ascii="Times New Roman" w:eastAsia="Times New Roman" w:hAnsi="Times New Roman" w:cs="Times New Roman"/>
          <w:color w:val="000000"/>
        </w:rPr>
        <w:t> </w:t>
      </w:r>
      <w:proofErr w:type="spellStart"/>
      <w:r w:rsidR="00A357C8" w:rsidRPr="00A357C8">
        <w:rPr>
          <w:rFonts w:ascii="Times New Roman" w:eastAsia="Times New Roman" w:hAnsi="Times New Roman" w:cs="Times New Roman"/>
          <w:i/>
          <w:color w:val="000000"/>
        </w:rPr>
        <w:t>Byzantina</w:t>
      </w:r>
      <w:proofErr w:type="spellEnd"/>
      <w:r w:rsidR="00A357C8" w:rsidRPr="00A357C8">
        <w:rPr>
          <w:rFonts w:ascii="Times New Roman" w:eastAsia="Times New Roman" w:hAnsi="Times New Roman" w:cs="Times New Roman"/>
          <w:i/>
          <w:color w:val="000000"/>
        </w:rPr>
        <w:t xml:space="preserve"> Symmeikta</w:t>
      </w:r>
      <w:r w:rsidR="00A357C8">
        <w:rPr>
          <w:rFonts w:ascii="Times New Roman" w:eastAsia="Times New Roman" w:hAnsi="Times New Roman" w:cs="Times New Roman"/>
          <w:color w:val="000000"/>
        </w:rPr>
        <w:t>, 19:</w:t>
      </w:r>
      <w:r w:rsidR="00D54863">
        <w:rPr>
          <w:rFonts w:ascii="Times New Roman" w:eastAsia="Times New Roman" w:hAnsi="Times New Roman" w:cs="Times New Roman"/>
          <w:color w:val="000000"/>
        </w:rPr>
        <w:t>183–193.</w:t>
      </w:r>
    </w:p>
    <w:p w14:paraId="6B6F63B5"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2B51177B"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lastRenderedPageBreak/>
        <w:t>Alışık</w:t>
      </w:r>
      <w:proofErr w:type="spellEnd"/>
      <w:r>
        <w:rPr>
          <w:rFonts w:ascii="Times New Roman" w:eastAsia="Times New Roman" w:hAnsi="Times New Roman" w:cs="Times New Roman"/>
          <w:color w:val="000000"/>
          <w:highlight w:val="white"/>
        </w:rPr>
        <w:t>, E. (2021)</w:t>
      </w:r>
      <w:r w:rsidR="00D54863">
        <w:rPr>
          <w:rFonts w:ascii="Times New Roman" w:eastAsia="Times New Roman" w:hAnsi="Times New Roman" w:cs="Times New Roman"/>
          <w:i/>
          <w:iCs/>
          <w:color w:val="000000"/>
          <w:highlight w:val="white"/>
        </w:rPr>
        <w:t>“What Byz</w:t>
      </w:r>
      <w:r w:rsidR="00A357C8">
        <w:rPr>
          <w:rFonts w:ascii="Times New Roman" w:eastAsia="Times New Roman" w:hAnsi="Times New Roman" w:cs="Times New Roman"/>
          <w:i/>
          <w:iCs/>
          <w:color w:val="000000"/>
          <w:highlight w:val="white"/>
        </w:rPr>
        <w:t xml:space="preserve">antinism Is This in Istanbul!”: </w:t>
      </w:r>
      <w:r w:rsidR="00D54863">
        <w:rPr>
          <w:rFonts w:ascii="Times New Roman" w:eastAsia="Times New Roman" w:hAnsi="Times New Roman" w:cs="Times New Roman"/>
          <w:i/>
          <w:iCs/>
          <w:color w:val="000000"/>
          <w:highlight w:val="white"/>
        </w:rPr>
        <w:t>Byzantium in Popular Culture</w:t>
      </w:r>
      <w:r>
        <w:rPr>
          <w:rFonts w:ascii="Times New Roman" w:eastAsia="Times New Roman" w:hAnsi="Times New Roman" w:cs="Times New Roman"/>
          <w:color w:val="000000"/>
          <w:highlight w:val="white"/>
        </w:rPr>
        <w:t>. Istanbul.</w:t>
      </w:r>
    </w:p>
    <w:p w14:paraId="60FEA5EB"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202122"/>
        </w:rPr>
      </w:pPr>
    </w:p>
    <w:p w14:paraId="24301937"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141413"/>
        </w:rPr>
      </w:pPr>
      <w:proofErr w:type="spellStart"/>
      <w:r>
        <w:rPr>
          <w:rFonts w:ascii="Times New Roman" w:eastAsia="Times New Roman" w:hAnsi="Times New Roman" w:cs="Times New Roman"/>
          <w:color w:val="000000"/>
        </w:rPr>
        <w:t>Kotoula</w:t>
      </w:r>
      <w:proofErr w:type="spellEnd"/>
      <w:r>
        <w:rPr>
          <w:rFonts w:ascii="Times New Roman" w:eastAsia="Times New Roman" w:hAnsi="Times New Roman" w:cs="Times New Roman"/>
          <w:color w:val="000000"/>
        </w:rPr>
        <w:t>, D. (2023)</w:t>
      </w:r>
      <w:r w:rsidR="00D5486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w:t>
      </w:r>
      <w:r w:rsidR="00D54863">
        <w:rPr>
          <w:rFonts w:ascii="Times New Roman" w:eastAsia="Times New Roman" w:hAnsi="Times New Roman" w:cs="Times New Roman"/>
          <w:color w:val="141413"/>
        </w:rPr>
        <w:t>In sear</w:t>
      </w:r>
      <w:r>
        <w:rPr>
          <w:rFonts w:ascii="Times New Roman" w:eastAsia="Times New Roman" w:hAnsi="Times New Roman" w:cs="Times New Roman"/>
          <w:color w:val="141413"/>
        </w:rPr>
        <w:t xml:space="preserve">ch of a painting without </w:t>
      </w:r>
      <w:proofErr w:type="spellStart"/>
      <w:r>
        <w:rPr>
          <w:rFonts w:ascii="Times New Roman" w:eastAsia="Times New Roman" w:hAnsi="Times New Roman" w:cs="Times New Roman"/>
          <w:color w:val="141413"/>
        </w:rPr>
        <w:t>labels”</w:t>
      </w:r>
      <w:r w:rsidR="00D54863">
        <w:rPr>
          <w:rFonts w:ascii="Times New Roman" w:eastAsia="Times New Roman" w:hAnsi="Times New Roman" w:cs="Times New Roman"/>
          <w:color w:val="141413"/>
        </w:rPr>
        <w:t>:The</w:t>
      </w:r>
      <w:proofErr w:type="spellEnd"/>
      <w:r w:rsidR="00D54863">
        <w:rPr>
          <w:rFonts w:ascii="Times New Roman" w:eastAsia="Times New Roman" w:hAnsi="Times New Roman" w:cs="Times New Roman"/>
          <w:color w:val="141413"/>
        </w:rPr>
        <w:t xml:space="preserve"> Rediscovery of Byzantine Icon Painting in</w:t>
      </w:r>
      <w:r>
        <w:rPr>
          <w:rFonts w:ascii="Times New Roman" w:eastAsia="Times New Roman" w:hAnsi="Times New Roman" w:cs="Times New Roman"/>
          <w:color w:val="141413"/>
        </w:rPr>
        <w:t xml:space="preserve"> Modern Greece during the 19thc’, i</w:t>
      </w:r>
      <w:r w:rsidR="00D54863">
        <w:rPr>
          <w:rFonts w:ascii="Times New Roman" w:eastAsia="Times New Roman" w:hAnsi="Times New Roman" w:cs="Times New Roman"/>
          <w:color w:val="141413"/>
        </w:rPr>
        <w:t xml:space="preserve">n R. Dekoninck and I. </w:t>
      </w:r>
      <w:proofErr w:type="spellStart"/>
      <w:r w:rsidR="00D54863">
        <w:rPr>
          <w:rFonts w:ascii="Times New Roman" w:eastAsia="Times New Roman" w:hAnsi="Times New Roman" w:cs="Times New Roman"/>
          <w:color w:val="141413"/>
        </w:rPr>
        <w:t>Falque</w:t>
      </w:r>
      <w:proofErr w:type="spellEnd"/>
      <w:r w:rsidR="00D54863">
        <w:rPr>
          <w:rFonts w:ascii="Times New Roman" w:eastAsia="Times New Roman" w:hAnsi="Times New Roman" w:cs="Times New Roman"/>
          <w:color w:val="141413"/>
        </w:rPr>
        <w:t xml:space="preserve"> (Eds.) </w:t>
      </w:r>
      <w:r w:rsidR="00D54863">
        <w:rPr>
          <w:rFonts w:ascii="Times New Roman" w:eastAsia="Times New Roman" w:hAnsi="Times New Roman" w:cs="Times New Roman"/>
          <w:i/>
          <w:iCs/>
          <w:color w:val="141413"/>
        </w:rPr>
        <w:t>Revivals or Survival</w:t>
      </w:r>
      <w:r w:rsidR="00A357C8">
        <w:rPr>
          <w:rFonts w:ascii="Times New Roman" w:eastAsia="Times New Roman" w:hAnsi="Times New Roman" w:cs="Times New Roman"/>
          <w:color w:val="141413"/>
        </w:rPr>
        <w:t>. Milan: 120-135.</w:t>
      </w:r>
    </w:p>
    <w:p w14:paraId="64441B96"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141413"/>
        </w:rPr>
      </w:pPr>
    </w:p>
    <w:p w14:paraId="23E323B5"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141413"/>
        </w:rPr>
      </w:pPr>
      <w:proofErr w:type="spellStart"/>
      <w:r>
        <w:rPr>
          <w:rFonts w:ascii="Times New Roman" w:eastAsia="Times New Roman" w:hAnsi="Times New Roman" w:cs="Times New Roman"/>
          <w:color w:val="141413"/>
        </w:rPr>
        <w:t>Mamahs</w:t>
      </w:r>
      <w:proofErr w:type="spellEnd"/>
      <w:r>
        <w:rPr>
          <w:rFonts w:ascii="Times New Roman" w:eastAsia="Times New Roman" w:hAnsi="Times New Roman" w:cs="Times New Roman"/>
          <w:color w:val="141413"/>
        </w:rPr>
        <w:t>, N. (2020)</w:t>
      </w:r>
      <w:r w:rsidR="008C38D5">
        <w:rPr>
          <w:rFonts w:ascii="Times New Roman" w:eastAsia="Times New Roman" w:hAnsi="Times New Roman" w:cs="Times New Roman"/>
          <w:color w:val="141413"/>
        </w:rPr>
        <w:t xml:space="preserve"> </w:t>
      </w:r>
      <w:r w:rsidR="00D54863">
        <w:rPr>
          <w:rFonts w:ascii="Times New Roman" w:eastAsia="Times New Roman" w:hAnsi="Times New Roman" w:cs="Times New Roman"/>
          <w:i/>
          <w:iCs/>
          <w:color w:val="141413"/>
        </w:rPr>
        <w:t>T</w:t>
      </w:r>
      <w:r w:rsidR="008C38D5">
        <w:rPr>
          <w:rFonts w:ascii="Times New Roman" w:eastAsia="Times New Roman" w:hAnsi="Times New Roman" w:cs="Times New Roman"/>
          <w:i/>
          <w:iCs/>
          <w:color w:val="141413"/>
        </w:rPr>
        <w:t xml:space="preserve">he mural work of Rallis Kospidis (1929-2010). The road to </w:t>
      </w:r>
      <w:proofErr w:type="spellStart"/>
      <w:r w:rsidR="008C38D5">
        <w:rPr>
          <w:rFonts w:ascii="Times New Roman" w:eastAsia="Times New Roman" w:hAnsi="Times New Roman" w:cs="Times New Roman"/>
          <w:i/>
          <w:iCs/>
          <w:color w:val="141413"/>
        </w:rPr>
        <w:t>Chambé</w:t>
      </w:r>
      <w:r w:rsidR="00D54863">
        <w:rPr>
          <w:rFonts w:ascii="Times New Roman" w:eastAsia="Times New Roman" w:hAnsi="Times New Roman" w:cs="Times New Roman"/>
          <w:i/>
          <w:iCs/>
          <w:color w:val="141413"/>
        </w:rPr>
        <w:t>sy</w:t>
      </w:r>
      <w:proofErr w:type="spellEnd"/>
      <w:r w:rsidR="00D54863">
        <w:rPr>
          <w:rFonts w:ascii="Times New Roman" w:eastAsia="Times New Roman" w:hAnsi="Times New Roman" w:cs="Times New Roman"/>
          <w:i/>
          <w:iCs/>
          <w:color w:val="141413"/>
        </w:rPr>
        <w:t xml:space="preserve">. </w:t>
      </w:r>
      <w:r w:rsidR="00D54863">
        <w:rPr>
          <w:rFonts w:ascii="Times New Roman" w:eastAsia="Times New Roman" w:hAnsi="Times New Roman" w:cs="Times New Roman"/>
          <w:color w:val="141413"/>
        </w:rPr>
        <w:t>Unpublished</w:t>
      </w:r>
      <w:r w:rsidR="008C38D5">
        <w:rPr>
          <w:rFonts w:ascii="Times New Roman" w:eastAsia="Times New Roman" w:hAnsi="Times New Roman" w:cs="Times New Roman"/>
          <w:color w:val="141413"/>
        </w:rPr>
        <w:t xml:space="preserve"> </w:t>
      </w:r>
      <w:r w:rsidR="00D54863">
        <w:rPr>
          <w:rFonts w:ascii="Times New Roman" w:eastAsia="Times New Roman" w:hAnsi="Times New Roman" w:cs="Times New Roman"/>
          <w:color w:val="141413"/>
        </w:rPr>
        <w:t xml:space="preserve"> PhD thesis. National and </w:t>
      </w:r>
      <w:proofErr w:type="spellStart"/>
      <w:r w:rsidR="00D54863">
        <w:rPr>
          <w:rFonts w:ascii="Times New Roman" w:eastAsia="Times New Roman" w:hAnsi="Times New Roman" w:cs="Times New Roman"/>
          <w:color w:val="141413"/>
        </w:rPr>
        <w:t>Kapodistrian</w:t>
      </w:r>
      <w:proofErr w:type="spellEnd"/>
      <w:r w:rsidR="00D54863">
        <w:rPr>
          <w:rFonts w:ascii="Times New Roman" w:eastAsia="Times New Roman" w:hAnsi="Times New Roman" w:cs="Times New Roman"/>
          <w:color w:val="141413"/>
        </w:rPr>
        <w:t xml:space="preserve"> University of Athens. </w:t>
      </w:r>
    </w:p>
    <w:p w14:paraId="5BDDA4E7"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610C1D10"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Peers, G. (2007)</w:t>
      </w:r>
      <w:r w:rsidR="00D54863">
        <w:rPr>
          <w:rFonts w:ascii="Times New Roman" w:eastAsia="Times New Roman" w:hAnsi="Times New Roman" w:cs="Times New Roman"/>
          <w:color w:val="000000"/>
        </w:rPr>
        <w:t xml:space="preserve"> ‘Magic, the Mandylion and the Letter of Abgar: A Fourteenth-Century Amule</w:t>
      </w:r>
      <w:r>
        <w:rPr>
          <w:rFonts w:ascii="Times New Roman" w:eastAsia="Times New Roman" w:hAnsi="Times New Roman" w:cs="Times New Roman"/>
          <w:color w:val="000000"/>
        </w:rPr>
        <w:t>t Roll in Chicago and New York’, i</w:t>
      </w:r>
      <w:r w:rsidR="00D54863">
        <w:rPr>
          <w:rFonts w:ascii="Times New Roman" w:eastAsia="Times New Roman" w:hAnsi="Times New Roman" w:cs="Times New Roman"/>
          <w:color w:val="000000"/>
        </w:rPr>
        <w:t xml:space="preserve">n A. R. Calderoni Masetti, C. Dufour Bozzo, &amp; G. Wolf(Eds.) </w:t>
      </w:r>
      <w:r w:rsidR="00D54863" w:rsidRPr="006A1AF3">
        <w:rPr>
          <w:rFonts w:ascii="Times New Roman" w:eastAsia="Times New Roman" w:hAnsi="Times New Roman" w:cs="Times New Roman"/>
          <w:i/>
          <w:iCs/>
          <w:color w:val="000000"/>
          <w:lang w:val="it-IT"/>
        </w:rPr>
        <w:t>Intorno al Sacro Volto: Genova, Bisanzio e il Mediterraneo (XI-XIV secolo)</w:t>
      </w:r>
      <w:r w:rsidR="00A357C8" w:rsidRPr="006A1AF3">
        <w:rPr>
          <w:rFonts w:ascii="Times New Roman" w:eastAsia="Times New Roman" w:hAnsi="Times New Roman" w:cs="Times New Roman"/>
          <w:color w:val="000000"/>
          <w:lang w:val="it-IT"/>
        </w:rPr>
        <w:t xml:space="preserve">. </w:t>
      </w:r>
      <w:r w:rsidR="00A357C8">
        <w:rPr>
          <w:rFonts w:ascii="Times New Roman" w:eastAsia="Times New Roman" w:hAnsi="Times New Roman" w:cs="Times New Roman"/>
          <w:color w:val="000000"/>
        </w:rPr>
        <w:t>Venice: 163–74.</w:t>
      </w:r>
    </w:p>
    <w:p w14:paraId="28C3E547"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7E3F8EEF" w14:textId="77777777" w:rsidR="00A46D28" w:rsidRDefault="00A44422">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Peers, G. (2006)</w:t>
      </w:r>
      <w:r w:rsidR="008C38D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w:t>
      </w:r>
      <w:r w:rsidR="00D54863">
        <w:rPr>
          <w:rFonts w:ascii="Times New Roman" w:eastAsia="Times New Roman" w:hAnsi="Times New Roman" w:cs="Times New Roman"/>
          <w:color w:val="000000"/>
        </w:rPr>
        <w:t xml:space="preserve">Masks, Marriage and the Byzantine Mandylion: Classical Inversions in the Tenth Century. </w:t>
      </w:r>
      <w:proofErr w:type="spellStart"/>
      <w:r w:rsidR="00D54863">
        <w:rPr>
          <w:rFonts w:ascii="Times New Roman" w:eastAsia="Times New Roman" w:hAnsi="Times New Roman" w:cs="Times New Roman"/>
          <w:color w:val="000000"/>
        </w:rPr>
        <w:t>Narratio</w:t>
      </w:r>
      <w:proofErr w:type="spellEnd"/>
      <w:r w:rsidR="00D54863">
        <w:rPr>
          <w:rFonts w:ascii="Times New Roman" w:eastAsia="Times New Roman" w:hAnsi="Times New Roman" w:cs="Times New Roman"/>
          <w:color w:val="000000"/>
        </w:rPr>
        <w:t xml:space="preserve"> de </w:t>
      </w:r>
      <w:proofErr w:type="spellStart"/>
      <w:r w:rsidR="00D54863">
        <w:rPr>
          <w:rFonts w:ascii="Times New Roman" w:eastAsia="Times New Roman" w:hAnsi="Times New Roman" w:cs="Times New Roman"/>
          <w:color w:val="000000"/>
        </w:rPr>
        <w:t>translatione</w:t>
      </w:r>
      <w:proofErr w:type="spellEnd"/>
      <w:r w:rsidR="00D54863">
        <w:rPr>
          <w:rFonts w:ascii="Times New Roman" w:eastAsia="Times New Roman" w:hAnsi="Times New Roman" w:cs="Times New Roman"/>
          <w:color w:val="000000"/>
        </w:rPr>
        <w:t xml:space="preserve"> </w:t>
      </w:r>
      <w:proofErr w:type="spellStart"/>
      <w:r w:rsidR="00D54863">
        <w:rPr>
          <w:rFonts w:ascii="Times New Roman" w:eastAsia="Times New Roman" w:hAnsi="Times New Roman" w:cs="Times New Roman"/>
          <w:color w:val="000000"/>
        </w:rPr>
        <w:t>Constantinopolim</w:t>
      </w:r>
      <w:proofErr w:type="spellEnd"/>
      <w:r w:rsidR="00D54863">
        <w:rPr>
          <w:rFonts w:ascii="Times New Roman" w:eastAsia="Times New Roman" w:hAnsi="Times New Roman" w:cs="Times New Roman"/>
          <w:color w:val="000000"/>
        </w:rPr>
        <w:t xml:space="preserve"> </w:t>
      </w:r>
      <w:proofErr w:type="spellStart"/>
      <w:r w:rsidR="00D54863">
        <w:rPr>
          <w:rFonts w:ascii="Times New Roman" w:eastAsia="Times New Roman" w:hAnsi="Times New Roman" w:cs="Times New Roman"/>
          <w:color w:val="000000"/>
        </w:rPr>
        <w:t>imagin</w:t>
      </w:r>
      <w:r>
        <w:rPr>
          <w:rFonts w:ascii="Times New Roman" w:eastAsia="Times New Roman" w:hAnsi="Times New Roman" w:cs="Times New Roman"/>
          <w:color w:val="000000"/>
        </w:rPr>
        <w:t>is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Edessenae</w:t>
      </w:r>
      <w:proofErr w:type="spellEnd"/>
      <w:r>
        <w:rPr>
          <w:rFonts w:ascii="Times New Roman" w:eastAsia="Times New Roman" w:hAnsi="Times New Roman" w:cs="Times New Roman"/>
          <w:color w:val="000000"/>
        </w:rPr>
        <w:t>’.</w:t>
      </w:r>
      <w:proofErr w:type="spellStart"/>
      <w:r w:rsidR="00A357C8" w:rsidRPr="00A44422">
        <w:rPr>
          <w:rFonts w:ascii="Times New Roman" w:eastAsia="Times New Roman" w:hAnsi="Times New Roman" w:cs="Times New Roman"/>
          <w:i/>
          <w:color w:val="000000"/>
        </w:rPr>
        <w:t>Intermediality</w:t>
      </w:r>
      <w:proofErr w:type="spellEnd"/>
      <w:r w:rsidR="00A357C8">
        <w:rPr>
          <w:rFonts w:ascii="Times New Roman" w:eastAsia="Times New Roman" w:hAnsi="Times New Roman" w:cs="Times New Roman"/>
          <w:color w:val="000000"/>
        </w:rPr>
        <w:t>, 8:</w:t>
      </w:r>
      <w:r w:rsidR="00D54863">
        <w:rPr>
          <w:rFonts w:ascii="Times New Roman" w:eastAsia="Times New Roman" w:hAnsi="Times New Roman" w:cs="Times New Roman"/>
          <w:color w:val="000000"/>
        </w:rPr>
        <w:t xml:space="preserve"> 13–29. </w:t>
      </w:r>
    </w:p>
    <w:p w14:paraId="675B653A" w14:textId="77777777" w:rsidR="00A46D28" w:rsidRDefault="00A46D28">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38474C65" w14:textId="77777777" w:rsidR="00A46D28" w:rsidRDefault="00A44422">
      <w:pPr>
        <w:tabs>
          <w:tab w:val="left" w:pos="2500"/>
        </w:tabs>
        <w:spacing w:after="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Tsarouchis</w:t>
      </w:r>
      <w:proofErr w:type="spellEnd"/>
      <w:r>
        <w:rPr>
          <w:rFonts w:ascii="Times New Roman" w:eastAsia="Times New Roman" w:hAnsi="Times New Roman" w:cs="Times New Roman"/>
        </w:rPr>
        <w:t>, Y. (2024)</w:t>
      </w:r>
      <w:r w:rsidR="008C38D5">
        <w:rPr>
          <w:rFonts w:ascii="Times New Roman" w:eastAsia="Times New Roman" w:hAnsi="Times New Roman" w:cs="Times New Roman"/>
        </w:rPr>
        <w:t xml:space="preserve"> </w:t>
      </w:r>
      <w:r w:rsidR="008C38D5">
        <w:rPr>
          <w:rFonts w:ascii="Times New Roman" w:eastAsia="Times New Roman" w:hAnsi="Times New Roman" w:cs="Times New Roman"/>
          <w:i/>
          <w:iCs/>
        </w:rPr>
        <w:t>Lessons on painting</w:t>
      </w:r>
      <w:r w:rsidR="00D54863">
        <w:rPr>
          <w:rFonts w:ascii="Times New Roman" w:eastAsia="Times New Roman" w:hAnsi="Times New Roman" w:cs="Times New Roman"/>
          <w:i/>
          <w:iCs/>
        </w:rPr>
        <w:t xml:space="preserve">. Chios 1981, </w:t>
      </w:r>
      <w:r w:rsidR="00D54863">
        <w:rPr>
          <w:rFonts w:ascii="Times New Roman" w:eastAsia="Times New Roman" w:hAnsi="Times New Roman" w:cs="Times New Roman"/>
        </w:rPr>
        <w:t xml:space="preserve">E. </w:t>
      </w:r>
      <w:proofErr w:type="spellStart"/>
      <w:r w:rsidR="00D54863">
        <w:rPr>
          <w:rFonts w:ascii="Times New Roman" w:eastAsia="Times New Roman" w:hAnsi="Times New Roman" w:cs="Times New Roman"/>
        </w:rPr>
        <w:t>Doxiadi</w:t>
      </w:r>
      <w:proofErr w:type="spellEnd"/>
      <w:r w:rsidR="00D54863">
        <w:rPr>
          <w:rFonts w:ascii="Times New Roman" w:eastAsia="Times New Roman" w:hAnsi="Times New Roman" w:cs="Times New Roman"/>
        </w:rPr>
        <w:t xml:space="preserve"> and A. </w:t>
      </w:r>
      <w:proofErr w:type="spellStart"/>
      <w:r w:rsidR="00D54863">
        <w:rPr>
          <w:rFonts w:ascii="Times New Roman" w:eastAsia="Times New Roman" w:hAnsi="Times New Roman" w:cs="Times New Roman"/>
        </w:rPr>
        <w:t>Tzalas</w:t>
      </w:r>
      <w:proofErr w:type="spellEnd"/>
      <w:r w:rsidR="00D54863">
        <w:rPr>
          <w:rFonts w:ascii="Times New Roman" w:eastAsia="Times New Roman" w:hAnsi="Times New Roman" w:cs="Times New Roman"/>
        </w:rPr>
        <w:t xml:space="preserve"> (Eds.) Athens.</w:t>
      </w:r>
    </w:p>
    <w:p w14:paraId="224A8EDE" w14:textId="77777777" w:rsidR="00A46D28" w:rsidRDefault="00A46D28">
      <w:pPr>
        <w:tabs>
          <w:tab w:val="left" w:pos="2500"/>
        </w:tabs>
        <w:spacing w:after="0" w:line="360" w:lineRule="auto"/>
        <w:jc w:val="both"/>
        <w:rPr>
          <w:rFonts w:ascii="Times New Roman" w:eastAsia="Times New Roman" w:hAnsi="Times New Roman" w:cs="Times New Roman"/>
        </w:rPr>
      </w:pPr>
    </w:p>
    <w:p w14:paraId="21579BC3" w14:textId="77777777" w:rsidR="00A46D28" w:rsidRDefault="00A44422">
      <w:pPr>
        <w:tabs>
          <w:tab w:val="left" w:pos="2500"/>
        </w:tabs>
        <w:spacing w:after="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Tsarouchis</w:t>
      </w:r>
      <w:proofErr w:type="spellEnd"/>
      <w:r>
        <w:rPr>
          <w:rFonts w:ascii="Times New Roman" w:eastAsia="Times New Roman" w:hAnsi="Times New Roman" w:cs="Times New Roman"/>
        </w:rPr>
        <w:t>, Y (2009)</w:t>
      </w:r>
      <w:r w:rsidR="008C38D5">
        <w:rPr>
          <w:rFonts w:ascii="Times New Roman" w:eastAsia="Times New Roman" w:hAnsi="Times New Roman" w:cs="Times New Roman"/>
        </w:rPr>
        <w:t xml:space="preserve"> </w:t>
      </w:r>
      <w:r w:rsidR="00D54863">
        <w:rPr>
          <w:rFonts w:ascii="Times New Roman" w:eastAsia="Times New Roman" w:hAnsi="Times New Roman" w:cs="Times New Roman"/>
          <w:i/>
          <w:iCs/>
        </w:rPr>
        <w:t xml:space="preserve">Yannis </w:t>
      </w:r>
      <w:proofErr w:type="spellStart"/>
      <w:r w:rsidR="00D54863">
        <w:rPr>
          <w:rFonts w:ascii="Times New Roman" w:eastAsia="Times New Roman" w:hAnsi="Times New Roman" w:cs="Times New Roman"/>
          <w:i/>
          <w:iCs/>
        </w:rPr>
        <w:t>Tsarouchis</w:t>
      </w:r>
      <w:proofErr w:type="spellEnd"/>
      <w:r w:rsidR="00D54863">
        <w:rPr>
          <w:rFonts w:ascii="Times New Roman" w:eastAsia="Times New Roman" w:hAnsi="Times New Roman" w:cs="Times New Roman"/>
          <w:i/>
          <w:iCs/>
        </w:rPr>
        <w:t xml:space="preserve"> 1910-1989</w:t>
      </w:r>
      <w:r w:rsidR="00D54863">
        <w:rPr>
          <w:rFonts w:ascii="Times New Roman" w:eastAsia="Times New Roman" w:hAnsi="Times New Roman" w:cs="Times New Roman"/>
        </w:rPr>
        <w:t>. Athens: Benaki Museum.</w:t>
      </w:r>
      <w:r w:rsidR="00D54863">
        <w:rPr>
          <w:rFonts w:ascii="Times New Roman" w:eastAsia="Times New Roman" w:hAnsi="Times New Roman" w:cs="Times New Roman"/>
        </w:rPr>
        <w:tab/>
      </w:r>
    </w:p>
    <w:p w14:paraId="38FF5BC3" w14:textId="77777777" w:rsidR="00A46D28" w:rsidRDefault="00A46D28">
      <w:pPr>
        <w:tabs>
          <w:tab w:val="left" w:pos="2500"/>
        </w:tabs>
        <w:spacing w:after="0" w:line="360" w:lineRule="auto"/>
        <w:jc w:val="both"/>
        <w:rPr>
          <w:rFonts w:ascii="Times New Roman" w:eastAsia="Times New Roman" w:hAnsi="Times New Roman" w:cs="Times New Roman"/>
        </w:rPr>
      </w:pPr>
    </w:p>
    <w:p w14:paraId="37700C1A" w14:textId="77777777" w:rsidR="00A46D28" w:rsidRDefault="00A44422">
      <w:pPr>
        <w:tabs>
          <w:tab w:val="left" w:pos="2500"/>
        </w:tabs>
        <w:spacing w:after="0" w:line="360" w:lineRule="auto"/>
        <w:jc w:val="both"/>
        <w:rPr>
          <w:rFonts w:ascii="Times New Roman" w:eastAsia="Times New Roman" w:hAnsi="Times New Roman" w:cs="Times New Roman"/>
        </w:rPr>
      </w:pPr>
      <w:r>
        <w:rPr>
          <w:rFonts w:ascii="Times New Roman" w:eastAsia="Times New Roman" w:hAnsi="Times New Roman" w:cs="Times New Roman"/>
          <w:color w:val="333333"/>
          <w:highlight w:val="white"/>
        </w:rPr>
        <w:t xml:space="preserve">Pitarakis, Br. (2021) </w:t>
      </w:r>
      <w:r w:rsidR="00D54863">
        <w:rPr>
          <w:rFonts w:ascii="Times New Roman" w:eastAsia="Times New Roman" w:hAnsi="Times New Roman" w:cs="Times New Roman"/>
          <w:color w:val="333333"/>
          <w:highlight w:val="white"/>
        </w:rPr>
        <w:t>‘Byzantine Art Made Contemporary: From Greek Revolution to Athenian Street Art through the Prism of the G</w:t>
      </w:r>
      <w:r>
        <w:rPr>
          <w:rFonts w:ascii="Times New Roman" w:eastAsia="Times New Roman" w:hAnsi="Times New Roman" w:cs="Times New Roman"/>
          <w:color w:val="333333"/>
          <w:highlight w:val="white"/>
        </w:rPr>
        <w:t>reek Historiographic Narrative’, i</w:t>
      </w:r>
      <w:r w:rsidR="00D54863">
        <w:rPr>
          <w:rFonts w:ascii="Times New Roman" w:eastAsia="Times New Roman" w:hAnsi="Times New Roman" w:cs="Times New Roman"/>
          <w:color w:val="333333"/>
          <w:highlight w:val="white"/>
        </w:rPr>
        <w:t xml:space="preserve">n </w:t>
      </w:r>
      <w:proofErr w:type="spellStart"/>
      <w:r>
        <w:rPr>
          <w:rFonts w:ascii="Times New Roman" w:eastAsia="Times New Roman" w:hAnsi="Times New Roman" w:cs="Times New Roman"/>
          <w:color w:val="000000"/>
          <w:highlight w:val="white"/>
        </w:rPr>
        <w:t>Alışı</w:t>
      </w:r>
      <w:proofErr w:type="spellEnd"/>
      <w:r>
        <w:rPr>
          <w:rFonts w:ascii="Times New Roman" w:eastAsia="Times New Roman" w:hAnsi="Times New Roman" w:cs="Times New Roman"/>
          <w:color w:val="000000"/>
          <w:highlight w:val="white"/>
        </w:rPr>
        <w:t xml:space="preserve"> (2021): </w:t>
      </w:r>
      <w:r>
        <w:rPr>
          <w:rFonts w:ascii="Times New Roman" w:eastAsia="Times New Roman" w:hAnsi="Times New Roman" w:cs="Times New Roman"/>
          <w:color w:val="333333"/>
          <w:highlight w:val="white"/>
        </w:rPr>
        <w:t>86-122</w:t>
      </w:r>
      <w:r w:rsidR="00D54863">
        <w:rPr>
          <w:rFonts w:ascii="Times New Roman" w:eastAsia="Times New Roman" w:hAnsi="Times New Roman" w:cs="Times New Roman"/>
          <w:color w:val="333333"/>
          <w:highlight w:val="white"/>
        </w:rPr>
        <w:t>.</w:t>
      </w:r>
    </w:p>
    <w:p w14:paraId="608D0721" w14:textId="77777777" w:rsidR="00A46D28" w:rsidRDefault="00A46D28">
      <w:pPr>
        <w:tabs>
          <w:tab w:val="left" w:pos="2500"/>
        </w:tabs>
        <w:spacing w:after="0" w:line="360" w:lineRule="auto"/>
        <w:jc w:val="both"/>
        <w:rPr>
          <w:rFonts w:ascii="Times New Roman" w:eastAsia="Times New Roman" w:hAnsi="Times New Roman" w:cs="Times New Roman"/>
        </w:rPr>
      </w:pPr>
    </w:p>
    <w:p w14:paraId="1D5753FC" w14:textId="77777777" w:rsidR="00A46D28" w:rsidRDefault="00A46D28">
      <w:pPr>
        <w:tabs>
          <w:tab w:val="left" w:pos="2500"/>
        </w:tabs>
        <w:spacing w:after="0" w:line="360" w:lineRule="auto"/>
        <w:rPr>
          <w:rFonts w:ascii="Times New Roman" w:eastAsia="Times New Roman" w:hAnsi="Times New Roman" w:cs="Times New Roman"/>
        </w:rPr>
      </w:pPr>
    </w:p>
    <w:sectPr w:rsidR="00A46D28" w:rsidSect="00EB6CB3">
      <w:endnotePr>
        <w:numFmt w:val="decimal"/>
      </w:endnotePr>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8471A" w14:textId="77777777" w:rsidR="007F1C16" w:rsidRDefault="007F1C16">
      <w:pPr>
        <w:spacing w:after="0" w:line="240" w:lineRule="auto"/>
      </w:pPr>
      <w:r>
        <w:separator/>
      </w:r>
    </w:p>
  </w:endnote>
  <w:endnote w:type="continuationSeparator" w:id="0">
    <w:p w14:paraId="2E3CFC2D" w14:textId="77777777" w:rsidR="007F1C16" w:rsidRDefault="007F1C16">
      <w:pPr>
        <w:spacing w:after="0" w:line="240" w:lineRule="auto"/>
      </w:pPr>
      <w:r>
        <w:continuationSeparator/>
      </w:r>
    </w:p>
  </w:endnote>
  <w:endnote w:id="1">
    <w:p w14:paraId="3FE9B3D3"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For a most thorough discussion of the story, see Peers 2007.</w:t>
      </w:r>
    </w:p>
  </w:endnote>
  <w:endnote w:id="2">
    <w:p w14:paraId="03A48EB5"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For a discussion of the icon in the context of other visual examples see: Peers 2006: 17, fig. 2.</w:t>
      </w:r>
    </w:p>
  </w:endnote>
  <w:endnote w:id="3">
    <w:p w14:paraId="098F0CA8" w14:textId="2AEFBAC8" w:rsidR="00A7181B" w:rsidRPr="00A7181B" w:rsidRDefault="00A7181B">
      <w:pPr>
        <w:pStyle w:val="EndnoteText"/>
        <w:rPr>
          <w:rFonts w:ascii="Times New Roman" w:hAnsi="Times New Roman" w:cs="Times New Roman"/>
          <w:lang w:val="en-US"/>
        </w:rPr>
      </w:pPr>
      <w:r w:rsidRPr="00A7181B">
        <w:rPr>
          <w:rStyle w:val="EndnoteReference"/>
          <w:rFonts w:ascii="Times New Roman" w:hAnsi="Times New Roman" w:cs="Times New Roman"/>
        </w:rPr>
        <w:endnoteRef/>
      </w:r>
      <w:r w:rsidRPr="00A7181B">
        <w:rPr>
          <w:rFonts w:ascii="Times New Roman" w:hAnsi="Times New Roman" w:cs="Times New Roman"/>
        </w:rPr>
        <w:t xml:space="preserve"> </w:t>
      </w:r>
      <w:r w:rsidRPr="00A7181B">
        <w:rPr>
          <w:rFonts w:ascii="Times New Roman" w:hAnsi="Times New Roman" w:cs="Times New Roman"/>
        </w:rPr>
        <w:t>Florence + The Machine, ‘St Jude’ (from the album How Big, How Blue, How Beautiful, 2015)</w:t>
      </w:r>
      <w:r w:rsidRPr="00A7181B">
        <w:rPr>
          <w:rFonts w:ascii="Times New Roman" w:hAnsi="Times New Roman" w:cs="Times New Roman"/>
        </w:rPr>
        <w:t>.</w:t>
      </w:r>
    </w:p>
  </w:endnote>
  <w:endnote w:id="4">
    <w:p w14:paraId="5B035C31"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Pr="00A7181B">
        <w:rPr>
          <w:rFonts w:ascii="Times New Roman" w:eastAsia="Times New Roman" w:hAnsi="Times New Roman" w:cs="Times New Roman"/>
          <w:color w:val="000000"/>
          <w:sz w:val="20"/>
          <w:szCs w:val="20"/>
        </w:rPr>
        <w:t xml:space="preserve"> </w:t>
      </w:r>
      <w:proofErr w:type="spellStart"/>
      <w:r w:rsidRPr="00A7181B">
        <w:rPr>
          <w:rFonts w:ascii="Times New Roman" w:eastAsia="Times New Roman" w:hAnsi="Times New Roman" w:cs="Times New Roman"/>
          <w:color w:val="000000"/>
          <w:sz w:val="20"/>
          <w:szCs w:val="20"/>
        </w:rPr>
        <w:t>Tsarouchis</w:t>
      </w:r>
      <w:proofErr w:type="spellEnd"/>
      <w:r w:rsidRPr="00A7181B">
        <w:rPr>
          <w:rFonts w:ascii="Times New Roman" w:eastAsia="Times New Roman" w:hAnsi="Times New Roman" w:cs="Times New Roman"/>
          <w:color w:val="000000"/>
          <w:sz w:val="20"/>
          <w:szCs w:val="20"/>
        </w:rPr>
        <w:t xml:space="preserve"> 2024: 80. </w:t>
      </w:r>
    </w:p>
  </w:endnote>
  <w:endnote w:id="5">
    <w:p w14:paraId="2AF4A49C"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 xml:space="preserve">The literature on the topic, a growing field of Byzantine scholarship, is already remarkably vast. An international conference in 2021 organised by the Institute of Historical Research of the National Hellenic Research Foundation under the title ‘Performance in Late Antiquity and Byzantium’, attempted to revisit earlier and address new parameters of the topic, charting the existing literature.    </w:t>
      </w:r>
    </w:p>
  </w:endnote>
  <w:endnote w:id="6">
    <w:p w14:paraId="065BC23A"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Pr="00A7181B">
        <w:rPr>
          <w:rFonts w:ascii="Times New Roman" w:eastAsia="Times New Roman" w:hAnsi="Times New Roman" w:cs="Times New Roman"/>
          <w:color w:val="000000"/>
          <w:sz w:val="20"/>
          <w:szCs w:val="20"/>
        </w:rPr>
        <w:t>Peter Meinecke</w:t>
      </w:r>
      <w:r w:rsidR="00A44422" w:rsidRPr="00A7181B">
        <w:rPr>
          <w:rFonts w:ascii="Times New Roman" w:eastAsia="Times New Roman" w:hAnsi="Times New Roman" w:cs="Times New Roman"/>
          <w:color w:val="000000"/>
          <w:sz w:val="20"/>
          <w:szCs w:val="20"/>
        </w:rPr>
        <w:t>, ‘Performance: True or False?’</w:t>
      </w:r>
      <w:r w:rsidRPr="00A7181B">
        <w:rPr>
          <w:rFonts w:ascii="Times New Roman" w:eastAsia="Times New Roman" w:hAnsi="Times New Roman" w:cs="Times New Roman"/>
          <w:color w:val="000000"/>
          <w:sz w:val="20"/>
          <w:szCs w:val="20"/>
        </w:rPr>
        <w:t xml:space="preserve"> keynote lecture in </w:t>
      </w:r>
      <w:r w:rsidRPr="00A7181B">
        <w:rPr>
          <w:rFonts w:ascii="Times New Roman" w:eastAsia="Times New Roman" w:hAnsi="Times New Roman" w:cs="Times New Roman"/>
          <w:i/>
          <w:iCs/>
          <w:color w:val="000000"/>
          <w:sz w:val="20"/>
          <w:szCs w:val="20"/>
        </w:rPr>
        <w:t>Performance in Late Antiquity and Byzantium</w:t>
      </w:r>
      <w:r w:rsidRPr="00A7181B">
        <w:rPr>
          <w:rFonts w:ascii="Times New Roman" w:eastAsia="Times New Roman" w:hAnsi="Times New Roman" w:cs="Times New Roman"/>
          <w:color w:val="242424"/>
          <w:sz w:val="20"/>
          <w:szCs w:val="20"/>
          <w:highlight w:val="white"/>
        </w:rPr>
        <w:t>athttps://</w:t>
      </w:r>
      <w:hyperlink r:id="rId1">
        <w:r w:rsidRPr="00A7181B">
          <w:rPr>
            <w:rFonts w:ascii="Times New Roman" w:eastAsia="Times New Roman" w:hAnsi="Times New Roman" w:cs="Times New Roman"/>
            <w:color w:val="0000FF"/>
            <w:sz w:val="20"/>
            <w:szCs w:val="20"/>
            <w:highlight w:val="white"/>
            <w:u w:val="single"/>
          </w:rPr>
          <w:t>www.academia.edu</w:t>
        </w:r>
      </w:hyperlink>
      <w:r w:rsidRPr="00A7181B">
        <w:rPr>
          <w:rFonts w:ascii="Times New Roman" w:eastAsia="Times New Roman" w:hAnsi="Times New Roman" w:cs="Times New Roman"/>
          <w:color w:val="242424"/>
          <w:sz w:val="20"/>
          <w:szCs w:val="20"/>
          <w:highlight w:val="white"/>
        </w:rPr>
        <w:t>/47385748/PERFORMANCE_IN_LATE_ANTIQUITY_AND_BYZANTIUM</w:t>
      </w:r>
      <w:r w:rsidRPr="00A7181B">
        <w:rPr>
          <w:rFonts w:ascii="Times New Roman" w:eastAsia="Times New Roman" w:hAnsi="Times New Roman" w:cs="Times New Roman"/>
          <w:i/>
          <w:iCs/>
          <w:color w:val="000000"/>
          <w:sz w:val="20"/>
          <w:szCs w:val="20"/>
        </w:rPr>
        <w:t>.</w:t>
      </w:r>
    </w:p>
  </w:endnote>
  <w:endnote w:id="7">
    <w:p w14:paraId="0936DE7A" w14:textId="77777777" w:rsidR="00A357C8" w:rsidRPr="00A7181B" w:rsidRDefault="00A357C8" w:rsidP="00A44422">
      <w:pPr>
        <w:shd w:val="clear" w:color="auto" w:fill="FFFFFF"/>
        <w:spacing w:after="0" w:line="240" w:lineRule="auto"/>
        <w:jc w:val="both"/>
        <w:rPr>
          <w:rFonts w:ascii="Times New Roman" w:eastAsia="Times New Roman" w:hAnsi="Times New Roman" w:cs="Times New Roman"/>
          <w:color w:val="202122"/>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sz w:val="20"/>
          <w:szCs w:val="20"/>
        </w:rPr>
        <w:t xml:space="preserve"> </w:t>
      </w:r>
      <w:r w:rsidRPr="00A7181B">
        <w:rPr>
          <w:rFonts w:ascii="Times New Roman" w:eastAsia="Times New Roman" w:hAnsi="Times New Roman" w:cs="Times New Roman"/>
          <w:sz w:val="20"/>
          <w:szCs w:val="20"/>
        </w:rPr>
        <w:t xml:space="preserve">Dawson 2009. </w:t>
      </w:r>
    </w:p>
  </w:endnote>
  <w:endnote w:id="8">
    <w:p w14:paraId="190192AA"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For the speech, especially after 9:57 minutes, watch: https://www.google.com/search?q=obama+national+prayer+breakfast+2015&amp;rlz=1C1GCEA_enGR912GR912&amp;oq=obama+national+prayer+breakfast+2015&amp;gs_lcrp=EgZjaHJvbWUyBggAEEUYOTIHCAEQIRigATIHCAIQIRigATIHCAMQIRigAdIBCTE4OTc4ajBqNKgCALACAQ&amp;sourceid=chrome&amp;ie=UTF-8#fpstate=ive&amp;vld=cid:2461d2b9,vid:XU7RuilNq4w,st:597</w:t>
      </w:r>
      <w:r w:rsidR="00A44422" w:rsidRPr="00A7181B">
        <w:rPr>
          <w:rFonts w:ascii="Times New Roman" w:eastAsia="Times New Roman" w:hAnsi="Times New Roman" w:cs="Times New Roman"/>
          <w:color w:val="000000"/>
          <w:sz w:val="20"/>
          <w:szCs w:val="20"/>
        </w:rPr>
        <w:t>.</w:t>
      </w:r>
    </w:p>
  </w:endnote>
  <w:endnote w:id="9">
    <w:p w14:paraId="6C643AE7"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https://www.lifo.gr/culture/eikastika/o-stelios-faitakis-den-hortainei-na-koitazei-tis-agiografies-alla-den-niothei</w:t>
      </w:r>
      <w:r w:rsidR="00A44422" w:rsidRPr="00A7181B">
        <w:rPr>
          <w:rFonts w:ascii="Times New Roman" w:eastAsia="Times New Roman" w:hAnsi="Times New Roman" w:cs="Times New Roman"/>
          <w:color w:val="000000"/>
          <w:sz w:val="20"/>
          <w:szCs w:val="20"/>
        </w:rPr>
        <w:t>.</w:t>
      </w:r>
    </w:p>
  </w:endnote>
  <w:endnote w:id="10">
    <w:p w14:paraId="5C34A421"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Pr="00A7181B">
        <w:rPr>
          <w:rFonts w:ascii="Times New Roman" w:eastAsia="Times New Roman" w:hAnsi="Times New Roman" w:cs="Times New Roman"/>
          <w:color w:val="000000"/>
          <w:sz w:val="20"/>
          <w:szCs w:val="20"/>
        </w:rPr>
        <w:t xml:space="preserve"> </w:t>
      </w:r>
      <w:proofErr w:type="spellStart"/>
      <w:r w:rsidRPr="00A7181B">
        <w:rPr>
          <w:rFonts w:ascii="Times New Roman" w:eastAsia="Times New Roman" w:hAnsi="Times New Roman" w:cs="Times New Roman"/>
          <w:color w:val="000000"/>
          <w:sz w:val="20"/>
          <w:szCs w:val="20"/>
        </w:rPr>
        <w:t>Pittarakis</w:t>
      </w:r>
      <w:proofErr w:type="spellEnd"/>
      <w:r w:rsidRPr="00A7181B">
        <w:rPr>
          <w:rFonts w:ascii="Times New Roman" w:eastAsia="Times New Roman" w:hAnsi="Times New Roman" w:cs="Times New Roman"/>
          <w:color w:val="000000"/>
          <w:sz w:val="20"/>
          <w:szCs w:val="20"/>
        </w:rPr>
        <w:t xml:space="preserve"> 2021.</w:t>
      </w:r>
    </w:p>
  </w:endnote>
  <w:endnote w:id="11">
    <w:p w14:paraId="6A897BB3"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highlight w:val="white"/>
        </w:rPr>
        <w:t xml:space="preserve"> </w:t>
      </w:r>
      <w:proofErr w:type="spellStart"/>
      <w:r w:rsidRPr="00A7181B">
        <w:rPr>
          <w:rFonts w:ascii="Times New Roman" w:eastAsia="Times New Roman" w:hAnsi="Times New Roman" w:cs="Times New Roman"/>
          <w:color w:val="000000"/>
          <w:sz w:val="20"/>
          <w:szCs w:val="20"/>
          <w:highlight w:val="white"/>
        </w:rPr>
        <w:t>Alışık</w:t>
      </w:r>
      <w:proofErr w:type="spellEnd"/>
      <w:r w:rsidRPr="00A7181B">
        <w:rPr>
          <w:rFonts w:ascii="Times New Roman" w:eastAsia="Times New Roman" w:hAnsi="Times New Roman" w:cs="Times New Roman"/>
          <w:color w:val="000000"/>
          <w:sz w:val="20"/>
          <w:szCs w:val="20"/>
          <w:highlight w:val="white"/>
        </w:rPr>
        <w:t xml:space="preserve"> 2021.</w:t>
      </w:r>
    </w:p>
  </w:endnote>
  <w:endnote w:id="12">
    <w:p w14:paraId="375B6994"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Pr="00A7181B">
        <w:rPr>
          <w:rFonts w:ascii="Times New Roman" w:eastAsia="Times New Roman" w:hAnsi="Times New Roman" w:cs="Times New Roman"/>
          <w:color w:val="000000"/>
          <w:sz w:val="20"/>
          <w:szCs w:val="20"/>
        </w:rPr>
        <w:t xml:space="preserve"> </w:t>
      </w:r>
      <w:proofErr w:type="spellStart"/>
      <w:r w:rsidRPr="00A7181B">
        <w:rPr>
          <w:rFonts w:ascii="Times New Roman" w:eastAsia="Times New Roman" w:hAnsi="Times New Roman" w:cs="Times New Roman"/>
          <w:color w:val="000000"/>
          <w:sz w:val="20"/>
          <w:szCs w:val="20"/>
        </w:rPr>
        <w:t>Kotoula</w:t>
      </w:r>
      <w:proofErr w:type="spellEnd"/>
      <w:r w:rsidRPr="00A7181B">
        <w:rPr>
          <w:rFonts w:ascii="Times New Roman" w:eastAsia="Times New Roman" w:hAnsi="Times New Roman" w:cs="Times New Roman"/>
          <w:color w:val="000000"/>
          <w:sz w:val="20"/>
          <w:szCs w:val="20"/>
        </w:rPr>
        <w:t xml:space="preserve"> 2021: 130, fig. 8.</w:t>
      </w:r>
    </w:p>
  </w:endnote>
  <w:endnote w:id="13">
    <w:p w14:paraId="48EE2DA7"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Pr="00A7181B">
        <w:rPr>
          <w:rFonts w:ascii="Times New Roman" w:eastAsia="Times New Roman" w:hAnsi="Times New Roman" w:cs="Times New Roman"/>
          <w:color w:val="000000"/>
          <w:sz w:val="20"/>
          <w:szCs w:val="20"/>
        </w:rPr>
        <w:t xml:space="preserve"> </w:t>
      </w:r>
      <w:proofErr w:type="spellStart"/>
      <w:r w:rsidRPr="00A7181B">
        <w:rPr>
          <w:rFonts w:ascii="Times New Roman" w:eastAsia="Times New Roman" w:hAnsi="Times New Roman" w:cs="Times New Roman"/>
          <w:color w:val="000000"/>
          <w:sz w:val="20"/>
          <w:szCs w:val="20"/>
        </w:rPr>
        <w:t>Tsarouchis</w:t>
      </w:r>
      <w:proofErr w:type="spellEnd"/>
      <w:r w:rsidRPr="00A7181B">
        <w:rPr>
          <w:rFonts w:ascii="Times New Roman" w:eastAsia="Times New Roman" w:hAnsi="Times New Roman" w:cs="Times New Roman"/>
          <w:color w:val="000000"/>
          <w:sz w:val="20"/>
          <w:szCs w:val="20"/>
        </w:rPr>
        <w:t xml:space="preserve"> 2009: 150, fig. 158.</w:t>
      </w:r>
    </w:p>
  </w:endnote>
  <w:endnote w:id="14">
    <w:p w14:paraId="745A462B"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proofErr w:type="spellStart"/>
      <w:r w:rsidRPr="00A7181B">
        <w:rPr>
          <w:rFonts w:ascii="Times New Roman" w:eastAsia="Times New Roman" w:hAnsi="Times New Roman" w:cs="Times New Roman"/>
          <w:color w:val="000000"/>
          <w:sz w:val="20"/>
          <w:szCs w:val="20"/>
        </w:rPr>
        <w:t>Kotoula</w:t>
      </w:r>
      <w:proofErr w:type="spellEnd"/>
      <w:r w:rsidRPr="00A7181B">
        <w:rPr>
          <w:rFonts w:ascii="Times New Roman" w:eastAsia="Times New Roman" w:hAnsi="Times New Roman" w:cs="Times New Roman"/>
          <w:color w:val="000000"/>
          <w:sz w:val="20"/>
          <w:szCs w:val="20"/>
        </w:rPr>
        <w:t xml:space="preserve"> 2023.</w:t>
      </w:r>
    </w:p>
  </w:endnote>
  <w:endnote w:id="15">
    <w:p w14:paraId="4642CC0B" w14:textId="77777777" w:rsidR="00A357C8" w:rsidRPr="00A7181B" w:rsidRDefault="00A357C8" w:rsidP="00A4442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7181B">
        <w:rPr>
          <w:rFonts w:ascii="Times New Roman" w:hAnsi="Times New Roman" w:cs="Times New Roman"/>
          <w:sz w:val="20"/>
          <w:szCs w:val="20"/>
          <w:vertAlign w:val="superscript"/>
        </w:rPr>
        <w:endnoteRef/>
      </w:r>
      <w:r w:rsidR="008C38D5" w:rsidRPr="00A7181B">
        <w:rPr>
          <w:rFonts w:ascii="Times New Roman" w:eastAsia="Times New Roman" w:hAnsi="Times New Roman" w:cs="Times New Roman"/>
          <w:color w:val="000000"/>
          <w:sz w:val="20"/>
          <w:szCs w:val="20"/>
        </w:rPr>
        <w:t xml:space="preserve"> </w:t>
      </w:r>
      <w:r w:rsidRPr="00A7181B">
        <w:rPr>
          <w:rFonts w:ascii="Times New Roman" w:eastAsia="Times New Roman" w:hAnsi="Times New Roman" w:cs="Times New Roman"/>
          <w:color w:val="000000"/>
          <w:sz w:val="20"/>
          <w:szCs w:val="20"/>
        </w:rPr>
        <w:t xml:space="preserve">From Rallis Kopsidis’ unpublished </w:t>
      </w:r>
      <w:r w:rsidR="00A44422" w:rsidRPr="00A7181B">
        <w:rPr>
          <w:rFonts w:ascii="Times New Roman" w:eastAsia="Times New Roman" w:hAnsi="Times New Roman" w:cs="Times New Roman"/>
          <w:i/>
          <w:iCs/>
          <w:color w:val="000000"/>
          <w:sz w:val="20"/>
          <w:szCs w:val="20"/>
        </w:rPr>
        <w:t xml:space="preserve">Memorandum. </w:t>
      </w:r>
      <w:r w:rsidRPr="00A7181B">
        <w:rPr>
          <w:rFonts w:ascii="Times New Roman" w:eastAsia="Times New Roman" w:hAnsi="Times New Roman" w:cs="Times New Roman"/>
          <w:color w:val="000000"/>
          <w:sz w:val="20"/>
          <w:szCs w:val="20"/>
        </w:rPr>
        <w:t xml:space="preserve">This particular extract is reproduced in </w:t>
      </w:r>
      <w:proofErr w:type="spellStart"/>
      <w:r w:rsidRPr="00A7181B">
        <w:rPr>
          <w:rFonts w:ascii="Times New Roman" w:eastAsia="Times New Roman" w:hAnsi="Times New Roman" w:cs="Times New Roman"/>
          <w:color w:val="000000"/>
          <w:sz w:val="20"/>
          <w:szCs w:val="20"/>
        </w:rPr>
        <w:t>Mamahs</w:t>
      </w:r>
      <w:proofErr w:type="spellEnd"/>
      <w:r w:rsidRPr="00A7181B">
        <w:rPr>
          <w:rFonts w:ascii="Times New Roman" w:eastAsia="Times New Roman" w:hAnsi="Times New Roman" w:cs="Times New Roman"/>
          <w:color w:val="000000"/>
          <w:sz w:val="20"/>
          <w:szCs w:val="20"/>
        </w:rPr>
        <w:t xml:space="preserve"> 2020: 84–85.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8C6E432-4EAD-42E5-A3AA-1120F89B834B}"/>
    <w:embedBold r:id="rId2" w:fontKey="{01BD778D-3EC7-497C-9E77-480C8BB1991A}"/>
    <w:embedItalic r:id="rId3" w:fontKey="{14EBF7DA-43DD-4A1E-A0B9-6EEC8AE73FC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46B8B076-4466-422D-9D0A-7812558E8DAC}"/>
  </w:font>
  <w:font w:name="Tahoma">
    <w:panose1 w:val="020B0604030504040204"/>
    <w:charset w:val="00"/>
    <w:family w:val="swiss"/>
    <w:pitch w:val="variable"/>
    <w:sig w:usb0="E1002EFF" w:usb1="C000605B" w:usb2="00000029" w:usb3="00000000" w:csb0="000101FF" w:csb1="00000000"/>
    <w:embedRegular r:id="rId5" w:fontKey="{7415CEA5-6360-45D5-BD4A-6750503F23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AD7B6" w14:textId="77777777" w:rsidR="007F1C16" w:rsidRDefault="007F1C16">
      <w:pPr>
        <w:spacing w:after="0" w:line="240" w:lineRule="auto"/>
      </w:pPr>
      <w:r>
        <w:separator/>
      </w:r>
    </w:p>
  </w:footnote>
  <w:footnote w:type="continuationSeparator" w:id="0">
    <w:p w14:paraId="5028712E" w14:textId="77777777" w:rsidR="007F1C16" w:rsidRDefault="007F1C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A46D28"/>
    <w:rsid w:val="000A7401"/>
    <w:rsid w:val="00100D89"/>
    <w:rsid w:val="003D7119"/>
    <w:rsid w:val="0066031B"/>
    <w:rsid w:val="006A1AF3"/>
    <w:rsid w:val="007F1C16"/>
    <w:rsid w:val="008C38D5"/>
    <w:rsid w:val="008F1948"/>
    <w:rsid w:val="00981E77"/>
    <w:rsid w:val="00A357C8"/>
    <w:rsid w:val="00A44422"/>
    <w:rsid w:val="00A46D28"/>
    <w:rsid w:val="00A7181B"/>
    <w:rsid w:val="00BA3E9E"/>
    <w:rsid w:val="00C042F6"/>
    <w:rsid w:val="00C30A24"/>
    <w:rsid w:val="00D54863"/>
    <w:rsid w:val="00D71283"/>
    <w:rsid w:val="00EB6C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2715"/>
  <w15:docId w15:val="{CCE55080-C04C-4FC8-8D3C-3640E2D2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6CB3"/>
  </w:style>
  <w:style w:type="paragraph" w:styleId="Heading1">
    <w:name w:val="heading 1"/>
    <w:basedOn w:val="Normal"/>
    <w:next w:val="Normal"/>
    <w:rsid w:val="00EB6CB3"/>
    <w:pPr>
      <w:keepNext/>
      <w:keepLines/>
      <w:spacing w:before="360" w:after="80"/>
      <w:outlineLvl w:val="0"/>
    </w:pPr>
    <w:rPr>
      <w:color w:val="2F5496"/>
      <w:sz w:val="40"/>
      <w:szCs w:val="40"/>
    </w:rPr>
  </w:style>
  <w:style w:type="paragraph" w:styleId="Heading2">
    <w:name w:val="heading 2"/>
    <w:basedOn w:val="Normal"/>
    <w:next w:val="Normal"/>
    <w:rsid w:val="00EB6CB3"/>
    <w:pPr>
      <w:keepNext/>
      <w:keepLines/>
      <w:spacing w:before="160" w:after="80"/>
      <w:outlineLvl w:val="1"/>
    </w:pPr>
    <w:rPr>
      <w:color w:val="2F5496"/>
      <w:sz w:val="32"/>
      <w:szCs w:val="32"/>
    </w:rPr>
  </w:style>
  <w:style w:type="paragraph" w:styleId="Heading3">
    <w:name w:val="heading 3"/>
    <w:basedOn w:val="Normal"/>
    <w:next w:val="Normal"/>
    <w:rsid w:val="00EB6CB3"/>
    <w:pPr>
      <w:keepNext/>
      <w:keepLines/>
      <w:spacing w:before="160" w:after="80"/>
      <w:outlineLvl w:val="2"/>
    </w:pPr>
    <w:rPr>
      <w:color w:val="2F5496"/>
      <w:sz w:val="28"/>
      <w:szCs w:val="28"/>
    </w:rPr>
  </w:style>
  <w:style w:type="paragraph" w:styleId="Heading4">
    <w:name w:val="heading 4"/>
    <w:basedOn w:val="Normal"/>
    <w:next w:val="Normal"/>
    <w:rsid w:val="00EB6CB3"/>
    <w:pPr>
      <w:keepNext/>
      <w:keepLines/>
      <w:spacing w:before="80" w:after="40"/>
      <w:outlineLvl w:val="3"/>
    </w:pPr>
    <w:rPr>
      <w:i/>
      <w:iCs/>
      <w:color w:val="2F5496"/>
    </w:rPr>
  </w:style>
  <w:style w:type="paragraph" w:styleId="Heading5">
    <w:name w:val="heading 5"/>
    <w:basedOn w:val="Normal"/>
    <w:next w:val="Normal"/>
    <w:rsid w:val="00EB6CB3"/>
    <w:pPr>
      <w:keepNext/>
      <w:keepLines/>
      <w:spacing w:before="80" w:after="40"/>
      <w:outlineLvl w:val="4"/>
    </w:pPr>
    <w:rPr>
      <w:color w:val="2F5496"/>
    </w:rPr>
  </w:style>
  <w:style w:type="paragraph" w:styleId="Heading6">
    <w:name w:val="heading 6"/>
    <w:basedOn w:val="Normal"/>
    <w:next w:val="Normal"/>
    <w:rsid w:val="00EB6CB3"/>
    <w:pPr>
      <w:keepNext/>
      <w:keepLines/>
      <w:spacing w:before="40" w:after="0"/>
      <w:outlineLvl w:val="5"/>
    </w:pPr>
    <w:rPr>
      <w:i/>
      <w:iCs/>
      <w:color w:val="595959"/>
    </w:rPr>
  </w:style>
  <w:style w:type="paragraph" w:styleId="Heading7">
    <w:name w:val="heading 7"/>
    <w:link w:val="Heading7Char"/>
    <w:uiPriority w:val="9"/>
    <w:semiHidden/>
    <w:unhideWhenUsed/>
    <w:qFormat/>
    <w:rsid w:val="004D3528"/>
    <w:pPr>
      <w:keepNext/>
      <w:keepLines/>
      <w:spacing w:before="40" w:after="0"/>
      <w:outlineLvl w:val="6"/>
    </w:pPr>
    <w:rPr>
      <w:rFonts w:eastAsiaTheme="majorEastAsia" w:cstheme="majorBidi"/>
      <w:color w:val="595959" w:themeColor="text1" w:themeTint="A6"/>
    </w:rPr>
  </w:style>
  <w:style w:type="paragraph" w:styleId="Heading8">
    <w:name w:val="heading 8"/>
    <w:link w:val="Heading8Char"/>
    <w:uiPriority w:val="9"/>
    <w:semiHidden/>
    <w:unhideWhenUsed/>
    <w:qFormat/>
    <w:rsid w:val="004D3528"/>
    <w:pPr>
      <w:keepNext/>
      <w:keepLines/>
      <w:spacing w:after="0"/>
      <w:outlineLvl w:val="7"/>
    </w:pPr>
    <w:rPr>
      <w:rFonts w:eastAsiaTheme="majorEastAsia" w:cstheme="majorBidi"/>
      <w:i/>
      <w:iCs/>
      <w:color w:val="272727" w:themeColor="text1" w:themeTint="D8"/>
    </w:rPr>
  </w:style>
  <w:style w:type="paragraph" w:styleId="Heading9">
    <w:name w:val="heading 9"/>
    <w:link w:val="Heading9Char"/>
    <w:uiPriority w:val="9"/>
    <w:semiHidden/>
    <w:unhideWhenUsed/>
    <w:qFormat/>
    <w:rsid w:val="004D35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B6CB3"/>
    <w:tblPr>
      <w:tblCellMar>
        <w:top w:w="100" w:type="dxa"/>
        <w:left w:w="100" w:type="dxa"/>
        <w:bottom w:w="100" w:type="dxa"/>
        <w:right w:w="100" w:type="dxa"/>
      </w:tblCellMar>
    </w:tblPr>
  </w:style>
  <w:style w:type="paragraph" w:styleId="Title">
    <w:name w:val="Title"/>
    <w:basedOn w:val="Normal"/>
    <w:next w:val="Normal"/>
    <w:rsid w:val="00EB6CB3"/>
    <w:pPr>
      <w:spacing w:after="80" w:line="240" w:lineRule="auto"/>
    </w:pPr>
    <w:rPr>
      <w:sz w:val="56"/>
      <w:szCs w:val="56"/>
    </w:rPr>
  </w:style>
  <w:style w:type="character" w:customStyle="1" w:styleId="1Char">
    <w:name w:val="Επικεφαλίδα 1 Char"/>
    <w:basedOn w:val="DefaultParagraphFont"/>
    <w:uiPriority w:val="9"/>
    <w:rsid w:val="004D3528"/>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DefaultParagraphFont"/>
    <w:uiPriority w:val="9"/>
    <w:semiHidden/>
    <w:rsid w:val="004D3528"/>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DefaultParagraphFont"/>
    <w:uiPriority w:val="9"/>
    <w:semiHidden/>
    <w:rsid w:val="004D3528"/>
    <w:rPr>
      <w:rFonts w:eastAsiaTheme="majorEastAsia" w:cstheme="majorBidi"/>
      <w:color w:val="2F5496" w:themeColor="accent1" w:themeShade="BF"/>
      <w:sz w:val="28"/>
      <w:szCs w:val="28"/>
    </w:rPr>
  </w:style>
  <w:style w:type="character" w:customStyle="1" w:styleId="4Char">
    <w:name w:val="Επικεφαλίδα 4 Char"/>
    <w:basedOn w:val="DefaultParagraphFont"/>
    <w:uiPriority w:val="9"/>
    <w:semiHidden/>
    <w:rsid w:val="004D3528"/>
    <w:rPr>
      <w:rFonts w:eastAsiaTheme="majorEastAsia" w:cstheme="majorBidi"/>
      <w:i/>
      <w:iCs/>
      <w:color w:val="2F5496" w:themeColor="accent1" w:themeShade="BF"/>
    </w:rPr>
  </w:style>
  <w:style w:type="character" w:customStyle="1" w:styleId="5Char">
    <w:name w:val="Επικεφαλίδα 5 Char"/>
    <w:basedOn w:val="DefaultParagraphFont"/>
    <w:uiPriority w:val="9"/>
    <w:semiHidden/>
    <w:rsid w:val="004D3528"/>
    <w:rPr>
      <w:rFonts w:eastAsiaTheme="majorEastAsia" w:cstheme="majorBidi"/>
      <w:color w:val="2F5496" w:themeColor="accent1" w:themeShade="BF"/>
    </w:rPr>
  </w:style>
  <w:style w:type="character" w:customStyle="1" w:styleId="6Char">
    <w:name w:val="Επικεφαλίδα 6 Char"/>
    <w:basedOn w:val="DefaultParagraphFont"/>
    <w:uiPriority w:val="9"/>
    <w:semiHidden/>
    <w:rsid w:val="004D3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528"/>
    <w:rPr>
      <w:rFonts w:eastAsiaTheme="majorEastAsia" w:cstheme="majorBidi"/>
      <w:color w:val="272727" w:themeColor="text1" w:themeTint="D8"/>
    </w:rPr>
  </w:style>
  <w:style w:type="character" w:customStyle="1" w:styleId="Char">
    <w:name w:val="Τίτλος Char"/>
    <w:basedOn w:val="DefaultParagraphFont"/>
    <w:uiPriority w:val="10"/>
    <w:rsid w:val="004D3528"/>
    <w:rPr>
      <w:rFonts w:asciiTheme="majorHAnsi" w:eastAsiaTheme="majorEastAsia" w:hAnsiTheme="majorHAnsi" w:cstheme="majorBidi"/>
      <w:spacing w:val="-10"/>
      <w:kern w:val="28"/>
      <w:sz w:val="56"/>
      <w:szCs w:val="56"/>
    </w:rPr>
  </w:style>
  <w:style w:type="character" w:customStyle="1" w:styleId="Char0">
    <w:name w:val="Υπότιτλος Char"/>
    <w:basedOn w:val="DefaultParagraphFont"/>
    <w:uiPriority w:val="11"/>
    <w:rsid w:val="004D3528"/>
    <w:rPr>
      <w:rFonts w:eastAsiaTheme="majorEastAsia" w:cstheme="majorBidi"/>
      <w:color w:val="595959" w:themeColor="text1" w:themeTint="A6"/>
      <w:spacing w:val="15"/>
      <w:sz w:val="28"/>
      <w:szCs w:val="28"/>
    </w:rPr>
  </w:style>
  <w:style w:type="paragraph" w:styleId="Quote">
    <w:name w:val="Quote"/>
    <w:link w:val="QuoteChar"/>
    <w:uiPriority w:val="29"/>
    <w:qFormat/>
    <w:rsid w:val="004D3528"/>
    <w:pPr>
      <w:spacing w:before="160"/>
      <w:jc w:val="center"/>
    </w:pPr>
    <w:rPr>
      <w:i/>
      <w:iCs/>
      <w:color w:val="404040" w:themeColor="text1" w:themeTint="BF"/>
    </w:rPr>
  </w:style>
  <w:style w:type="character" w:customStyle="1" w:styleId="QuoteChar">
    <w:name w:val="Quote Char"/>
    <w:basedOn w:val="DefaultParagraphFont"/>
    <w:link w:val="Quote"/>
    <w:uiPriority w:val="29"/>
    <w:rsid w:val="004D3528"/>
    <w:rPr>
      <w:i/>
      <w:iCs/>
      <w:color w:val="404040" w:themeColor="text1" w:themeTint="BF"/>
    </w:rPr>
  </w:style>
  <w:style w:type="paragraph" w:styleId="ListParagraph">
    <w:name w:val="List Paragraph"/>
    <w:uiPriority w:val="34"/>
    <w:qFormat/>
    <w:rsid w:val="004D3528"/>
    <w:pPr>
      <w:ind w:left="720"/>
      <w:contextualSpacing/>
    </w:pPr>
  </w:style>
  <w:style w:type="character" w:styleId="IntenseEmphasis">
    <w:name w:val="Intense Emphasis"/>
    <w:basedOn w:val="DefaultParagraphFont"/>
    <w:uiPriority w:val="21"/>
    <w:qFormat/>
    <w:rsid w:val="004D3528"/>
    <w:rPr>
      <w:i/>
      <w:iCs/>
      <w:color w:val="2F5496" w:themeColor="accent1" w:themeShade="BF"/>
    </w:rPr>
  </w:style>
  <w:style w:type="paragraph" w:styleId="IntenseQuote">
    <w:name w:val="Intense Quote"/>
    <w:link w:val="IntenseQuoteChar"/>
    <w:uiPriority w:val="30"/>
    <w:qFormat/>
    <w:rsid w:val="004D35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3528"/>
    <w:rPr>
      <w:i/>
      <w:iCs/>
      <w:color w:val="2F5496" w:themeColor="accent1" w:themeShade="BF"/>
    </w:rPr>
  </w:style>
  <w:style w:type="character" w:styleId="IntenseReference">
    <w:name w:val="Intense Reference"/>
    <w:basedOn w:val="DefaultParagraphFont"/>
    <w:uiPriority w:val="32"/>
    <w:qFormat/>
    <w:rsid w:val="004D3528"/>
    <w:rPr>
      <w:b/>
      <w:bCs/>
      <w:smallCaps/>
      <w:color w:val="2F5496" w:themeColor="accent1" w:themeShade="BF"/>
      <w:spacing w:val="5"/>
    </w:rPr>
  </w:style>
  <w:style w:type="paragraph" w:styleId="FootnoteText">
    <w:name w:val="footnote text"/>
    <w:link w:val="FootnoteTextChar"/>
    <w:uiPriority w:val="99"/>
    <w:unhideWhenUsed/>
    <w:rsid w:val="0049385C"/>
    <w:pPr>
      <w:spacing w:after="0" w:line="240" w:lineRule="auto"/>
    </w:pPr>
    <w:rPr>
      <w:sz w:val="20"/>
      <w:szCs w:val="20"/>
    </w:rPr>
  </w:style>
  <w:style w:type="character" w:customStyle="1" w:styleId="FootnoteTextChar">
    <w:name w:val="Footnote Text Char"/>
    <w:basedOn w:val="DefaultParagraphFont"/>
    <w:link w:val="FootnoteText"/>
    <w:uiPriority w:val="99"/>
    <w:rsid w:val="0049385C"/>
    <w:rPr>
      <w:sz w:val="20"/>
      <w:szCs w:val="20"/>
    </w:rPr>
  </w:style>
  <w:style w:type="character" w:styleId="FootnoteReference">
    <w:name w:val="footnote reference"/>
    <w:basedOn w:val="DefaultParagraphFont"/>
    <w:uiPriority w:val="99"/>
    <w:semiHidden/>
    <w:unhideWhenUsed/>
    <w:rsid w:val="0049385C"/>
    <w:rPr>
      <w:vertAlign w:val="superscript"/>
    </w:rPr>
  </w:style>
  <w:style w:type="character" w:styleId="Hyperlink">
    <w:name w:val="Hyperlink"/>
    <w:basedOn w:val="DefaultParagraphFont"/>
    <w:uiPriority w:val="99"/>
    <w:unhideWhenUsed/>
    <w:rsid w:val="00AD7CF0"/>
    <w:rPr>
      <w:color w:val="0000FF"/>
      <w:u w:val="single"/>
    </w:rPr>
  </w:style>
  <w:style w:type="paragraph" w:styleId="NormalWeb">
    <w:name w:val="Normal (Web)"/>
    <w:uiPriority w:val="99"/>
    <w:semiHidden/>
    <w:unhideWhenUsed/>
    <w:rsid w:val="00C86BCE"/>
    <w:pPr>
      <w:spacing w:before="100" w:beforeAutospacing="1" w:after="100" w:afterAutospacing="1" w:line="240" w:lineRule="auto"/>
    </w:pPr>
    <w:rPr>
      <w:rFonts w:ascii="Times New Roman" w:eastAsia="Times New Roman" w:hAnsi="Times New Roman" w:cs="Times New Roman"/>
      <w:lang w:eastAsia="el-GR"/>
    </w:rPr>
  </w:style>
  <w:style w:type="character" w:styleId="Emphasis">
    <w:name w:val="Emphasis"/>
    <w:basedOn w:val="DefaultParagraphFont"/>
    <w:uiPriority w:val="20"/>
    <w:qFormat/>
    <w:rsid w:val="0067511B"/>
    <w:rPr>
      <w:i/>
      <w:iCs/>
    </w:rPr>
  </w:style>
  <w:style w:type="paragraph" w:styleId="Revision">
    <w:name w:val="Revision"/>
    <w:hidden/>
    <w:uiPriority w:val="99"/>
    <w:semiHidden/>
    <w:rsid w:val="00D018E5"/>
    <w:pPr>
      <w:spacing w:after="0" w:line="240" w:lineRule="auto"/>
    </w:pPr>
  </w:style>
  <w:style w:type="character" w:styleId="CommentReference">
    <w:name w:val="annotation reference"/>
    <w:basedOn w:val="DefaultParagraphFont"/>
    <w:uiPriority w:val="99"/>
    <w:semiHidden/>
    <w:unhideWhenUsed/>
    <w:rsid w:val="00352B7C"/>
    <w:rPr>
      <w:sz w:val="16"/>
      <w:szCs w:val="16"/>
    </w:rPr>
  </w:style>
  <w:style w:type="paragraph" w:styleId="CommentText">
    <w:name w:val="annotation text"/>
    <w:link w:val="CommentTextChar"/>
    <w:uiPriority w:val="99"/>
    <w:unhideWhenUsed/>
    <w:rsid w:val="00352B7C"/>
    <w:pPr>
      <w:spacing w:line="240" w:lineRule="auto"/>
    </w:pPr>
    <w:rPr>
      <w:sz w:val="20"/>
      <w:szCs w:val="20"/>
    </w:rPr>
  </w:style>
  <w:style w:type="character" w:customStyle="1" w:styleId="CommentTextChar">
    <w:name w:val="Comment Text Char"/>
    <w:basedOn w:val="DefaultParagraphFont"/>
    <w:link w:val="CommentText"/>
    <w:uiPriority w:val="99"/>
    <w:rsid w:val="00352B7C"/>
    <w:rPr>
      <w:sz w:val="20"/>
      <w:szCs w:val="20"/>
    </w:rPr>
  </w:style>
  <w:style w:type="paragraph" w:styleId="CommentSubject">
    <w:name w:val="annotation subject"/>
    <w:basedOn w:val="CommentText"/>
    <w:next w:val="CommentText"/>
    <w:link w:val="CommentSubjectChar"/>
    <w:uiPriority w:val="99"/>
    <w:semiHidden/>
    <w:unhideWhenUsed/>
    <w:rsid w:val="00352B7C"/>
    <w:rPr>
      <w:b/>
      <w:bCs/>
    </w:rPr>
  </w:style>
  <w:style w:type="character" w:customStyle="1" w:styleId="CommentSubjectChar">
    <w:name w:val="Comment Subject Char"/>
    <w:basedOn w:val="CommentTextChar"/>
    <w:link w:val="CommentSubject"/>
    <w:uiPriority w:val="99"/>
    <w:semiHidden/>
    <w:rsid w:val="00352B7C"/>
    <w:rPr>
      <w:b/>
      <w:bCs/>
      <w:sz w:val="20"/>
      <w:szCs w:val="20"/>
    </w:rPr>
  </w:style>
  <w:style w:type="paragraph" w:styleId="BalloonText">
    <w:name w:val="Balloon Text"/>
    <w:link w:val="BalloonTextChar"/>
    <w:uiPriority w:val="99"/>
    <w:semiHidden/>
    <w:unhideWhenUsed/>
    <w:rsid w:val="00C84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F8B"/>
    <w:rPr>
      <w:rFonts w:ascii="Tahoma" w:hAnsi="Tahoma" w:cs="Tahoma"/>
      <w:sz w:val="16"/>
      <w:szCs w:val="16"/>
      <w:lang w:val="en-GB"/>
    </w:rPr>
  </w:style>
  <w:style w:type="paragraph" w:styleId="EndnoteText">
    <w:name w:val="endnote text"/>
    <w:link w:val="EndnoteTextChar"/>
    <w:uiPriority w:val="99"/>
    <w:semiHidden/>
    <w:unhideWhenUsed/>
    <w:rsid w:val="00182E1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2E10"/>
    <w:rPr>
      <w:sz w:val="20"/>
      <w:szCs w:val="20"/>
      <w:lang w:val="en-GB"/>
    </w:rPr>
  </w:style>
  <w:style w:type="character" w:styleId="EndnoteReference">
    <w:name w:val="endnote reference"/>
    <w:basedOn w:val="DefaultParagraphFont"/>
    <w:uiPriority w:val="99"/>
    <w:semiHidden/>
    <w:unhideWhenUsed/>
    <w:rsid w:val="00182E10"/>
    <w:rPr>
      <w:vertAlign w:val="superscript"/>
    </w:rPr>
  </w:style>
  <w:style w:type="paragraph" w:styleId="Subtitle">
    <w:name w:val="Subtitle"/>
    <w:basedOn w:val="Normal"/>
    <w:next w:val="Normal"/>
    <w:rsid w:val="00EB6CB3"/>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eb.archive.org/web/20150302112729/http:/www.byzsym.org/index.php/bz/article/viewFile/268/8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academia.edu"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arRDcrpypVVXvpkay9P5eyuEw==">CgMxLjAiuwMKC0FBQUJ3di04cDB3EuICCgtBQUFCd3YtOHAwdxILQUFBQnd2LThwMHcaDQoJdGV4dC9odG1sEgAiDgoKdGV4dC9wbGFpbhIAKj0KBHlwcG8aNS8vc3NsLmdzdGF0aWMuY29tL2RvY3MvY29tbW9uL2JsdWVfc2lsaG91ZXR0ZTk2LTAucG5nMKC9n+ieMzigvZ/onjNKSwokYXBwbGljYXRpb24vdm5kLmdvb2dsZS1hcHBzLmRvY3MubWRzGiPC19rkAR0aGwoXChFFdmFuZ2VsaWNhbHNjZW5lcxABGAAQAXI/CgR5cHBvGjcKNS8vc3NsLmdzdGF0aWMuY29tL2RvY3MvY29tbW9uL2JsdWVfc2lsaG91ZXR0ZTk2LTAucG5neACCATdzdWdnZXN0SWRJbXBvcnRlYzM2MWMzMC0wYTY2LTQ1ZDctOTcxMi01NTE5MzYxMmVjOTNfMTI0iAEBmgEGCAAQABgAsAEAuAEBGKC9n+ieMyCgvZ/onjMwAEI3c3VnZ2VzdElkSW1wb3J0ZWMzNjFjMzAtMGE2Ni00NWQ3LTk3MTItNTUxOTM2MTJlYzkzXzEyNCK9AwoLQUFBQnd2LThwejAS5AIKC0FBQUJ3di04cHowEgtBQUFCd3YtOHB6MBoNCgl0ZXh0L2h0bWwSACIOCgp0ZXh0L3BsYWluEgAqPQoEeXBwbxo1Ly9zc2wuZ3N0YXRpYy5jb20vZG9jcy9jb21tb24vYmx1ZV9zaWxob3VldHRlOTYtMC5wbmcwgJKj6J4zOICSo+ieM0pNCiRhcHBsaWNhdGlvbi92bmQuZ29vZ2xlLWFwcHMuZG9jcy5tZHMaJcLX2uQBHxodChkKE2FyZSBiZWluZyBwZXJmb3JtZWQQARgAEAFyPwoEeXBwbxo3CjUvL3NzbC5nc3RhdGljLmNvbS9kb2NzL2NvbW1vbi9ibHVlX3NpbGhvdWV0dGU5Ni0wLnBuZ3gAggE3c3VnZ2VzdElkSW1wb3J0ZWMzNjFjMzAtMGE2Ni00NWQ3LTk3MTItNTUxOTM2MTJlYzkzXzEyOYgBAZoBBggAEAAYALABALgBARiAkqPonjMggJKj6J4zMABCN3N1Z2dlc3RJZEltcG9ydGVjMzYxYzMwLTBhNjYtNDVkNy05NzEyLTU1MTkzNjEyZWM5M18xMjk4AGpHCjZzdWdnZXN0SWRJbXBvcnRlYzM2MWMzMC0wYTY2LTQ1ZDctOTcxMi01NTE5MzYxMmVjOTNfNDISDUJoYWxsYSwgTmlhbWhqSAo3c3VnZ2VzdElkSW1wb3J0ZWMzNjFjMzAtMGE2Ni00NWQ3LTk3MTItNTUxOTM2MTJlYzkzXzE4ORINQmhhbGxhLCBOaWFtaGpICjdzdWdnZXN0SWRJbXBvcnRlYzM2MWMzMC0wYTY2LTQ1ZDctOTcxMi01NTE5MzYxMmVjOTNfMTUzEg1CaGFsbGEsIE5pYW1oaj4KNnN1Z2dlc3RJZEltcG9ydGVjMzYxYzMwLTBhNjYtNDVkNy05NzEyLTU1MTkzNjEyZWM5M183ORIEeXBwb2pHCjZzdWdnZXN0SWRJbXBvcnRlYzM2MWMzMC0wYTY2LTQ1ZDctOTcxMi01NTE5MzYxMmVjOTNfNjESDUJoYWxsYSwgTmlhbWhqSAo3c3VnZ2VzdElkSW1wb3J0ZWMzNjFjMzAtMGE2Ni00NWQ3LTk3MTItNTUxOTM2MTJlYzkzXzE2ORINQmhhbGxhLCBOaWFtaGo9CjVzdWdnZXN0SWRJbXBvcnRlYzM2MWMzMC0wYTY2LTQ1ZDctOTcxMi01NTE5MzYxMmVjOTNfMhIEeXBwb2pICjdzdWdnZXN0SWRJbXBvcnRlYzM2MWMzMC0wYTY2LTQ1ZDctOTcxMi01NTE5MzYxMmVjOTNfMTQ3Eg1CaGFsbGEsIE5pYW1oakcKNnN1Z2dlc3RJZEltcG9ydGVjMzYxYzMwLTBhNjYtNDVkNy05NzEyLTU1MTkzNjEyZWM5M184MhINQmhhbGxhLCBOaWFtaGpHCjZzdWdnZXN0SWRJbXBvcnRlYzM2MWMzMC0wYTY2LTQ1ZDctOTcxMi01NTE5MzYxMmVjOTNfNjgSDUJoYWxsYSwgTmlhbWhqSAo3c3VnZ2VzdElkSW1wb3J0ZWMzNjFjMzAtMGE2Ni00NWQ3LTk3MTItNTUxOTM2MTJlYzkzXzIyORINQmhhbGxhLCBOaWFtaGpICjdzdWdnZXN0SWRJbXBvcnRlYzM2MWMzMC0wYTY2LTQ1ZDctOTcxMi01NTE5MzYxMmVjOTNfMTY1Eg1CaGFsbGEsIE5pYW1oakgKN3N1Z2dlc3RJZEltcG9ydGVjMzYxYzMwLTBhNjYtNDVkNy05NzEyLTU1MTkzNjEyZWM5M18xMTcSDUJoYWxsYSwgTmlhbWhqSAo3c3VnZ2VzdElkSW1wb3J0ZWMzNjFjMzAtMGE2Ni00NWQ3LTk3MTItNTUxOTM2MTJlYzkzXzE1MRINQmhhbGxhLCBOaWFtaGpHCjZzdWdnZXN0SWRJbXBvcnRlYzM2MWMzMC0wYTY2LTQ1ZDctOTcxMi01NTE5MzYxMmVjOTNfNjASDUJoYWxsYSwgTmlhbWhqRwo2c3VnZ2VzdElkSW1wb3J0ZWMzNjFjMzAtMGE2Ni00NWQ3LTk3MTItNTUxOTM2MTJlYzkzXzE1Eg1CaGFsbGEsIE5pYW1oakgKN3N1Z2dlc3RJZEltcG9ydGVjMzYxYzMwLTBhNjYtNDVkNy05NzEyLTU1MTkzNjEyZWM5M18xNzgSDUJoYWxsYSwgTmlhbWhqSAo3c3VnZ2VzdElkSW1wb3J0ZWMzNjFjMzAtMGE2Ni00NWQ3LTk3MTItNTUxOTM2MTJlYzkzXzE1ORINQmhhbGxhLCBOaWFtaGpHCjZzdWdnZXN0SWRJbXBvcnRlYzM2MWMzMC0wYTY2LTQ1ZDctOTcxMi01NTE5MzYxMmVjOTNfMzcSDUJoYWxsYSwgTmlhbWhqSAo3c3VnZ2VzdElkSW1wb3J0ZWMzNjFjMzAtMGE2Ni00NWQ3LTk3MTItNTUxOTM2MTJlYzkzXzIyMhINQmhhbGxhLCBOaWFtaGpICjdzdWdnZXN0SWRJbXBvcnRlYzM2MWMzMC0wYTY2LTQ1ZDctOTcxMi01NTE5MzYxMmVjOTNfMjIwEg1CaGFsbGEsIE5pYW1oakcKNnN1Z2dlc3RJZEltcG9ydGVjMzYxYzMwLTBhNjYtNDVkNy05NzEyLTU1MTkzNjEyZWM5M18zORINQmhhbGxhLCBOaWFtaGpICjdzdWdnZXN0SWRJbXBvcnRlYzM2MWMzMC0wYTY2LTQ1ZDctOTcxMi01NTE5MzYxMmVjOTNfMTIyEg1CaGFsbGEsIE5pYW1oaj8KN3N1Z2dlc3RJZEltcG9ydGVjMzYxYzMwLTBhNjYtNDVkNy05NzEyLTU1MTkzNjEyZWM5M18xMDQSBHlwcG9qSAo3c3VnZ2VzdElkSW1wb3J0ZWMzNjFjMzAtMGE2Ni00NWQ3LTk3MTItNTUxOTM2MTJlYzkzXzEzMxINQmhhbGxhLCBOaWFtaGo+CjZzdWdnZXN0SWRJbXBvcnRlYzM2MWMzMC0wYTY2LTQ1ZDctOTcxMi01NTE5MzYxMmVjOTNfODASBHlwcG9qPwo3c3VnZ2VzdElkSW1wb3J0ZWMzNjFjMzAtMGE2Ni00NWQ3LTk3MTItNTUxOTM2MTJlYzkzXzEzMhIEeXBwb2pHCjZzdWdnZXN0SWRJbXBvcnRlYzM2MWMzMC0wYTY2LTQ1ZDctOTcxMi01NTE5MzYxMmVjOTNfMzUSDUJoYWxsYSwgTmlhbWhqRwo2c3VnZ2VzdElkSW1wb3J0ZWMzNjFjMzAtMGE2Ni00NWQ3LTk3MTItNTUxOTM2MTJlYzkzXzI5Eg1CaGFsbGEsIE5pYW1oakgKN3N1Z2dlc3RJZEltcG9ydGVjMzYxYzMwLTBhNjYtNDVkNy05NzEyLTU1MTkzNjEyZWM5M18xODcSDUJoYWxsYSwgTmlhbWhqSAo3c3VnZ2VzdElkSW1wb3J0ZWMzNjFjMzAtMGE2Ni00NWQ3LTk3MTItNTUxOTM2MTJlYzkzXzE2MhINQmhhbGxhLCBOaWFtaGpHCjZzdWdnZXN0SWRJbXBvcnRlYzM2MWMzMC0wYTY2LTQ1ZDctOTcxMi01NTE5MzYxMmVjOTNfNDESDUJoYWxsYSwgTmlhbWhqSAo3c3VnZ2VzdElkSW1wb3J0ZWMzNjFjMzAtMGE2Ni00NWQ3LTk3MTItNTUxOTM2MTJlYzkzXzE4MBINQmhhbGxhLCBOaWFtaGo/CjdzdWdnZXN0SWRJbXBvcnRlYzM2MWMzMC0wYTY2LTQ1ZDctOTcxMi01NTE5MzYxMmVjOTNfMTM5EgR5cHBvaj0KNXN1Z2dlc3RJZEltcG9ydGVjMzYxYzMwLTBhNjYtNDVkNy05NzEyLTU1MTkzNjEyZWM5M182EgR5cHBvakgKN3N1Z2dlc3RJZEltcG9ydGVjMzYxYzMwLTBhNjYtNDVkNy05NzEyLTU1MTkzNjEyZWM5M18xNDMSDUJoYWxsYSwgTmlhbWhqPwo3c3VnZ2VzdElkSW1wb3J0ZWMzNjFjMzAtMGE2Ni00NWQ3LTk3MTItNTUxOTM2MTJlYzkzXzExMhIEeXBwb2pICjdzdWdnZXN0SWRJbXBvcnRlYzM2MWMzMC0wYTY2LTQ1ZDctOTcxMi01NTE5MzYxMmVjOTNfMTQ1Eg1CaGFsbGEsIE5pYW1oakcKNnN1Z2dlc3RJZEltcG9ydGVjMzYxYzMwLTBhNjYtNDVkNy05NzEyLTU1MTkzNjEyZWM5M180OBINQmhhbGxhLCBOaWFtaGo/CjdzdWdnZXN0SWRJbXBvcnRlYzM2MWMzMC0wYTY2LTQ1ZDctOTcxMi01NTE5MzYxMmVjOTNfMTUyEgR5cHBvakcKNnN1Z2dlc3RJZEltcG9ydGVjMzYxYzMwLTBhNjYtNDVkNy05NzEyLTU1MTkzNjEyZWM5M18yMBINQmhhbGxhLCBOaWFtaGpICjdzdWdnZXN0SWRJbXBvcnRlYzM2MWMzMC0wYTY2LTQ1ZDctOTcxMi01NTE5MzYxMmVjOTNfMjIzEg1CaGFsbGEsIE5pYW1oakcKNnN1Z2dlc3RJZEltcG9ydGVjMzYxYzMwLTBhNjYtNDVkNy05NzEyLTU1MTkzNjEyZWM5M185MhINQmhhbGxhLCBOaWFtaGpHCjZzdWdnZXN0SWRJbXBvcnRlYzM2MWMzMC0wYTY2LTQ1ZDctOTcxMi01NTE5MzYxMmVjOTNfNTASDUJoYWxsYSwgTmlhbWhqRwo2c3VnZ2VzdElkSW1wb3J0ZWMzNjFjMzAtMGE2Ni00NWQ3LTk3MTItNTUxOTM2MTJlYzkzXzcxEg1CaGFsbGEsIE5pYW1oakgKN3N1Z2dlc3RJZEltcG9ydGVjMzYxYzMwLTBhNjYtNDVkNy05NzEyLTU1MTkzNjEyZWM5M18xMTASDUJoYWxsYSwgTmlhbWhqSAo3c3VnZ2VzdElkSW1wb3J0ZWMzNjFjMzAtMGE2Ni00NWQ3LTk3MTItNTUxOTM2MTJlYzkzXzEyMRINQmhhbGxhLCBOaWFtaGpHCjZzdWdnZXN0SWRJbXBvcnRlYzM2MWMzMC0wYTY2LTQ1ZDctOTcxMi01NTE5MzYxMmVjOTNfOTASDUJoYWxsYSwgTmlhbWhqSAo3c3VnZ2VzdElkSW1wb3J0ZWMzNjFjMzAtMGE2Ni00NWQ3LTk3MTItNTUxOTM2MTJlYzkzXzEzNxINQmhhbGxhLCBOaWFtaGpHCjZzdWdnZXN0SWRJbXBvcnRlYzM2MWMzMC0wYTY2LTQ1ZDctOTcxMi01NTE5MzYxMmVjOTNfNDQSDUJoYWxsYSwgTmlhbWhqPwo3c3VnZ2VzdElkSW1wb3J0ZWMzNjFjMzAtMGE2Ni00NWQ3LTk3MTItNTUxOTM2MTJlYzkzXzEyNBIEeXBwb2o/CjdzdWdnZXN0SWRJbXBvcnRlYzM2MWMzMC0wYTY2LTQ1ZDctOTcxMi01NTE5MzYxMmVjOTNfMTA5EgR5cHBvakgKN3N1Z2dlc3RJZEltcG9ydGVjMzYxYzMwLTBhNjYtNDVkNy05NzEyLTU1MTkzNjEyZWM5M18xNzkSDUJoYWxsYSwgTmlhbWhqRwo2c3VnZ2VzdElkSW1wb3J0ZWMzNjFjMzAtMGE2Ni00NWQ3LTk3MTItNTUxOTM2MTJlYzkzXzc3Eg1CaGFsbGEsIE5pYW1oakcKNnN1Z2dlc3RJZEltcG9ydGVjMzYxYzMwLTBhNjYtNDVkNy05NzEyLTU1MTkzNjEyZWM5M184NBINQmhhbGxhLCBOaWFtaGpHCjZzdWdnZXN0SWRJbXBvcnRlYzM2MWMzMC0wYTY2LTQ1ZDctOTcxMi01NTE5MzYxMmVjOTNfNDMSDUJoYWxsYSwgTmlhbWhqPwo3c3VnZ2VzdElkSW1wb3J0ZWMzNjFjMzAtMGE2Ni00NWQ3LTk3MTItNTUxOTM2MTJlYzkzXzE0MhIEeXBwb2pICjdzdWdnZXN0SWRJbXBvcnRlYzM2MWMzMC0wYTY2LTQ1ZDctOTcxMi01NTE5MzYxMmVjOTNfMTMwEg1CaGFsbGEsIE5pYW1oakgKN3N1Z2dlc3RJZEltcG9ydGVjMzYxYzMwLTBhNjYtNDVkNy05NzEyLTU1MTkzNjEyZWM5M18xMzQSDUJoYWxsYSwgTmlhbWhqRwo2c3VnZ2VzdElkSW1wb3J0ZWMzNjFjMzAtMGE2Ni00NWQ3LTk3MTItNTUxOTM2MTJlYzkzXzUyEg1CaGFsbGEsIE5pYW1oaj8KN3N1Z2dlc3RJZEltcG9ydGVjMzYxYzMwLTBhNjYtNDVkNy05NzEyLTU1MTkzNjEyZWM5M18xOTYSBHlwcG9qRwo2c3VnZ2VzdElkSW1wb3J0ZWMzNjFjMzAtMGE2Ni00NWQ3LTk3MTItNTUxOTM2MTJlYzkzXzI0Eg1CaGFsbGEsIE5pYW1oakgKN3N1Z2dlc3RJZEltcG9ydGVjMzYxYzMwLTBhNjYtNDVkNy05NzEyLTU1MTkzNjEyZWM5M18xNzcSDUJoYWxsYSwgTmlhbWhqSAo3c3VnZ2VzdElkSW1wb3J0ZWMzNjFjMzAtMGE2Ni00NWQ3LTk3MTItNTUxOTM2MTJlYzkzXzE4NRINQmhhbGxhLCBOaWFtaGpHCjZzdWdnZXN0SWRJbXBvcnRlYzM2MWMzMC0wYTY2LTQ1ZDctOTcxMi01NTE5MzYxMmVjOTNfNzYSDUJoYWxsYSwgTmlhbWhqPQo1c3VnZ2VzdElkSW1wb3J0ZWMzNjFjMzAtMGE2Ni00NWQ3LTk3MTItNTUxOTM2MTJlYzkzXzkSBHlwcG9qRwo2c3VnZ2VzdElkSW1wb3J0ZWMzNjFjMzAtMGE2Ni00NWQ3LTk3MTItNTUxOTM2MTJlYzkzXzIyEg1CaGFsbGEsIE5pYW1oakgKN3N1Z2dlc3RJZEltcG9ydGVjMzYxYzMwLTBhNjYtNDVkNy05NzEyLTU1MTkzNjEyZWM5M18xOTESDUJoYWxsYSwgTmlhbWhqPwo3c3VnZ2VzdElkSW1wb3J0ZWMzNjFjMzAtMGE2Ni00NWQ3LTk3MTItNTUxOTM2MTJlYzkzXzE3MBIEeXBwb2pICjdzdWdnZXN0SWRJbXBvcnRlYzM2MWMzMC0wYTY2LTQ1ZDctOTcxMi01NTE5MzYxMmVjOTNfMTcxEg1CaGFsbGEsIE5pYW1oakcKNnN1Z2dlc3RJZEltcG9ydGVjMzYxYzMwLTBhNjYtNDVkNy05NzEyLTU1MTkzNjEyZWM5M18xORINQmhhbGxhLCBOaWFtaGpICjdzdWdnZXN0SWRJbXBvcnRlYzM2MWMzMC0wYTY2LTQ1ZDctOTcxMi01NTE5MzYxMmVjOTNfMTQxEg1CaGFsbGEsIE5pYW1oakcKNnN1Z2dlc3RJZEltcG9ydGVjMzYxYzMwLTBhNjYtNDVkNy05NzEyLTU1MTkzNjEyZWM5M180NxINQmhhbGxhLCBOaWFtaGpHCjZzdWdnZXN0SWRJbXBvcnRlYzM2MWMzMC0wYTY2LTQ1ZDctOTcxMi01NTE5MzYxMmVjOTNfOTgSDUJoYWxsYSwgTmlhbWhqSAo3c3VnZ2VzdElkSW1wb3J0ZWMzNjFjMzAtMGE2Ni00NWQ3LTk3MTItNTUxOTM2MTJlYzkzXzEyNRINQmhhbGxhLCBOaWFtaGpHCjZzdWdnZXN0SWRJbXBvcnRlYzM2MWMzMC0wYTY2LTQ1ZDctOTcxMi01NTE5MzYxMmVjOTNfNjYSDUJoYWxsYSwgTmlhbWhqPgo2c3VnZ2VzdElkSW1wb3J0ZWMzNjFjMzAtMGE2Ni00NWQ3LTk3MTItNTUxOTM2MTJlYzkzXzczEgR5cHBvaj4KNnN1Z2dlc3RJZEltcG9ydGVjMzYxYzMwLTBhNjYtNDVkNy05NzEyLTU1MTkzNjEyZWM5M184NRIEeXBwb2pICjdzdWdnZXN0SWRJbXBvcnRlYzM2MWMzMC0wYTY2LTQ1ZDctOTcxMi01NTE5MzYxMmVjOTNfMjEzEg1CaGFsbGEsIE5pYW1oakgKN3N1Z2dlc3RJZEltcG9ydGVjMzYxYzMwLTBhNjYtNDVkNy05NzEyLTU1MTkzNjEyZWM5M18xODESDUJoYWxsYSwgTmlhbWhqRwo2c3VnZ2VzdElkSW1wb3J0ZWMzNjFjMzAtMGE2Ni00NWQ3LTk3MTItNTUxOTM2MTJlYzkzXzU1Eg1CaGFsbGEsIE5pYW1oaj0KNXN1Z2dlc3RJZEltcG9ydGVjMzYxYzMwLTBhNjYtNDVkNy05NzEyLTU1MTkzNjEyZWM5M18xEgR5cHBvakgKN3N1Z2dlc3RJZEltcG9ydGVjMzYxYzMwLTBhNjYtNDVkNy05NzEyLTU1MTkzNjEyZWM5M18xNTQSDUJoYWxsYSwgTmlhbWhqRwo2c3VnZ2VzdElkSW1wb3J0ZWMzNjFjMzAtMGE2Ni00NWQ3LTk3MTItNTUxOTM2MTJlYzkzXzM2Eg1CaGFsbGEsIE5pYW1oakgKN3N1Z2dlc3RJZEltcG9ydGVjMzYxYzMwLTBhNjYtNDVkNy05NzEyLTU1MTkzNjEyZWM5M18xMDYSDUJoYWxsYSwgTmlhbWhqPQo1c3VnZ2VzdElkSW1wb3J0ZWMzNjFjMzAtMGE2Ni00NWQ3LTk3MTItNTUxOTM2MTJlYzkzXzQSBHlwcG9qSAo3c3VnZ2VzdElkSW1wb3J0ZWMzNjFjMzAtMGE2Ni00NWQ3LTk3MTItNTUxOTM2MTJlYzkzXzExMRINQmhhbGxhLCBOaWFtaGpICjdzdWdnZXN0SWRJbXBvcnRlYzM2MWMzMC0wYTY2LTQ1ZDctOTcxMi01NTE5MzYxMmVjOTNfMTkwEg1CaGFsbGEsIE5pYW1oaj8KN3N1Z2dlc3RJZEltcG9ydGVjMzYxYzMwLTBhNjYtNDVkNy05NzEyLTU1MTkzNjEyZWM5M18xNjESBHlwcG9qRwo2c3VnZ2VzdElkSW1wb3J0ZWMzNjFjMzAtMGE2Ni00NWQ3LTk3MTItNTUxOTM2MTJlYzkzXzU5Eg1CaGFsbGEsIE5pYW1oakgKN3N1Z2dlc3RJZEltcG9ydGVjMzYxYzMwLTBhNjYtNDVkNy05NzEyLTU1MTkzNjEyZWM5M18xODISDUJoYWxsYSwgTmlhbWhqSAo3c3VnZ2VzdElkSW1wb3J0ZWMzNjFjMzAtMGE2Ni00NWQ3LTk3MTItNTUxOTM2MTJlYzkzXzIxOBINQmhhbGxhLCBOaWFtaGo+CjZzdWdnZXN0SWRJbXBvcnRlYzM2MWMzMC0wYTY2LTQ1ZDctOTcxMi01NTE5MzYxMmVjOTNfMTQSBHlwcG9qPwo3c3VnZ2VzdElkSW1wb3J0ZWMzNjFjMzAtMGE2Ni00NWQ3LTk3MTItNTUxOTM2MTJlYzkzXzE1NRIEeXBwb2o+CjZzdWdnZXN0SWRJbXBvcnRlYzM2MWMzMC0wYTY2LTQ1ZDctOTcxMi01NTE5MzYxMmVjOTNfNjcSBHlwcG9qPwo3c3VnZ2VzdElkSW1wb3J0ZWMzNjFjMzAtMGE2Ni00NWQ3LTk3MTItNTUxOTM2MTJlYzkzXzE3MhIEeXBwb2o/CjdzdWdnZXN0SWRJbXBvcnRlYzM2MWMzMC0wYTY2LTQ1ZDctOTcxMi01NTE5MzYxMmVjOTNfMTQ2EgR5cHBvakcKNnN1Z2dlc3RJZEltcG9ydGVjMzYxYzMwLTBhNjYtNDVkNy05NzEyLTU1MTkzNjEyZWM5M18yMxINQmhhbGxhLCBOaWFtaGo+CjZzdWdnZXN0SWRJbXBvcnRlYzM2MWMzMC0wYTY2LTQ1ZDctOTcxMi01NTE5MzYxMmVjOTNfOTESBHlwcG9qSAo3c3VnZ2VzdElkSW1wb3J0ZWMzNjFjMzAtMGE2Ni00NWQ3LTk3MTItNTUxOTM2MTJlYzkzXzE4NBINQmhhbGxhLCBOaWFtaGo/CjdzdWdnZXN0SWRJbXBvcnRlYzM2MWMzMC0wYTY2LTQ1ZDctOTcxMi01NTE5MzYxMmVjOTNfMTI5EgR5cHBvaj4KNnN1Z2dlc3RJZEltcG9ydGVjMzYxYzMwLTBhNjYtNDVkNy05NzEyLTU1MTkzNjEyZWM5M183MBIEeXBwb2pHCjZzdWdnZXN0SWRJbXBvcnRlYzM2MWMzMC0wYTY2LTQ1ZDctOTcxMi01NTE5MzYxMmVjOTNfNTMSDUJoYWxsYSwgTmlhbWhqPwo3c3VnZ2VzdElkSW1wb3J0ZWMzNjFjMzAtMGE2Ni00NWQ3LTk3MTItNTUxOTM2MTJlYzkzXzEyMBIEeXBwb2pHCjZzdWdnZXN0SWRJbXBvcnRlYzM2MWMzMC0wYTY2LTQ1ZDctOTcxMi01NTE5MzYxMmVjOTNfNjQSDUJoYWxsYSwgTmlhbWhqRwo2c3VnZ2VzdElkSW1wb3J0ZWMzNjFjMzAtMGE2Ni00NWQ3LTk3MTItNTUxOTM2MTJlYzkzXzU3Eg1CaGFsbGEsIE5pYW1oakgKN3N1Z2dlc3RJZEltcG9ydGVjMzYxYzMwLTBhNjYtNDVkNy05NzEyLTU1MTkzNjEyZWM5M18xODYSDUJoYWxsYSwgTmlhbWhqRwo2c3VnZ2VzdElkSW1wb3J0ZWMzNjFjMzAtMGE2Ni00NWQ3LTk3MTItNTUxOTM2MTJlYzkzXzI4Eg1CaGFsbGEsIE5pYW1oaj8KN3N1Z2dlc3RJZEltcG9ydGVjMzYxYzMwLTBhNjYtNDVkNy05NzEyLTU1MTkzNjEyZWM5M18xNjMSBHlwcG9qSAo3c3VnZ2VzdElkSW1wb3J0ZWMzNjFjMzAtMGE2Ni00NWQ3LTk3MTItNTUxOTM2MTJlYzkzXzIyNhINQmhhbGxhLCBOaWFtaGo/CjdzdWdnZXN0SWRJbXBvcnRlYzM2MWMzMC0wYTY2LTQ1ZDctOTcxMi01NTE5MzYxMmVjOTNfMTQ0EgR5cHBvakcKNnN1Z2dlc3RJZEltcG9ydGVjMzYxYzMwLTBhNjYtNDVkNy05NzEyLTU1MTkzNjEyZWM5M18yNhINQmhhbGxhLCBOaWFtaGo/CjdzdWdnZXN0SWRJbXBvcnRlYzM2MWMzMC0wYTY2LTQ1ZDctOTcxMi01NTE5MzYxMmVjOTNfMTM2EgR5cHBvakgKN3N1Z2dlc3RJZEltcG9ydGVjMzYxYzMwLTBhNjYtNDVkNy05NzEyLTU1MTkzNjEyZWM5M18yMjESDUJoYWxsYSwgTmlhbWhqSAo3c3VnZ2VzdElkSW1wb3J0ZWMzNjFjMzAtMGE2Ni00NWQ3LTk3MTItNTUxOTM2MTJlYzkzXzE4MxINQmhhbGxhLCBOaWFtaHIhMWZPdm9NcE5GbUs2cTRtdFIxeENNaW1Zd1hLVEZ5S1h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E3E5F2-6EED-46C5-8667-512A1E2172D8}">
  <ds:schemaRefs>
    <ds:schemaRef ds:uri="http://schemas.openxmlformats.org/officeDocument/2006/bibliography"/>
  </ds:schemaRefs>
</ds:datastoreItem>
</file>

<file path=docMetadata/LabelInfo.xml><?xml version="1.0" encoding="utf-8"?>
<clbl:labelList xmlns:clbl="http://schemas.microsoft.com/office/2020/mipLabelMetadata">
  <clbl:label id="{7893ce20-a697-4fd6-a4da-14011f6a471d}" enabled="1" method="Standard" siteId="{a8eec281-aaa3-4dae-ac9b-9a398b9215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2400</Words>
  <Characters>13710</Characters>
  <Application>Microsoft Office Word</Application>
  <DocSecurity>0</DocSecurity>
  <Lines>236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word</dc:creator>
  <cp:lastModifiedBy>Bhalla, Niamh</cp:lastModifiedBy>
  <cp:revision>4</cp:revision>
  <dcterms:created xsi:type="dcterms:W3CDTF">2026-02-26T13:40:00Z</dcterms:created>
  <dcterms:modified xsi:type="dcterms:W3CDTF">2026-03-20T13:22:00Z</dcterms:modified>
</cp:coreProperties>
</file>