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E7843" w:rsidRDefault="00226B83">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Early Byzantinism in the British Isles: Newman University Church, Dublin</w:t>
      </w:r>
    </w:p>
    <w:p w14:paraId="00000002" w14:textId="77777777" w:rsidR="00CE7843" w:rsidRDefault="00226B83">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Niamh Bhalla</w:t>
      </w:r>
    </w:p>
    <w:p w14:paraId="00000003" w14:textId="77777777" w:rsidR="00CE7843" w:rsidRDefault="00CE7843">
      <w:pPr>
        <w:spacing w:before="240" w:after="240" w:line="360" w:lineRule="auto"/>
        <w:rPr>
          <w:rFonts w:ascii="Times New Roman" w:eastAsia="Times New Roman" w:hAnsi="Times New Roman" w:cs="Times New Roman"/>
          <w:sz w:val="24"/>
          <w:szCs w:val="24"/>
        </w:rPr>
      </w:pPr>
    </w:p>
    <w:p w14:paraId="00000004" w14:textId="77777777" w:rsidR="00CE7843" w:rsidRDefault="00226B83" w:rsidP="00D31318">
      <w:pPr>
        <w:spacing w:after="0" w:line="48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ABSTRACT</w:t>
      </w:r>
    </w:p>
    <w:p w14:paraId="00000005" w14:textId="77777777" w:rsidR="00CE7843" w:rsidRDefault="00226B83" w:rsidP="00D31318">
      <w:pPr>
        <w:spacing w:after="0" w:line="480" w:lineRule="auto"/>
        <w:ind w:firstLine="72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On 18 May 1854, John Henry Newman (1801–90), prominent figure in the Oxford Movement and celebrated convert to Roman Catholicism, established the first Catholic university in the British Isles in Dublin. The Romano-Byzantine church Newman built there (1856) – his first declared objective during his tenure – embodied the ideal behind his university. Yet University Church has received little attention, both because of its location in what was then an impoverished, Catholic-majority region of the United Kingdom of Great Britain and Ireland, and because of its unusual Byzantine revival style, which sat awkwardly within Victorian worldviews due to its paradoxical associations with both the 'Oriental' East and the Orthodox Church. This case study explores the intentional deployment of this ambiguous and disruptive Romano-Byzantine style for University Church as a means of declaring a new future for Catholics.</w:t>
      </w:r>
    </w:p>
    <w:p w14:paraId="54575EBA" w14:textId="77777777" w:rsidR="00D31318" w:rsidRDefault="00D31318" w:rsidP="00D31318">
      <w:pPr>
        <w:spacing w:after="0" w:line="480" w:lineRule="auto"/>
        <w:ind w:firstLine="720"/>
        <w:jc w:val="both"/>
        <w:rPr>
          <w:rFonts w:ascii="Times New Roman" w:eastAsia="Times New Roman" w:hAnsi="Times New Roman" w:cs="Times New Roman"/>
          <w:sz w:val="24"/>
          <w:szCs w:val="24"/>
          <w:highlight w:val="yellow"/>
        </w:rPr>
      </w:pPr>
    </w:p>
    <w:p w14:paraId="00000006" w14:textId="77777777" w:rsidR="00CE7843" w:rsidRDefault="00226B83" w:rsidP="00D31318">
      <w:pPr>
        <w:spacing w:after="0" w:line="480" w:lineRule="auto"/>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Niamh Bhalla is Assistant Dean, Associate Professor of Art History and Director for Belonging at Northeastern University, London.</w:t>
      </w:r>
    </w:p>
    <w:p w14:paraId="00000007" w14:textId="77777777" w:rsidR="00CE7843" w:rsidRDefault="00CE7843" w:rsidP="00D31318">
      <w:pPr>
        <w:spacing w:after="0" w:line="480" w:lineRule="auto"/>
        <w:jc w:val="both"/>
        <w:rPr>
          <w:rFonts w:ascii="Times New Roman" w:eastAsia="Times New Roman" w:hAnsi="Times New Roman" w:cs="Times New Roman"/>
          <w:sz w:val="24"/>
          <w:szCs w:val="24"/>
        </w:rPr>
      </w:pPr>
    </w:p>
    <w:p w14:paraId="0000000A" w14:textId="54190EDF"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June 1854, John Henry Newman (1801–90), leading figure in the Oxford Movement and subsequent convert from Anglicanism to Roman Catholicism, was installed as the first rector of the Catholic University of Ireland.</w:t>
      </w:r>
      <w:r w:rsidR="00A97F89">
        <w:rPr>
          <w:rStyle w:val="EndnoteReference"/>
          <w:rFonts w:ascii="Times New Roman" w:eastAsia="Times New Roman" w:hAnsi="Times New Roman" w:cs="Times New Roman"/>
          <w:sz w:val="24"/>
          <w:szCs w:val="24"/>
        </w:rPr>
        <w:endnoteReference w:id="1"/>
      </w:r>
      <w:r>
        <w:rPr>
          <w:rFonts w:ascii="Times New Roman" w:eastAsia="Times New Roman" w:hAnsi="Times New Roman" w:cs="Times New Roman"/>
          <w:sz w:val="24"/>
          <w:szCs w:val="24"/>
        </w:rPr>
        <w:t xml:space="preserve"> The Romano-Byzantine church Newman built in Dublin (1855–56), his first declared objective for his tenure, embodied the ideal behind the university.</w:t>
      </w:r>
      <w:r w:rsidR="00A97F89">
        <w:rPr>
          <w:rStyle w:val="EndnoteReference"/>
          <w:rFonts w:ascii="Times New Roman" w:eastAsia="Times New Roman" w:hAnsi="Times New Roman" w:cs="Times New Roman"/>
          <w:sz w:val="24"/>
          <w:szCs w:val="24"/>
        </w:rPr>
        <w:endnoteReference w:id="2"/>
      </w:r>
      <w:r>
        <w:rPr>
          <w:rFonts w:ascii="Times New Roman" w:eastAsia="Times New Roman" w:hAnsi="Times New Roman" w:cs="Times New Roman"/>
          <w:b/>
          <w:bCs/>
          <w:sz w:val="24"/>
          <w:szCs w:val="24"/>
        </w:rPr>
        <w:t xml:space="preserve"> </w:t>
      </w:r>
      <w:r w:rsidR="009D69EF" w:rsidRPr="009D69EF">
        <w:rPr>
          <w:rFonts w:ascii="Times New Roman" w:eastAsia="Times New Roman" w:hAnsi="Times New Roman" w:cs="Times New Roman"/>
          <w:sz w:val="24"/>
          <w:szCs w:val="24"/>
        </w:rPr>
        <w:t>Newman described it as a “</w:t>
      </w:r>
      <w:r w:rsidR="009D69EF">
        <w:rPr>
          <w:rFonts w:ascii="Times New Roman" w:eastAsia="Times New Roman" w:hAnsi="Times New Roman" w:cs="Times New Roman"/>
          <w:sz w:val="24"/>
          <w:szCs w:val="24"/>
        </w:rPr>
        <w:t xml:space="preserve">beautiful and imposing structure, built simply out of </w:t>
      </w:r>
      <w:r w:rsidR="009D69EF">
        <w:rPr>
          <w:rFonts w:ascii="Times New Roman" w:eastAsia="Times New Roman" w:hAnsi="Times New Roman" w:cs="Times New Roman"/>
          <w:sz w:val="24"/>
          <w:szCs w:val="24"/>
        </w:rPr>
        <w:lastRenderedPageBreak/>
        <w:t>zeal for the University</w:t>
      </w:r>
      <w:r w:rsidR="009D69EF">
        <w:rPr>
          <w:rFonts w:ascii="Times New Roman" w:eastAsia="Times New Roman" w:hAnsi="Times New Roman" w:cs="Times New Roman"/>
          <w:sz w:val="24"/>
          <w:szCs w:val="24"/>
        </w:rPr>
        <w:t>” which “</w:t>
      </w:r>
      <w:r w:rsidR="009D69EF">
        <w:rPr>
          <w:rFonts w:ascii="Times New Roman" w:eastAsia="Times New Roman" w:hAnsi="Times New Roman" w:cs="Times New Roman"/>
          <w:sz w:val="24"/>
          <w:szCs w:val="24"/>
        </w:rPr>
        <w:t>ha</w:t>
      </w:r>
      <w:r w:rsidR="009D69EF">
        <w:rPr>
          <w:rFonts w:ascii="Times New Roman" w:eastAsia="Times New Roman" w:hAnsi="Times New Roman" w:cs="Times New Roman"/>
          <w:sz w:val="24"/>
          <w:szCs w:val="24"/>
        </w:rPr>
        <w:t>d</w:t>
      </w:r>
      <w:r w:rsidR="009D69EF">
        <w:rPr>
          <w:rFonts w:ascii="Times New Roman" w:eastAsia="Times New Roman" w:hAnsi="Times New Roman" w:cs="Times New Roman"/>
          <w:sz w:val="24"/>
          <w:szCs w:val="24"/>
        </w:rPr>
        <w:t xml:space="preserve"> given it a sort of bodily presence in Dublin”</w:t>
      </w:r>
      <w:r w:rsidR="009D69EF">
        <w:rPr>
          <w:rFonts w:ascii="Times New Roman" w:eastAsia="Times New Roman" w:hAnsi="Times New Roman" w:cs="Times New Roman"/>
          <w:sz w:val="24"/>
          <w:szCs w:val="24"/>
        </w:rPr>
        <w:t>.</w:t>
      </w:r>
      <w:r w:rsidR="009D69EF">
        <w:rPr>
          <w:rStyle w:val="EndnoteReference"/>
          <w:rFonts w:ascii="Times New Roman" w:eastAsia="Times New Roman" w:hAnsi="Times New Roman" w:cs="Times New Roman"/>
          <w:sz w:val="24"/>
          <w:szCs w:val="24"/>
        </w:rPr>
        <w:endnoteReference w:id="3"/>
      </w:r>
      <w:r w:rsidR="009D69E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Despite its significance, University Church has received surprisingly little scholarly attention, perhaps due to its location in an impoverished, Catholic-majority region of the United Kingdom, or its unusual Romano-Byzantine revival style, which sat uneasily within Victorian worldviews given its associations with the 'Oriental East' and Orthodoxy. This study explores the deliberate deployment of this ambiguous and disruptive style for University Church as a means of proclaiming a new future for Catholics who were, in this period, achieving significant gains following centuries of post-Reformation persecution. The architectural and decorative decisions made in Dublin were intended as a physical manifestation of the impetus behind this unprecedented Catholic university – the articulation of an erudite Catholic alternative to post-Enlightenment secularism and Protestant hegemony through a style-based analogy to the early Church. Practical constraints, ideological motivations, and individual capability converged to produce one of the earliest instances of Byzantine revival in ecclesiastical architecture within the British Isles.</w:t>
      </w:r>
    </w:p>
    <w:p w14:paraId="0000000B" w14:textId="0C362BD2"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early expression of Byzantinism emerged as part of a basilican expression – the features of Roman and Byzantine basilicas were amalgamated and adapted in a response to ‘early Christian’ architecture. The basilican and Byzantine traditions were conceptually differentiated, but seen as closely related, in early Victorian architectural histories.</w:t>
      </w:r>
      <w:r w:rsidR="00A97F89">
        <w:rPr>
          <w:rStyle w:val="EndnoteReference"/>
          <w:rFonts w:ascii="Times New Roman" w:eastAsia="Times New Roman" w:hAnsi="Times New Roman" w:cs="Times New Roman"/>
          <w:sz w:val="24"/>
          <w:szCs w:val="24"/>
        </w:rPr>
        <w:endnoteReference w:id="4"/>
      </w:r>
      <w:r>
        <w:rPr>
          <w:rFonts w:ascii="Times New Roman" w:eastAsia="Times New Roman" w:hAnsi="Times New Roman" w:cs="Times New Roman"/>
          <w:sz w:val="24"/>
          <w:szCs w:val="24"/>
        </w:rPr>
        <w:t xml:space="preserve"> They could not be so readily separated in practice, however, particularly because of the sixth-century churches of Ravenna, and this was reflected in the symbiotic emergence of these closely related revival styles. Accurate engagement with Byzantine architectural forms developed gradually as travel to former imperial territories and scholarly publications proliferated throughout the nineteenth century. Yet even as knowledge and familiarity grew, faithful replication of Byzantine forms and spatial concepts appeared only sporadically in western European architecture compared to regions where connections to the Byzantine Empire and Orthodoxy </w:t>
      </w:r>
      <w:r>
        <w:rPr>
          <w:rFonts w:ascii="Times New Roman" w:eastAsia="Times New Roman" w:hAnsi="Times New Roman" w:cs="Times New Roman"/>
          <w:sz w:val="24"/>
          <w:szCs w:val="24"/>
        </w:rPr>
        <w:lastRenderedPageBreak/>
        <w:t xml:space="preserve">remained more deeply embedded. In western Europe, a Byzantine style was frequently adopted as an alternative to prevailing architectural traditions to signal departure from convention, often shaped by budgetary constraints. The first manifestations of Byzantinism appeared in ambiguous basilican forms that merged with early Christian design, particularly within the revivalist round-arched style(s), or </w:t>
      </w:r>
      <w:r>
        <w:rPr>
          <w:rFonts w:ascii="Times New Roman" w:eastAsia="Times New Roman" w:hAnsi="Times New Roman" w:cs="Times New Roman"/>
          <w:i/>
          <w:iCs/>
          <w:sz w:val="24"/>
          <w:szCs w:val="24"/>
        </w:rPr>
        <w:t>Rundbogenstil</w:t>
      </w:r>
      <w:r>
        <w:rPr>
          <w:rFonts w:ascii="Times New Roman" w:eastAsia="Times New Roman" w:hAnsi="Times New Roman" w:cs="Times New Roman"/>
          <w:sz w:val="24"/>
          <w:szCs w:val="24"/>
        </w:rPr>
        <w:t>, of Bavaria and Prussia, which reached their zenith in the 1840s. Such expressions frequently embodied appeals to religious purity—motivated to varying degrees by political concerns—in response to rising secularism and the socio-political upheavals of the nineteenth century.</w:t>
      </w:r>
      <w:r w:rsidR="00A97F89">
        <w:rPr>
          <w:rStyle w:val="EndnoteReference"/>
          <w:rFonts w:ascii="Times New Roman" w:eastAsia="Times New Roman" w:hAnsi="Times New Roman" w:cs="Times New Roman"/>
          <w:sz w:val="24"/>
          <w:szCs w:val="24"/>
        </w:rPr>
        <w:endnoteReference w:id="5"/>
      </w:r>
      <w:r>
        <w:rPr>
          <w:rFonts w:ascii="Times New Roman" w:eastAsia="Times New Roman" w:hAnsi="Times New Roman" w:cs="Times New Roman"/>
          <w:sz w:val="24"/>
          <w:szCs w:val="24"/>
        </w:rPr>
        <w:t xml:space="preserve"> University Church forms the first comparable expression of this early Byzantinism in the British Isles.</w:t>
      </w:r>
    </w:p>
    <w:p w14:paraId="0000000C" w14:textId="77777777" w:rsidR="00CE7843" w:rsidRDefault="00226B83" w:rsidP="00D31318">
      <w:pPr>
        <w:spacing w:after="0" w:line="480" w:lineRule="auto"/>
        <w:ind w:firstLine="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D" w14:textId="77777777" w:rsidR="00CE7843" w:rsidRDefault="00226B83" w:rsidP="00D31318">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Newman and the idea of a Catholic university church</w:t>
      </w:r>
    </w:p>
    <w:p w14:paraId="0000000E" w14:textId="77777777"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Having graduated from the University of Oxford, Newman was ordained an Anglican priest in 1825 and took up position as vicar of St Mary’s University Church, becoming a leader within the Oxford Movement which sought to re-incorporate ancient Christian traditions into the Anglican church. Newman became increasingly drawn to the teachings and practices of the early Church, re-evaluating apostolic succession and thus the authority of the present Roman Catholic Church. He eventually converted to Roman Catholicism in 1845 and was ordained as a Catholic priest. Newman’s design for University Church was closely connected to his ecclesiological journey, built in response to its immediate function and environment.</w:t>
      </w:r>
    </w:p>
    <w:p w14:paraId="0000000F" w14:textId="6E3919EB"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Pope Pius IX (1792–1878) called for the establishment of a Catholic university in Ireland following the British Government's decision in 1845 to found secular </w:t>
      </w:r>
      <w:r w:rsidR="00A97F89">
        <w:rPr>
          <w:rFonts w:ascii="Times New Roman" w:eastAsia="Times New Roman" w:hAnsi="Times New Roman" w:cs="Times New Roman"/>
          <w:sz w:val="24"/>
          <w:szCs w:val="24"/>
        </w:rPr>
        <w:t>‘</w:t>
      </w:r>
      <w:r>
        <w:rPr>
          <w:rFonts w:ascii="Times New Roman" w:eastAsia="Times New Roman" w:hAnsi="Times New Roman" w:cs="Times New Roman"/>
          <w:sz w:val="24"/>
          <w:szCs w:val="24"/>
        </w:rPr>
        <w:t>Queen's Colleges</w:t>
      </w:r>
      <w:r w:rsidR="00A97F8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Galway, Cork, and Belfast in response to concerns regarding higher education for Irish Catholics. Trinity College, Dublin, established in 1591, had formally admitted Catholics since 1794, yet few attended – many Irish Catholics lacked the financial means, while those who could afford it were discouraged by the institution's Protestant dominance. In many ways </w:t>
      </w:r>
      <w:r>
        <w:rPr>
          <w:rFonts w:ascii="Times New Roman" w:eastAsia="Times New Roman" w:hAnsi="Times New Roman" w:cs="Times New Roman"/>
          <w:sz w:val="24"/>
          <w:szCs w:val="24"/>
        </w:rPr>
        <w:lastRenderedPageBreak/>
        <w:t>it was a surprising moment to establish the Catholic university given that the famine had just decimated the Irish population and the expanding middle classes were not yet numerous. Nonetheless, the university was established on 18 May 1854.</w:t>
      </w:r>
    </w:p>
    <w:p w14:paraId="00000010" w14:textId="77777777"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Artist and fellow convert John Hungerford Pollen (1820–1902), whom Newman appointed to the Chair of Fine Arts in 1855 and entrusted with the church's design, later reflected on how the church's form captured the essence of this first Catholic university in the British Isles:</w:t>
      </w:r>
    </w:p>
    <w:p w14:paraId="00000011" w14:textId="794FA5F0" w:rsidR="00CE7843" w:rsidRDefault="00226B83" w:rsidP="00D31318">
      <w:pPr>
        <w:spacing w:after="0" w:line="48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covered the garden in rear of the University House; a plain brick hall with an absidal end, timber ceiling etc. somewhat in the manner of the earlier Roman basilicas. He [Newman] felt a strong attachment to those ancient churches with rude exteriors but solemn and impressive within, </w:t>
      </w:r>
      <w:r>
        <w:rPr>
          <w:rFonts w:ascii="Times New Roman" w:eastAsia="Times New Roman" w:hAnsi="Times New Roman" w:cs="Times New Roman"/>
          <w:i/>
          <w:iCs/>
          <w:sz w:val="24"/>
          <w:szCs w:val="24"/>
        </w:rPr>
        <w:t>recalling the early history of the Church, as it gradually felt its way in the converted Empire, and took possession</w:t>
      </w:r>
      <w:r>
        <w:rPr>
          <w:rFonts w:ascii="Times New Roman" w:eastAsia="Times New Roman" w:hAnsi="Times New Roman" w:cs="Times New Roman"/>
          <w:sz w:val="24"/>
          <w:szCs w:val="24"/>
        </w:rPr>
        <w:t>.</w:t>
      </w:r>
      <w:r w:rsidR="00A97F89">
        <w:rPr>
          <w:rStyle w:val="EndnoteReference"/>
          <w:rFonts w:ascii="Times New Roman" w:eastAsia="Times New Roman" w:hAnsi="Times New Roman" w:cs="Times New Roman"/>
          <w:sz w:val="24"/>
          <w:szCs w:val="24"/>
        </w:rPr>
        <w:endnoteReference w:id="6"/>
      </w:r>
    </w:p>
    <w:p w14:paraId="00000012" w14:textId="16397DCA"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Confronting both a Protestant-dominated socio-political order and post-Enlightenment intellectual currents, the nascent Catholic university and its church were designed to embody the "union of Science and Religion" – a direct counter to these pressures and to the secular approach championed by the Queen's colleges.</w:t>
      </w:r>
      <w:r w:rsidR="00A97F89">
        <w:rPr>
          <w:rStyle w:val="EndnoteReference"/>
          <w:rFonts w:ascii="Times New Roman" w:eastAsia="Times New Roman" w:hAnsi="Times New Roman" w:cs="Times New Roman"/>
          <w:sz w:val="24"/>
          <w:szCs w:val="24"/>
        </w:rPr>
        <w:endnoteReference w:id="7"/>
      </w:r>
      <w:r>
        <w:rPr>
          <w:rFonts w:ascii="Times New Roman" w:eastAsia="Times New Roman" w:hAnsi="Times New Roman" w:cs="Times New Roman"/>
          <w:sz w:val="24"/>
          <w:szCs w:val="24"/>
        </w:rPr>
        <w:t xml:space="preserve"> Indeed, a memorandum written by Newman in April 1854, claimed that a pillar of the university’s mission was providing “a series of sound and philosophical defences of Catholicity and Revelation, in answer to the infidel tenets and arguments, which threaten us at this time”.</w:t>
      </w:r>
      <w:r w:rsidR="00A97F89">
        <w:rPr>
          <w:rStyle w:val="EndnoteReference"/>
          <w:rFonts w:ascii="Times New Roman" w:eastAsia="Times New Roman" w:hAnsi="Times New Roman" w:cs="Times New Roman"/>
          <w:sz w:val="24"/>
          <w:szCs w:val="24"/>
        </w:rPr>
        <w:endnoteReference w:id="8"/>
      </w:r>
      <w:r>
        <w:rPr>
          <w:rFonts w:ascii="Times New Roman" w:eastAsia="Times New Roman" w:hAnsi="Times New Roman" w:cs="Times New Roman"/>
          <w:sz w:val="24"/>
          <w:szCs w:val="24"/>
        </w:rPr>
        <w:t xml:space="preserve"> The architecture and its decoration addressed both Protestant and secular contexts by invoking the authority of the early medieval Church, which had successfully prevailed over the analogous pagan-majority environment from which it emerged. As an adapted basilican form incorporating tributes to Christian art across the medieval period, this "beautiful and imposing" building embodied the enduring historical authority of the Catholic Church – an authority that legitimized the university's mission to educate and produce erudite Catholic men as societal leaders.</w:t>
      </w:r>
    </w:p>
    <w:p w14:paraId="00000013" w14:textId="177E0DBC"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Newman requested a church modelled on early Italian basilicas, which both he and Pollen saw as embodying Christianity's triumph as a newly imperial religion through the conversion of pagan building types to Christian usage.</w:t>
      </w:r>
      <w:r w:rsidR="00A97F89">
        <w:rPr>
          <w:rStyle w:val="EndnoteReference"/>
          <w:rFonts w:ascii="Times New Roman" w:eastAsia="Times New Roman" w:hAnsi="Times New Roman" w:cs="Times New Roman"/>
          <w:sz w:val="24"/>
          <w:szCs w:val="24"/>
        </w:rPr>
        <w:endnoteReference w:id="9"/>
      </w:r>
      <w:r>
        <w:rPr>
          <w:rFonts w:ascii="Times New Roman" w:eastAsia="Times New Roman" w:hAnsi="Times New Roman" w:cs="Times New Roman"/>
          <w:sz w:val="24"/>
          <w:szCs w:val="24"/>
        </w:rPr>
        <w:t xml:space="preserve"> To express the essence of Ireland's unprecedented Catholic university, they created a church that drew analogies with early Christian triumph through elements from Roman and Byzantine architecture.</w:t>
      </w:r>
    </w:p>
    <w:p w14:paraId="35FCE5B1" w14:textId="77777777" w:rsidR="00910A94" w:rsidRDefault="00910A94" w:rsidP="00910A94">
      <w:pPr>
        <w:spacing w:after="0" w:line="480" w:lineRule="auto"/>
        <w:jc w:val="both"/>
        <w:rPr>
          <w:rFonts w:ascii="Times New Roman" w:eastAsia="Times New Roman" w:hAnsi="Times New Roman" w:cs="Times New Roman"/>
          <w:b/>
          <w:bCs/>
          <w:sz w:val="24"/>
          <w:szCs w:val="24"/>
          <w:highlight w:val="yellow"/>
        </w:rPr>
      </w:pPr>
    </w:p>
    <w:p w14:paraId="73A3E71D" w14:textId="28AAA807" w:rsidR="00910A94" w:rsidRDefault="00910A94" w:rsidP="00910A94">
      <w:pPr>
        <w:spacing w:after="0" w:line="480" w:lineRule="auto"/>
        <w:jc w:val="both"/>
        <w:rPr>
          <w:rFonts w:ascii="Times New Roman" w:eastAsia="Times New Roman" w:hAnsi="Times New Roman" w:cs="Times New Roman"/>
          <w:sz w:val="24"/>
          <w:szCs w:val="24"/>
        </w:rPr>
      </w:pPr>
      <w:r w:rsidRPr="00910A94">
        <w:rPr>
          <w:rFonts w:ascii="Times New Roman" w:eastAsia="Times New Roman" w:hAnsi="Times New Roman" w:cs="Times New Roman"/>
          <w:b/>
          <w:bCs/>
          <w:sz w:val="24"/>
          <w:szCs w:val="24"/>
          <w:highlight w:val="yellow"/>
        </w:rPr>
        <w:t>&lt;Figure 17.1 here&gt;</w:t>
      </w:r>
      <w:r>
        <w:rPr>
          <w:rFonts w:ascii="Times New Roman" w:eastAsia="Times New Roman" w:hAnsi="Times New Roman" w:cs="Times New Roman"/>
          <w:sz w:val="24"/>
          <w:szCs w:val="24"/>
        </w:rPr>
        <w:t xml:space="preserve">. </w:t>
      </w:r>
    </w:p>
    <w:p w14:paraId="71E63C77" w14:textId="77777777" w:rsidR="00910A94" w:rsidRDefault="00910A94" w:rsidP="00910A94">
      <w:pPr>
        <w:spacing w:after="0" w:line="480" w:lineRule="auto"/>
        <w:jc w:val="both"/>
        <w:rPr>
          <w:rFonts w:ascii="Times New Roman" w:eastAsia="Times New Roman" w:hAnsi="Times New Roman" w:cs="Times New Roman"/>
          <w:sz w:val="24"/>
          <w:szCs w:val="24"/>
        </w:rPr>
      </w:pPr>
      <w:r w:rsidRPr="00910A94">
        <w:rPr>
          <w:rFonts w:ascii="Times New Roman" w:eastAsia="Times New Roman" w:hAnsi="Times New Roman" w:cs="Times New Roman"/>
          <w:sz w:val="24"/>
          <w:szCs w:val="24"/>
          <w:highlight w:val="yellow"/>
        </w:rPr>
        <w:t>Figure 17.1. John Hungerford Pollen, University Church, Dublin, Ireland, built for John Henry Newman, Interior showing the view from the antechapel towards the apse. 1855-6. Photograph: ©Niamh Bhalla, 2022</w:t>
      </w:r>
    </w:p>
    <w:p w14:paraId="00000015" w14:textId="77777777" w:rsidR="00CE7843" w:rsidRDefault="00226B83" w:rsidP="00D31318">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affective interior</w:t>
      </w:r>
    </w:p>
    <w:p w14:paraId="00000016" w14:textId="77F49AC8" w:rsidR="00CE7843" w:rsidRDefault="00226B83" w:rsidP="00910A94">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Church is an elongated rectangle in plan (120ft long, 36ft wide and 40ft high) determined by the garden behind number 87 St Stephen’s Green where it was built. The aisleless basilica’s impressive interior featured polychromatic Irish ‘marbles’, or polished limestones, on the lower parts of the walls, punctuated by painted pseudo-mosaics and originally surmounted by paintings modelled on the work of Raphael (1483–1520).</w:t>
      </w:r>
      <w:r w:rsidR="00A97F89">
        <w:rPr>
          <w:rStyle w:val="EndnoteReference"/>
          <w:rFonts w:ascii="Times New Roman" w:eastAsia="Times New Roman" w:hAnsi="Times New Roman" w:cs="Times New Roman"/>
          <w:sz w:val="24"/>
          <w:szCs w:val="24"/>
        </w:rPr>
        <w:endnoteReference w:id="10"/>
      </w:r>
      <w:r>
        <w:rPr>
          <w:rFonts w:ascii="Times New Roman" w:eastAsia="Times New Roman" w:hAnsi="Times New Roman" w:cs="Times New Roman"/>
          <w:sz w:val="24"/>
          <w:szCs w:val="24"/>
        </w:rPr>
        <w:t xml:space="preserve"> The dark antechapel, giving way to the bright, colourful nave, features striking monolithic columns of light and dark 'marbles' from Armagh, Offaly, and Kilkenny supporting a large gallery above.</w:t>
      </w:r>
      <w:r w:rsidR="00910A94">
        <w:rPr>
          <w:rFonts w:ascii="Times New Roman" w:eastAsia="Times New Roman" w:hAnsi="Times New Roman" w:cs="Times New Roman"/>
          <w:sz w:val="24"/>
          <w:szCs w:val="24"/>
        </w:rPr>
        <w:t xml:space="preserve"> </w:t>
      </w:r>
      <w:r w:rsidR="00910A94" w:rsidRPr="00910A94">
        <w:rPr>
          <w:rFonts w:ascii="Times New Roman" w:eastAsia="Times New Roman" w:hAnsi="Times New Roman" w:cs="Times New Roman"/>
          <w:sz w:val="24"/>
          <w:szCs w:val="24"/>
          <w:highlight w:val="yellow"/>
        </w:rPr>
        <w:t>(Fig, 17.1)</w:t>
      </w:r>
      <w:r w:rsidR="00910A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Eight slim columns with alternating black and brown shafts and carved alabaster capitals featuring Irish flora – such as oak leaves and clover – support seven tall 'elliptical' arches framing the view toward the apse; the outermost columns engage the lateral walls. Victorian writers considered round-arched arcades on classicising columns definitive of early Christian and Byzantine architecture, with the stilted form particularly Byzantine.</w:t>
      </w:r>
      <w:r w:rsidR="00A97F89">
        <w:rPr>
          <w:rStyle w:val="EndnoteReference"/>
          <w:rFonts w:ascii="Times New Roman" w:eastAsia="Times New Roman" w:hAnsi="Times New Roman" w:cs="Times New Roman"/>
          <w:sz w:val="24"/>
          <w:szCs w:val="24"/>
        </w:rPr>
        <w:endnoteReference w:id="11"/>
      </w:r>
    </w:p>
    <w:p w14:paraId="1BB0AE1A" w14:textId="77777777" w:rsidR="00910A94" w:rsidRDefault="00910A94" w:rsidP="00D31318">
      <w:pPr>
        <w:spacing w:after="0" w:line="480" w:lineRule="auto"/>
        <w:ind w:firstLine="20"/>
        <w:jc w:val="both"/>
        <w:rPr>
          <w:rFonts w:ascii="Times New Roman" w:eastAsia="Times New Roman" w:hAnsi="Times New Roman" w:cs="Times New Roman"/>
          <w:sz w:val="24"/>
          <w:szCs w:val="24"/>
        </w:rPr>
      </w:pPr>
      <w:r w:rsidRPr="00910A94">
        <w:rPr>
          <w:rFonts w:ascii="Times New Roman" w:eastAsia="Times New Roman" w:hAnsi="Times New Roman" w:cs="Times New Roman"/>
          <w:b/>
          <w:bCs/>
          <w:sz w:val="24"/>
          <w:szCs w:val="24"/>
          <w:highlight w:val="yellow"/>
        </w:rPr>
        <w:t>&lt;Figure 17.</w:t>
      </w:r>
      <w:r>
        <w:rPr>
          <w:rFonts w:ascii="Times New Roman" w:eastAsia="Times New Roman" w:hAnsi="Times New Roman" w:cs="Times New Roman"/>
          <w:b/>
          <w:bCs/>
          <w:sz w:val="24"/>
          <w:szCs w:val="24"/>
          <w:highlight w:val="yellow"/>
        </w:rPr>
        <w:t>2</w:t>
      </w:r>
      <w:r w:rsidRPr="00910A94">
        <w:rPr>
          <w:rFonts w:ascii="Times New Roman" w:eastAsia="Times New Roman" w:hAnsi="Times New Roman" w:cs="Times New Roman"/>
          <w:b/>
          <w:bCs/>
          <w:sz w:val="24"/>
          <w:szCs w:val="24"/>
          <w:highlight w:val="yellow"/>
        </w:rPr>
        <w:t xml:space="preserve"> here&gt;</w:t>
      </w:r>
      <w:r>
        <w:rPr>
          <w:rFonts w:ascii="Times New Roman" w:eastAsia="Times New Roman" w:hAnsi="Times New Roman" w:cs="Times New Roman"/>
          <w:sz w:val="24"/>
          <w:szCs w:val="24"/>
        </w:rPr>
        <w:t xml:space="preserve"> </w:t>
      </w:r>
    </w:p>
    <w:p w14:paraId="24BA85FC" w14:textId="0064FACF" w:rsidR="00910A94" w:rsidRDefault="00910A94" w:rsidP="00D31318">
      <w:pPr>
        <w:spacing w:after="0" w:line="480" w:lineRule="auto"/>
        <w:ind w:firstLine="20"/>
        <w:jc w:val="both"/>
        <w:rPr>
          <w:rFonts w:ascii="Times New Roman" w:eastAsia="Times New Roman" w:hAnsi="Times New Roman" w:cs="Times New Roman"/>
          <w:sz w:val="24"/>
          <w:szCs w:val="24"/>
        </w:rPr>
      </w:pPr>
      <w:r w:rsidRPr="00910A94">
        <w:rPr>
          <w:rFonts w:ascii="Times New Roman" w:eastAsia="Times New Roman" w:hAnsi="Times New Roman" w:cs="Times New Roman"/>
          <w:sz w:val="24"/>
          <w:szCs w:val="24"/>
          <w:highlight w:val="yellow"/>
        </w:rPr>
        <w:lastRenderedPageBreak/>
        <w:t>Figure 17.2. John Hungerford Pollen, University Church, Dublin, Ireland, built for John Henry Newman, Capital in the antechapel. 1855-6.  Photograph: ©Niamh Bhalla, 2022.</w:t>
      </w:r>
    </w:p>
    <w:p w14:paraId="00000018" w14:textId="5B2BE831" w:rsidR="00CE7843" w:rsidRDefault="00226B83" w:rsidP="00910A94">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Preceding this row are four thicker freestanding columns, their alabaster capitals featuring sharply stylised foliage in the Byzantine manner </w:t>
      </w:r>
      <w:r>
        <w:rPr>
          <w:rFonts w:ascii="Times New Roman" w:eastAsia="Times New Roman" w:hAnsi="Times New Roman" w:cs="Times New Roman"/>
          <w:sz w:val="24"/>
          <w:szCs w:val="24"/>
          <w:highlight w:val="yellow"/>
        </w:rPr>
        <w:t xml:space="preserve">(FIG. </w:t>
      </w:r>
      <w:r w:rsidR="00910A94">
        <w:rPr>
          <w:rFonts w:ascii="Times New Roman" w:eastAsia="Times New Roman" w:hAnsi="Times New Roman" w:cs="Times New Roman"/>
          <w:sz w:val="24"/>
          <w:szCs w:val="24"/>
          <w:highlight w:val="yellow"/>
        </w:rPr>
        <w:t>17.</w:t>
      </w:r>
      <w:r>
        <w:rPr>
          <w:rFonts w:ascii="Times New Roman" w:eastAsia="Times New Roman" w:hAnsi="Times New Roman" w:cs="Times New Roman"/>
          <w:sz w:val="24"/>
          <w:szCs w:val="24"/>
          <w:highlight w:val="yellow"/>
        </w:rPr>
        <w:t>2)</w:t>
      </w:r>
      <w:r>
        <w:rPr>
          <w:rFonts w:ascii="Times New Roman" w:eastAsia="Times New Roman" w:hAnsi="Times New Roman" w:cs="Times New Roman"/>
          <w:sz w:val="24"/>
          <w:szCs w:val="24"/>
        </w:rPr>
        <w:t xml:space="preserve">. Victorian theorists considered the Byzantine capital the style's crowning achievement: John Ruskin (1819–1900) devoted considerable attention in </w:t>
      </w:r>
      <w:r>
        <w:rPr>
          <w:rFonts w:ascii="Times New Roman" w:eastAsia="Times New Roman" w:hAnsi="Times New Roman" w:cs="Times New Roman"/>
          <w:i/>
          <w:iCs/>
          <w:sz w:val="24"/>
          <w:szCs w:val="24"/>
        </w:rPr>
        <w:t>The Stones of Venice</w:t>
      </w:r>
      <w:r>
        <w:rPr>
          <w:rFonts w:ascii="Times New Roman" w:eastAsia="Times New Roman" w:hAnsi="Times New Roman" w:cs="Times New Roman"/>
          <w:sz w:val="24"/>
          <w:szCs w:val="24"/>
        </w:rPr>
        <w:t xml:space="preserve"> (1851–53) to arches and their accompanying capitals as defining features of Byzantine architecture, characterising the capital by its cut-leaf design and superior celebration of nature over classical precedents.</w:t>
      </w:r>
      <w:r w:rsidR="00A97F89">
        <w:rPr>
          <w:rStyle w:val="EndnoteReference"/>
          <w:rFonts w:ascii="Times New Roman" w:eastAsia="Times New Roman" w:hAnsi="Times New Roman" w:cs="Times New Roman"/>
          <w:sz w:val="24"/>
          <w:szCs w:val="24"/>
        </w:rPr>
        <w:endnoteReference w:id="12"/>
      </w:r>
      <w:r>
        <w:rPr>
          <w:rFonts w:ascii="Times New Roman" w:eastAsia="Times New Roman" w:hAnsi="Times New Roman" w:cs="Times New Roman"/>
          <w:sz w:val="24"/>
          <w:szCs w:val="24"/>
        </w:rPr>
        <w:t xml:space="preserve"> The capital became a central element in Neo-Byzantine architecture influenced by Ruskin’s thought and, particularly, within the later Arts and Crafts movement. Clearly drawing on Ruskin’s ideas, Pollen described in his writings on the basilica – a building type he perceived as beginning in Rome and reaching perfection in Byzantium – the convex Byzantine cushion capital as having been based on the concave acanthus leaf capital of classical antiquity, differentiated from it by “a greater desire to appreciate its natural beauty, and with a certain delight in observing the fresh joyousness of living vegetation, blown by winds and clinging round the convex mass”.</w:t>
      </w:r>
      <w:r w:rsidR="00A97F89">
        <w:rPr>
          <w:rStyle w:val="EndnoteReference"/>
          <w:rFonts w:ascii="Times New Roman" w:eastAsia="Times New Roman" w:hAnsi="Times New Roman" w:cs="Times New Roman"/>
          <w:sz w:val="24"/>
          <w:szCs w:val="24"/>
        </w:rPr>
        <w:endnoteReference w:id="13"/>
      </w:r>
      <w:r>
        <w:rPr>
          <w:rFonts w:ascii="Times New Roman" w:eastAsia="Times New Roman" w:hAnsi="Times New Roman" w:cs="Times New Roman"/>
          <w:sz w:val="24"/>
          <w:szCs w:val="24"/>
        </w:rPr>
        <w:t xml:space="preserve"> Pollen considered the “Easterns” far superior to the West in capital design following classical decline, making Byzantine churches “the best field” for study of the capital. He particularly celebrated Ravenna and Constantinople's capitals for their original character – “sharp, severely controlled but not wanting in vigour or grace” – having sketched and measured Ravenna's Byzantine capitals during his 1847 visit.</w:t>
      </w:r>
      <w:r w:rsidR="00A97F89">
        <w:rPr>
          <w:rStyle w:val="EndnoteReference"/>
          <w:rFonts w:ascii="Times New Roman" w:eastAsia="Times New Roman" w:hAnsi="Times New Roman" w:cs="Times New Roman"/>
          <w:sz w:val="24"/>
          <w:szCs w:val="24"/>
        </w:rPr>
        <w:endnoteReference w:id="14"/>
      </w:r>
    </w:p>
    <w:p w14:paraId="00000019" w14:textId="51737505"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 Marco's celebrated west front, extolled so influentially by Ruskin, displayed an array of colourful marble columns crowned by varied lighter stone capitals, similar in concept to what appears in University Church. Ravenna's earlier basilicas and Hagia Sophia's interior likewise exhibited sumptuous pillars of diversely coloured marbles topped with pale stone capitals. Pollen regarded such pairings as a hallmark of the basilican tradition, seeing San </w:t>
      </w:r>
      <w:r>
        <w:rPr>
          <w:rFonts w:ascii="Times New Roman" w:eastAsia="Times New Roman" w:hAnsi="Times New Roman" w:cs="Times New Roman"/>
          <w:sz w:val="24"/>
          <w:szCs w:val="24"/>
        </w:rPr>
        <w:lastRenderedPageBreak/>
        <w:t>Marco as a magnificent later embodiment of this type – “a wonderful exponent of their principles” – especially praising its “columns of marble in all colours, the archivolts being of sculptured white marble”. This seems to have directly informed the design of University Church's shafts and capitals.</w:t>
      </w:r>
      <w:r w:rsidR="00A97F89">
        <w:rPr>
          <w:rStyle w:val="EndnoteReference"/>
          <w:rFonts w:ascii="Times New Roman" w:eastAsia="Times New Roman" w:hAnsi="Times New Roman" w:cs="Times New Roman"/>
          <w:sz w:val="24"/>
          <w:szCs w:val="24"/>
        </w:rPr>
        <w:endnoteReference w:id="15"/>
      </w:r>
    </w:p>
    <w:p w14:paraId="0000001A" w14:textId="549A5F24" w:rsidR="00CE7843" w:rsidRPr="00D31318"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dim, forest-like antechapel created a poignant transition from Dublin's mundane streets into the nave's luminous realm of marble and pseudo-mosaic, further evoking the early Church's glories. Three registers of coloured marble inlay – executed, according to Pollen, "in the peculiar mode called by the ancients opus musivum", with "no raised panelling as in the </w:t>
      </w:r>
      <w:r w:rsidRPr="00D31318">
        <w:rPr>
          <w:rFonts w:ascii="Times New Roman" w:eastAsia="Times New Roman" w:hAnsi="Times New Roman" w:cs="Times New Roman"/>
          <w:sz w:val="24"/>
          <w:szCs w:val="24"/>
        </w:rPr>
        <w:t xml:space="preserve">Gothic or modern Italian method, only flat intarsiature without relief" – clad the nave walls to a height of 15ft </w:t>
      </w:r>
      <w:r w:rsidRPr="00D31318">
        <w:rPr>
          <w:rFonts w:ascii="Times New Roman" w:eastAsia="Times New Roman" w:hAnsi="Times New Roman" w:cs="Times New Roman"/>
          <w:sz w:val="24"/>
          <w:szCs w:val="24"/>
          <w:highlight w:val="yellow"/>
        </w:rPr>
        <w:t xml:space="preserve">(FIG. </w:t>
      </w:r>
      <w:r w:rsidR="00910A94">
        <w:rPr>
          <w:rFonts w:ascii="Times New Roman" w:eastAsia="Times New Roman" w:hAnsi="Times New Roman" w:cs="Times New Roman"/>
          <w:sz w:val="24"/>
          <w:szCs w:val="24"/>
          <w:highlight w:val="yellow"/>
        </w:rPr>
        <w:t>17.</w:t>
      </w:r>
      <w:r w:rsidRPr="00D31318">
        <w:rPr>
          <w:rFonts w:ascii="Times New Roman" w:eastAsia="Times New Roman" w:hAnsi="Times New Roman" w:cs="Times New Roman"/>
          <w:sz w:val="24"/>
          <w:szCs w:val="24"/>
          <w:highlight w:val="yellow"/>
        </w:rPr>
        <w:t>3)</w:t>
      </w:r>
      <w:r w:rsidRPr="00D31318">
        <w:rPr>
          <w:rFonts w:ascii="Times New Roman" w:eastAsia="Times New Roman" w:hAnsi="Times New Roman" w:cs="Times New Roman"/>
          <w:sz w:val="24"/>
          <w:szCs w:val="24"/>
        </w:rPr>
        <w:t>.</w:t>
      </w:r>
      <w:r w:rsidR="00A97F89">
        <w:rPr>
          <w:rStyle w:val="EndnoteReference"/>
          <w:rFonts w:ascii="Times New Roman" w:eastAsia="Times New Roman" w:hAnsi="Times New Roman" w:cs="Times New Roman"/>
          <w:sz w:val="24"/>
          <w:szCs w:val="24"/>
        </w:rPr>
        <w:endnoteReference w:id="16"/>
      </w:r>
      <w:r w:rsidRPr="00D31318">
        <w:rPr>
          <w:rFonts w:ascii="Times New Roman" w:eastAsia="Times New Roman" w:hAnsi="Times New Roman" w:cs="Times New Roman"/>
          <w:sz w:val="24"/>
          <w:szCs w:val="24"/>
        </w:rPr>
        <w:t xml:space="preserve"> The church’s marbles, sourced from across Ireland, were the biggest outlay within the modest budget. They were intended to connect University Church meaningfully to its context – “developing, as far as resources went, the natural capabilities of Ireland”’. The basilica was chosen in part because it would most effectively showcase “the various veins of marble so plentifully compacted under and over the soil”.</w:t>
      </w:r>
      <w:r w:rsidR="00A97F89">
        <w:rPr>
          <w:rStyle w:val="EndnoteReference"/>
          <w:rFonts w:ascii="Times New Roman" w:eastAsia="Times New Roman" w:hAnsi="Times New Roman" w:cs="Times New Roman"/>
          <w:sz w:val="24"/>
          <w:szCs w:val="24"/>
        </w:rPr>
        <w:endnoteReference w:id="17"/>
      </w:r>
    </w:p>
    <w:p w14:paraId="42A01681" w14:textId="241AC3E7" w:rsidR="00910A94" w:rsidRDefault="00910A94" w:rsidP="00910A94">
      <w:pPr>
        <w:spacing w:after="0" w:line="480" w:lineRule="auto"/>
        <w:ind w:firstLine="20"/>
        <w:jc w:val="both"/>
        <w:rPr>
          <w:rFonts w:ascii="Times New Roman" w:eastAsia="Times New Roman" w:hAnsi="Times New Roman" w:cs="Times New Roman"/>
          <w:sz w:val="24"/>
          <w:szCs w:val="24"/>
        </w:rPr>
      </w:pPr>
      <w:r w:rsidRPr="00910A94">
        <w:rPr>
          <w:rFonts w:ascii="Times New Roman" w:eastAsia="Times New Roman" w:hAnsi="Times New Roman" w:cs="Times New Roman"/>
          <w:b/>
          <w:bCs/>
          <w:sz w:val="24"/>
          <w:szCs w:val="24"/>
          <w:highlight w:val="yellow"/>
        </w:rPr>
        <w:t>&lt;Figure 17.</w:t>
      </w:r>
      <w:r>
        <w:rPr>
          <w:rFonts w:ascii="Times New Roman" w:eastAsia="Times New Roman" w:hAnsi="Times New Roman" w:cs="Times New Roman"/>
          <w:b/>
          <w:bCs/>
          <w:sz w:val="24"/>
          <w:szCs w:val="24"/>
          <w:highlight w:val="yellow"/>
        </w:rPr>
        <w:t>3</w:t>
      </w:r>
      <w:r w:rsidRPr="00910A94">
        <w:rPr>
          <w:rFonts w:ascii="Times New Roman" w:eastAsia="Times New Roman" w:hAnsi="Times New Roman" w:cs="Times New Roman"/>
          <w:b/>
          <w:bCs/>
          <w:sz w:val="24"/>
          <w:szCs w:val="24"/>
          <w:highlight w:val="yellow"/>
        </w:rPr>
        <w:t xml:space="preserve"> here&gt;</w:t>
      </w:r>
      <w:r>
        <w:rPr>
          <w:rFonts w:ascii="Times New Roman" w:eastAsia="Times New Roman" w:hAnsi="Times New Roman" w:cs="Times New Roman"/>
          <w:sz w:val="24"/>
          <w:szCs w:val="24"/>
        </w:rPr>
        <w:t xml:space="preserve"> </w:t>
      </w:r>
    </w:p>
    <w:p w14:paraId="1EB8DDE7" w14:textId="1DECBE7C" w:rsidR="00910A94" w:rsidRDefault="00910A94" w:rsidP="00910A94">
      <w:pPr>
        <w:spacing w:after="0" w:line="480" w:lineRule="auto"/>
        <w:ind w:firstLine="20"/>
        <w:jc w:val="both"/>
        <w:rPr>
          <w:rFonts w:ascii="Times New Roman" w:eastAsia="Times New Roman" w:hAnsi="Times New Roman" w:cs="Times New Roman"/>
          <w:sz w:val="24"/>
          <w:szCs w:val="24"/>
        </w:rPr>
      </w:pPr>
      <w:r w:rsidRPr="00910A94">
        <w:rPr>
          <w:rFonts w:ascii="Times New Roman" w:eastAsia="Times New Roman" w:hAnsi="Times New Roman" w:cs="Times New Roman"/>
          <w:sz w:val="24"/>
          <w:szCs w:val="24"/>
          <w:highlight w:val="yellow"/>
        </w:rPr>
        <w:t>Figure 17.3. John Hungerford Pollen, University Church, Dublin, Ireland, built for John Henry Newman, Wall of the nave. 1855-6. Photograph: ©Niamh Bhalla, 2022</w:t>
      </w:r>
    </w:p>
    <w:p w14:paraId="0000001C" w14:textId="48160FDF"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Ruskin's principle that architecture succeeds when rooted in its surrounding terrain, the applied coloured stone panels drew Ireland's deepest geological strata into the sacred space. The application method invested them with additional symbolic meaning, linking the Irish church to 'early Christianity'. That these marbles were meant to evoke the primitive Church is clear from the Catholic University Gazette's description: “To Irish productions we shall be indebted for a variety of colour and vein which might almost vie with St Mark's at Venice, that mine of the most precious relics of antiquity”.</w:t>
      </w:r>
      <w:r w:rsidR="00A97F89">
        <w:rPr>
          <w:rStyle w:val="EndnoteReference"/>
          <w:rFonts w:ascii="Times New Roman" w:eastAsia="Times New Roman" w:hAnsi="Times New Roman" w:cs="Times New Roman"/>
          <w:sz w:val="24"/>
          <w:szCs w:val="24"/>
        </w:rPr>
        <w:endnoteReference w:id="18"/>
      </w:r>
      <w:r>
        <w:rPr>
          <w:rFonts w:ascii="Times New Roman" w:eastAsia="Times New Roman" w:hAnsi="Times New Roman" w:cs="Times New Roman"/>
          <w:sz w:val="24"/>
          <w:szCs w:val="24"/>
        </w:rPr>
        <w:t xml:space="preserve"> Style, craftsmanship and the apostolic heritage were inseparable.</w:t>
      </w:r>
    </w:p>
    <w:p w14:paraId="0000001D" w14:textId="3F85C36E"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arcaded, aisled design of the basilica is simulated through the articulation of the lower register of each nave wall with five inlaid shafts of green Galway marble that emulate columns. These pseudo-columns divide the walls into twelve rectangular sections of darker rectangular panels of reds and browns arranged in a black grid, emulating the darkened aisle spaces beyond the arcade. Each arch of the pseudo-arcade frames a painted golden lunette executed on roughened slate by Pollen. The textured gold ground of each creates a play of light, and the inclusion of hatched lines and pieces of coloured glass imitates mosaic tesserae. At the centre of each lunette a standing saint is flanked by an angel on each side: the painting style clearly relates to the work of the Pre-Raphaelites to whom Pollen was connected. The conch of the apse is also filled with a painted pseudo-mosaic by Pollen of the seated Virgin surrounded by an inhabited vine modelled after the twelfth-century apse mosaic in San Clemente in Rome (opened in 1084), perceived at this date to be a Byzantine mosaic. Lord Lindsay (1812–80), credited with elevating the reputation of Byzantine art even prior to Ruskin in his </w:t>
      </w:r>
      <w:r>
        <w:rPr>
          <w:rFonts w:ascii="Times New Roman" w:eastAsia="Times New Roman" w:hAnsi="Times New Roman" w:cs="Times New Roman"/>
          <w:i/>
          <w:iCs/>
          <w:sz w:val="24"/>
          <w:szCs w:val="24"/>
        </w:rPr>
        <w:t>Sketches in the History of Christian Art</w:t>
      </w:r>
      <w:r>
        <w:rPr>
          <w:rFonts w:ascii="Times New Roman" w:eastAsia="Times New Roman" w:hAnsi="Times New Roman" w:cs="Times New Roman"/>
          <w:sz w:val="24"/>
          <w:szCs w:val="24"/>
        </w:rPr>
        <w:t xml:space="preserve"> (1847), even goes so far as to say that the revival of art under the Byzantine Komnenian emperors of the eleventh century were first felt in the apse mosaic of San Clemente.</w:t>
      </w:r>
      <w:r w:rsidR="00A97F89">
        <w:rPr>
          <w:rStyle w:val="EndnoteReference"/>
          <w:rFonts w:ascii="Times New Roman" w:eastAsia="Times New Roman" w:hAnsi="Times New Roman" w:cs="Times New Roman"/>
          <w:sz w:val="24"/>
          <w:szCs w:val="24"/>
        </w:rPr>
        <w:endnoteReference w:id="19"/>
      </w:r>
    </w:p>
    <w:p w14:paraId="0000001E" w14:textId="77777777"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paintings above the marble inlay were modelled on the set of tapestries designed by Raphael in 1515 for the Sistine Chapel (opened in 1483), punctuated by copies of paintings of the twelve apostles from the nave pillars in the abbey church of San Paolo alle Tre Fontane, Rome (opened 1599), thought at the time to be the work of Raphael or his school. These scenes once more connected the church to Rome and the early Church in depicting events from the lives of saints Peter and Paul, and the death of the proto-martyr St Stephen. They were commissioned in Rome by Newman from artists connected to the Nazarene movement, who sought to emulate the work of quattrocento masters as part of a call to a deeper Christian spirituality, in a manner that complemented the overall structure and form of the church.</w:t>
      </w:r>
    </w:p>
    <w:p w14:paraId="0DFA3957" w14:textId="04C3A19F" w:rsidR="00910A94" w:rsidRDefault="00910A94" w:rsidP="00910A94">
      <w:pPr>
        <w:spacing w:after="0" w:line="480" w:lineRule="auto"/>
        <w:ind w:firstLine="20"/>
        <w:jc w:val="both"/>
        <w:rPr>
          <w:rFonts w:ascii="Times New Roman" w:eastAsia="Times New Roman" w:hAnsi="Times New Roman" w:cs="Times New Roman"/>
          <w:sz w:val="24"/>
          <w:szCs w:val="24"/>
        </w:rPr>
      </w:pPr>
      <w:r w:rsidRPr="00910A94">
        <w:rPr>
          <w:rFonts w:ascii="Times New Roman" w:eastAsia="Times New Roman" w:hAnsi="Times New Roman" w:cs="Times New Roman"/>
          <w:b/>
          <w:bCs/>
          <w:sz w:val="24"/>
          <w:szCs w:val="24"/>
          <w:highlight w:val="yellow"/>
        </w:rPr>
        <w:lastRenderedPageBreak/>
        <w:t>&lt;Figure 17.</w:t>
      </w:r>
      <w:r>
        <w:rPr>
          <w:rFonts w:ascii="Times New Roman" w:eastAsia="Times New Roman" w:hAnsi="Times New Roman" w:cs="Times New Roman"/>
          <w:b/>
          <w:bCs/>
          <w:sz w:val="24"/>
          <w:szCs w:val="24"/>
          <w:highlight w:val="yellow"/>
        </w:rPr>
        <w:t>4</w:t>
      </w:r>
      <w:r w:rsidRPr="00910A94">
        <w:rPr>
          <w:rFonts w:ascii="Times New Roman" w:eastAsia="Times New Roman" w:hAnsi="Times New Roman" w:cs="Times New Roman"/>
          <w:b/>
          <w:bCs/>
          <w:sz w:val="24"/>
          <w:szCs w:val="24"/>
          <w:highlight w:val="yellow"/>
        </w:rPr>
        <w:t xml:space="preserve"> here&gt;</w:t>
      </w:r>
      <w:r>
        <w:rPr>
          <w:rFonts w:ascii="Times New Roman" w:eastAsia="Times New Roman" w:hAnsi="Times New Roman" w:cs="Times New Roman"/>
          <w:sz w:val="24"/>
          <w:szCs w:val="24"/>
        </w:rPr>
        <w:t xml:space="preserve"> </w:t>
      </w:r>
    </w:p>
    <w:p w14:paraId="2BF59FB1" w14:textId="41BB3EE8" w:rsidR="00910A94" w:rsidRDefault="00910A94" w:rsidP="00910A94">
      <w:pPr>
        <w:spacing w:after="0" w:line="480" w:lineRule="auto"/>
        <w:ind w:firstLine="20"/>
        <w:jc w:val="both"/>
        <w:rPr>
          <w:rFonts w:ascii="Times New Roman" w:eastAsia="Times New Roman" w:hAnsi="Times New Roman" w:cs="Times New Roman"/>
          <w:sz w:val="24"/>
          <w:szCs w:val="24"/>
        </w:rPr>
      </w:pPr>
      <w:r w:rsidRPr="00910A94">
        <w:rPr>
          <w:rFonts w:ascii="Times New Roman" w:eastAsia="Times New Roman" w:hAnsi="Times New Roman" w:cs="Times New Roman"/>
          <w:sz w:val="24"/>
          <w:szCs w:val="24"/>
          <w:highlight w:val="yellow"/>
        </w:rPr>
        <w:t>Figure 17.4. Georg Friedrich Ziebland, Basilica of St Boniface, Munich, Germany, Photomechanical print of the interior view towards the apse. 1835-50. Digital file taken from the original in Library of Congress Prints and Photographs Division, Washington, D.C. 20540 USA. Downloaded from http://hdl.loc.gov/loc.pnp/ppmsca.00070. No known restrictions</w:t>
      </w:r>
    </w:p>
    <w:p w14:paraId="00000020" w14:textId="36BA145F"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combination of an early Christian basilican structure, a Byzantinising hieratic pseudo mosaic in the apse and archaising paintings included over the nave arcade had already been found in Georg Friedrich Ziebland’s basilica of St Boniface (1835–50) destroyed in the Second World War, </w:t>
      </w:r>
      <w:r>
        <w:rPr>
          <w:rFonts w:ascii="Times New Roman" w:eastAsia="Times New Roman" w:hAnsi="Times New Roman" w:cs="Times New Roman"/>
          <w:sz w:val="24"/>
          <w:szCs w:val="24"/>
          <w:highlight w:val="yellow"/>
        </w:rPr>
        <w:t xml:space="preserve">(FIG. </w:t>
      </w:r>
      <w:r w:rsidR="00910A94">
        <w:rPr>
          <w:rFonts w:ascii="Times New Roman" w:eastAsia="Times New Roman" w:hAnsi="Times New Roman" w:cs="Times New Roman"/>
          <w:sz w:val="24"/>
          <w:szCs w:val="24"/>
          <w:highlight w:val="yellow"/>
        </w:rPr>
        <w:t>17.</w:t>
      </w:r>
      <w:r>
        <w:rPr>
          <w:rFonts w:ascii="Times New Roman" w:eastAsia="Times New Roman" w:hAnsi="Times New Roman" w:cs="Times New Roman"/>
          <w:sz w:val="24"/>
          <w:szCs w:val="24"/>
          <w:highlight w:val="yellow"/>
        </w:rPr>
        <w:t>4).</w:t>
      </w:r>
      <w:r>
        <w:rPr>
          <w:rFonts w:ascii="Times New Roman" w:eastAsia="Times New Roman" w:hAnsi="Times New Roman" w:cs="Times New Roman"/>
          <w:sz w:val="24"/>
          <w:szCs w:val="24"/>
        </w:rPr>
        <w:t xml:space="preserve"> Both Pollen and Newman had separately visited Munich in 1847 and been impressed by the church of St Boniface.</w:t>
      </w:r>
      <w:r w:rsidR="00A97F89">
        <w:rPr>
          <w:rStyle w:val="EndnoteReference"/>
          <w:rFonts w:ascii="Times New Roman" w:eastAsia="Times New Roman" w:hAnsi="Times New Roman" w:cs="Times New Roman"/>
          <w:sz w:val="24"/>
          <w:szCs w:val="24"/>
        </w:rPr>
        <w:endnoteReference w:id="20"/>
      </w:r>
      <w:r>
        <w:rPr>
          <w:rFonts w:ascii="Times New Roman" w:eastAsia="Times New Roman" w:hAnsi="Times New Roman" w:cs="Times New Roman"/>
          <w:sz w:val="24"/>
          <w:szCs w:val="24"/>
        </w:rPr>
        <w:t xml:space="preserve"> King Ludwig I of Bavaria established the Benedictine Abbey (founded 1835) to which the church belonged as part of his campaign to revitalise Catholic faith in Munich following early nineteenth-century secularism. The community received authority over the adjacent museum quarter to signal the interdependence of religion, arts and sciences within Ludwig’s challenge to secularisation. This church, which like the Dublin church was informed by the basilicas of Ravenna and became an epitomic expression of the early Christian </w:t>
      </w:r>
      <w:r>
        <w:rPr>
          <w:rFonts w:ascii="Times New Roman" w:eastAsia="Times New Roman" w:hAnsi="Times New Roman" w:cs="Times New Roman"/>
          <w:i/>
          <w:iCs/>
          <w:sz w:val="24"/>
          <w:szCs w:val="24"/>
        </w:rPr>
        <w:t>Rundbogenstil</w:t>
      </w:r>
      <w:r>
        <w:rPr>
          <w:rFonts w:ascii="Times New Roman" w:eastAsia="Times New Roman" w:hAnsi="Times New Roman" w:cs="Times New Roman"/>
          <w:sz w:val="24"/>
          <w:szCs w:val="24"/>
        </w:rPr>
        <w:t>, holds similarities in form and conception with the Dublin church and must have informed its design.</w:t>
      </w:r>
    </w:p>
    <w:p w14:paraId="00000021" w14:textId="66701CCD"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Gold painted woodwork complements the marbles and pseudo mosaics in creating a Byzantinising interior. The screen of the choir gallery to the left of the apse emulates gilded latticework. Pollen said: “I introduced, something after the old Byzantine manner, pierced lattice in place of curtains … and pierced work in the baldacchino of the altar and pulpit”.</w:t>
      </w:r>
      <w:r w:rsidR="00A97F89">
        <w:rPr>
          <w:rStyle w:val="EndnoteReference"/>
          <w:rFonts w:ascii="Times New Roman" w:eastAsia="Times New Roman" w:hAnsi="Times New Roman" w:cs="Times New Roman"/>
          <w:sz w:val="24"/>
          <w:szCs w:val="24"/>
        </w:rPr>
        <w:endnoteReference w:id="21"/>
      </w:r>
      <w:r w:rsidR="00A97F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Pollen's deliberate use of Byzantine forms extended to the altar's six tall candlesticks. Each base features a leaf motif mimicking cut metalwork, fashioned from gilded wood due to budgetary constraints. Pollen sketched the design onto the timber before Irish carpenters executed the carving. He welcomed the craftsmen's engagement with unfamiliar forms, as the </w:t>
      </w:r>
      <w:r>
        <w:rPr>
          <w:rFonts w:ascii="Times New Roman" w:eastAsia="Times New Roman" w:hAnsi="Times New Roman" w:cs="Times New Roman"/>
          <w:sz w:val="24"/>
          <w:szCs w:val="24"/>
        </w:rPr>
        <w:lastRenderedPageBreak/>
        <w:t>resulting lack of refinement was authentically Byzantine in achieving its “effects at the proper distance”.</w:t>
      </w:r>
      <w:r w:rsidR="00A97F89">
        <w:rPr>
          <w:rStyle w:val="EndnoteReference"/>
          <w:rFonts w:ascii="Times New Roman" w:eastAsia="Times New Roman" w:hAnsi="Times New Roman" w:cs="Times New Roman"/>
          <w:sz w:val="24"/>
          <w:szCs w:val="24"/>
        </w:rPr>
        <w:endnoteReference w:id="22"/>
      </w:r>
      <w:r>
        <w:rPr>
          <w:rFonts w:ascii="Times New Roman" w:eastAsia="Times New Roman" w:hAnsi="Times New Roman" w:cs="Times New Roman"/>
          <w:sz w:val="24"/>
          <w:szCs w:val="24"/>
        </w:rPr>
        <w:t xml:space="preserve"> The golden accented, marble-clad interior, with columns adorned with floriate alabaster capitals, and his holistic and sustained use of polychromy, was clearly indebted to churches in Constantinople and Italy that Pollen had visited.</w:t>
      </w:r>
      <w:r w:rsidR="00A97F89">
        <w:rPr>
          <w:rStyle w:val="EndnoteReference"/>
          <w:rFonts w:ascii="Times New Roman" w:eastAsia="Times New Roman" w:hAnsi="Times New Roman" w:cs="Times New Roman"/>
          <w:sz w:val="24"/>
          <w:szCs w:val="24"/>
        </w:rPr>
        <w:endnoteReference w:id="23"/>
      </w:r>
      <w:r>
        <w:rPr>
          <w:rFonts w:ascii="Times New Roman" w:eastAsia="Times New Roman" w:hAnsi="Times New Roman" w:cs="Times New Roman"/>
          <w:sz w:val="24"/>
          <w:szCs w:val="24"/>
        </w:rPr>
        <w:t xml:space="preserve"> Pollen sought not slavish replication of early Christian and Byzantine basilicas, but rather a building Romano-Byzantine in spirit: the sumptuous, animated setting of coloured marble surfaces, gilding, paintings and orchestrated light was designed, in authentic Byzantine tradition, as what Newman termed “a foretaste of heaven” on earth.</w:t>
      </w:r>
      <w:r w:rsidR="00A97F89">
        <w:rPr>
          <w:rStyle w:val="EndnoteReference"/>
          <w:rFonts w:ascii="Times New Roman" w:eastAsia="Times New Roman" w:hAnsi="Times New Roman" w:cs="Times New Roman"/>
          <w:sz w:val="24"/>
          <w:szCs w:val="24"/>
        </w:rPr>
        <w:endnoteReference w:id="24"/>
      </w:r>
    </w:p>
    <w:p w14:paraId="00000022" w14:textId="77777777" w:rsidR="00CE7843" w:rsidRDefault="00226B83" w:rsidP="00D31318">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authority of the Catholic Church</w:t>
      </w:r>
    </w:p>
    <w:p w14:paraId="00000023" w14:textId="14447208" w:rsidR="00CE7843" w:rsidRDefault="00226B83" w:rsidP="00D31318">
      <w:pPr>
        <w:spacing w:after="0" w:line="48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basilicas exhibit a system of internal architecture; now this decoration is less costly, and far easier, than that of exteriors”.</w:t>
      </w:r>
      <w:r w:rsidR="00A97F89">
        <w:rPr>
          <w:rStyle w:val="EndnoteReference"/>
          <w:rFonts w:ascii="Times New Roman" w:eastAsia="Times New Roman" w:hAnsi="Times New Roman" w:cs="Times New Roman"/>
          <w:sz w:val="24"/>
          <w:szCs w:val="24"/>
        </w:rPr>
        <w:endnoteReference w:id="25"/>
      </w:r>
    </w:p>
    <w:p w14:paraId="00000024" w14:textId="4CD8DE02"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Pollen's ‘Apologia’ – the concluding lecture in his Dublin series on the basilica, delivered in 1855 while designing the church – reveals that University Church's design was shaped by spatial and financial constraints. The exterior’s concealment from the street rendered expensive sculptural Neo-Gothic ornament pointless, whilst limited resources (Newman funded the project from personal means) made what Ruskin called the “confessed incrustation” of Byzantine style – cladding inexpensive structural materials like brick with precious marbles and mosaics – an apt solution. Yet ideological considerations equally informed the church's aesthetic. Pollen articulated a clear continuity of Christian structure and form linking Rome and Byzantium in his Dublin lectures, and later, in an 1858 article for </w:t>
      </w:r>
      <w:r>
        <w:rPr>
          <w:rFonts w:ascii="Times New Roman" w:eastAsia="Times New Roman" w:hAnsi="Times New Roman" w:cs="Times New Roman"/>
          <w:i/>
          <w:iCs/>
          <w:sz w:val="24"/>
          <w:szCs w:val="24"/>
        </w:rPr>
        <w:t>Atlantis</w:t>
      </w:r>
      <w:r>
        <w:rPr>
          <w:rFonts w:ascii="Times New Roman" w:eastAsia="Times New Roman" w:hAnsi="Times New Roman" w:cs="Times New Roman"/>
          <w:sz w:val="24"/>
          <w:szCs w:val="24"/>
        </w:rPr>
        <w:t xml:space="preserve"> – the science and literature journal published by the Catholic University of Ireland – traced the basilica's evolution from Rome through Byzantine Ravenna's new heights to its zenith at Hagia Sophia and San Marco.</w:t>
      </w:r>
      <w:r w:rsidR="006B41DF">
        <w:rPr>
          <w:rStyle w:val="EndnoteReference"/>
          <w:rFonts w:ascii="Times New Roman" w:eastAsia="Times New Roman" w:hAnsi="Times New Roman" w:cs="Times New Roman"/>
          <w:sz w:val="24"/>
          <w:szCs w:val="24"/>
        </w:rPr>
        <w:endnoteReference w:id="26"/>
      </w:r>
      <w:r>
        <w:rPr>
          <w:rFonts w:ascii="Times New Roman" w:eastAsia="Times New Roman" w:hAnsi="Times New Roman" w:cs="Times New Roman"/>
          <w:sz w:val="24"/>
          <w:szCs w:val="24"/>
        </w:rPr>
        <w:t xml:space="preserve"> For Pollen, Byzantine structures, even centralised domed churches, were a natural evolution of the early basilica, evidencing a continuum in early Christian architecture, expressed in the amalgamation of structure and form in the Dublin church.</w:t>
      </w:r>
    </w:p>
    <w:p w14:paraId="00000025" w14:textId="5F6060AD"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University Church was not an eclectic mid-nineteenth-century fusion of round-arched styles, but rather a careful Romano-Byzantine design that embodied continuity in the face of claims of atrophy and decline concerning medieval Christianity by Enlightenment and Protestants alike, informed by the work of Enlightenment figurehead Edward Gibbon (1737–94) and his scathing appraisal of the late Roman empire in </w:t>
      </w:r>
      <w:r>
        <w:rPr>
          <w:rFonts w:ascii="Times New Roman" w:eastAsia="Times New Roman" w:hAnsi="Times New Roman" w:cs="Times New Roman"/>
          <w:i/>
          <w:iCs/>
          <w:sz w:val="24"/>
          <w:szCs w:val="24"/>
        </w:rPr>
        <w:t>The Decline and Fall of the Roman Empire</w:t>
      </w:r>
      <w:r>
        <w:rPr>
          <w:rFonts w:ascii="Times New Roman" w:eastAsia="Times New Roman" w:hAnsi="Times New Roman" w:cs="Times New Roman"/>
          <w:sz w:val="24"/>
          <w:szCs w:val="24"/>
        </w:rPr>
        <w:t xml:space="preserve"> (1776–88). Gibbon’s work in which he detailed “the triumph of barbarism and religion” had largely attributed the fall of the Romans to the rise of Christianity and he held the eastern portion of the Roman empire which continued after the western half had fallen in particular contempt. Characterisations of the corruption of</w:t>
      </w:r>
      <w:r w:rsidR="00D31318">
        <w:rPr>
          <w:rFonts w:ascii="Times New Roman" w:eastAsia="Times New Roman" w:hAnsi="Times New Roman" w:cs="Times New Roman"/>
          <w:sz w:val="24"/>
          <w:szCs w:val="24"/>
        </w:rPr>
        <w:t xml:space="preserve"> the medieval Catholic C</w:t>
      </w:r>
      <w:r>
        <w:rPr>
          <w:rFonts w:ascii="Times New Roman" w:eastAsia="Times New Roman" w:hAnsi="Times New Roman" w:cs="Times New Roman"/>
          <w:sz w:val="24"/>
          <w:szCs w:val="24"/>
        </w:rPr>
        <w:t>hurch informed by Gibbon’s work, were used by both secularists and Protestants to undermine the present authority of the Roman church. Writing about the persecution of English Catholics and against such ideas, Newman underlined the foundational idea behind the denunciation of Catholicism:</w:t>
      </w:r>
    </w:p>
    <w:p w14:paraId="0EDF13FC" w14:textId="10265753" w:rsidR="00D31318" w:rsidRPr="00D31318" w:rsidRDefault="00D31318" w:rsidP="00D31318">
      <w:pPr>
        <w:spacing w:after="0" w:line="480" w:lineRule="auto"/>
        <w:ind w:left="720"/>
        <w:jc w:val="both"/>
        <w:rPr>
          <w:rFonts w:ascii="Times New Roman" w:eastAsia="Times New Roman" w:hAnsi="Times New Roman" w:cs="Times New Roman"/>
          <w:sz w:val="24"/>
          <w:szCs w:val="40"/>
          <w:vertAlign w:val="superscript"/>
        </w:rPr>
      </w:pPr>
      <w:r>
        <w:rPr>
          <w:rFonts w:ascii="Times New Roman" w:eastAsia="Times New Roman" w:hAnsi="Times New Roman" w:cs="Times New Roman"/>
          <w:sz w:val="24"/>
          <w:szCs w:val="24"/>
        </w:rPr>
        <w:t xml:space="preserve"> </w:t>
      </w:r>
      <w:r w:rsidR="00226B83">
        <w:rPr>
          <w:rFonts w:ascii="Times New Roman" w:eastAsia="Times New Roman" w:hAnsi="Times New Roman" w:cs="Times New Roman"/>
          <w:sz w:val="24"/>
          <w:szCs w:val="24"/>
        </w:rPr>
        <w:t>… that Christianity was very pure in its beginning, was very corrupt in the middle age, and is very pure in England now, though still corrupt everywhere else: that in the middle age, a tyrannical institution, called the Church, arose and swallowed up Christianity, and that that Church is alive still, and has not yet disgorged its prey … in the middle age there was no Christianity anywhere at all,</w:t>
      </w:r>
      <w:r>
        <w:rPr>
          <w:rFonts w:ascii="Times New Roman" w:eastAsia="Times New Roman" w:hAnsi="Times New Roman" w:cs="Times New Roman"/>
          <w:sz w:val="24"/>
          <w:szCs w:val="24"/>
        </w:rPr>
        <w:t xml:space="preserve"> but all was dark and horrible.</w:t>
      </w:r>
      <w:r w:rsidR="006B41DF">
        <w:rPr>
          <w:rStyle w:val="EndnoteReference"/>
          <w:rFonts w:ascii="Times New Roman" w:eastAsia="Times New Roman" w:hAnsi="Times New Roman" w:cs="Times New Roman"/>
          <w:sz w:val="24"/>
          <w:szCs w:val="24"/>
        </w:rPr>
        <w:endnoteReference w:id="27"/>
      </w:r>
    </w:p>
    <w:p w14:paraId="00000027" w14:textId="1EBD1BD0" w:rsidR="00CE7843" w:rsidRPr="00D31318" w:rsidRDefault="00226B83" w:rsidP="00D31318">
      <w:pPr>
        <w:spacing w:after="0" w:line="48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Protestantism had ditched “a thousand years from the world’s chronicle”, according to Newman, resulting in “its want of past history, and its want of fixed </w:t>
      </w:r>
      <w:r w:rsidRPr="00D31318">
        <w:rPr>
          <w:rFonts w:ascii="Times New Roman" w:eastAsia="Times New Roman" w:hAnsi="Times New Roman" w:cs="Times New Roman"/>
          <w:sz w:val="24"/>
          <w:szCs w:val="24"/>
        </w:rPr>
        <w:t>teaching”.</w:t>
      </w:r>
      <w:r w:rsidR="006B41DF">
        <w:rPr>
          <w:rStyle w:val="EndnoteReference"/>
          <w:rFonts w:ascii="Times New Roman" w:eastAsia="Times New Roman" w:hAnsi="Times New Roman" w:cs="Times New Roman"/>
          <w:sz w:val="24"/>
          <w:szCs w:val="24"/>
        </w:rPr>
        <w:endnoteReference w:id="28"/>
      </w:r>
      <w:r w:rsidRPr="00D31318">
        <w:rPr>
          <w:rFonts w:ascii="Times New Roman" w:eastAsia="Times New Roman" w:hAnsi="Times New Roman" w:cs="Times New Roman"/>
          <w:sz w:val="24"/>
          <w:szCs w:val="24"/>
        </w:rPr>
        <w:t xml:space="preserve"> Indeed,</w:t>
      </w:r>
      <w:r w:rsidRPr="00D31318">
        <w:rPr>
          <w:rFonts w:ascii="Times New Roman" w:eastAsia="Times New Roman" w:hAnsi="Times New Roman" w:cs="Times New Roman"/>
          <w:b/>
          <w:bCs/>
          <w:sz w:val="24"/>
          <w:szCs w:val="24"/>
        </w:rPr>
        <w:t xml:space="preserve"> </w:t>
      </w:r>
      <w:r w:rsidRPr="00D31318">
        <w:rPr>
          <w:rFonts w:ascii="Times New Roman" w:eastAsia="Times New Roman" w:hAnsi="Times New Roman" w:cs="Times New Roman"/>
          <w:sz w:val="24"/>
          <w:szCs w:val="24"/>
        </w:rPr>
        <w:t xml:space="preserve">in </w:t>
      </w:r>
      <w:r w:rsidRPr="00D31318">
        <w:rPr>
          <w:rFonts w:ascii="Times New Roman" w:eastAsia="Times New Roman" w:hAnsi="Times New Roman" w:cs="Times New Roman"/>
          <w:i/>
          <w:iCs/>
          <w:sz w:val="24"/>
          <w:szCs w:val="24"/>
        </w:rPr>
        <w:t>An Essay on the</w:t>
      </w:r>
      <w:r w:rsidRPr="00D31318">
        <w:rPr>
          <w:rFonts w:ascii="Times New Roman" w:eastAsia="Times New Roman" w:hAnsi="Times New Roman" w:cs="Times New Roman"/>
          <w:sz w:val="24"/>
          <w:szCs w:val="24"/>
        </w:rPr>
        <w:t xml:space="preserve"> </w:t>
      </w:r>
      <w:r w:rsidRPr="00D31318">
        <w:rPr>
          <w:rFonts w:ascii="Times New Roman" w:eastAsia="Times New Roman" w:hAnsi="Times New Roman" w:cs="Times New Roman"/>
          <w:i/>
          <w:iCs/>
          <w:sz w:val="24"/>
          <w:szCs w:val="24"/>
        </w:rPr>
        <w:t xml:space="preserve">Development of Doctrine </w:t>
      </w:r>
      <w:r w:rsidRPr="00D31318">
        <w:rPr>
          <w:rFonts w:ascii="Times New Roman" w:eastAsia="Times New Roman" w:hAnsi="Times New Roman" w:cs="Times New Roman"/>
          <w:sz w:val="24"/>
          <w:szCs w:val="24"/>
        </w:rPr>
        <w:t>(1845), published the year of his conversion, Newman decried the “utter incongruity between Protestantism and historical Christianity” as being “plain fact”, arguing that historical continuity belonged to Catholics.</w:t>
      </w:r>
      <w:r w:rsidR="006B41DF">
        <w:rPr>
          <w:rStyle w:val="EndnoteReference"/>
          <w:rFonts w:ascii="Times New Roman" w:eastAsia="Times New Roman" w:hAnsi="Times New Roman" w:cs="Times New Roman"/>
          <w:sz w:val="24"/>
          <w:szCs w:val="24"/>
        </w:rPr>
        <w:endnoteReference w:id="29"/>
      </w:r>
    </w:p>
    <w:p w14:paraId="00000028" w14:textId="536264EB"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heart of Newman’s university was a profound </w:t>
      </w:r>
      <w:r w:rsidR="00D31318">
        <w:rPr>
          <w:rFonts w:ascii="Times New Roman" w:eastAsia="Times New Roman" w:hAnsi="Times New Roman" w:cs="Times New Roman"/>
          <w:sz w:val="24"/>
          <w:szCs w:val="24"/>
        </w:rPr>
        <w:t xml:space="preserve">defence of Catholicity based on </w:t>
      </w:r>
      <w:r>
        <w:rPr>
          <w:rFonts w:ascii="Times New Roman" w:eastAsia="Times New Roman" w:hAnsi="Times New Roman" w:cs="Times New Roman"/>
          <w:sz w:val="24"/>
          <w:szCs w:val="24"/>
        </w:rPr>
        <w:t xml:space="preserve">his ideas of historical continuity and sacred development, articulated fully in </w:t>
      </w:r>
      <w:r>
        <w:rPr>
          <w:rFonts w:ascii="Times New Roman" w:eastAsia="Times New Roman" w:hAnsi="Times New Roman" w:cs="Times New Roman"/>
          <w:i/>
          <w:iCs/>
          <w:sz w:val="24"/>
          <w:szCs w:val="24"/>
        </w:rPr>
        <w:t>The Development</w:t>
      </w:r>
      <w:r>
        <w:rPr>
          <w:rFonts w:ascii="Times New Roman" w:eastAsia="Times New Roman" w:hAnsi="Times New Roman" w:cs="Times New Roman"/>
          <w:sz w:val="24"/>
          <w:szCs w:val="24"/>
        </w:rPr>
        <w:t xml:space="preserve">, a work met with a mixed reception, but which was definitive for Newman throughout his life </w:t>
      </w:r>
      <w:r>
        <w:rPr>
          <w:rFonts w:ascii="Times New Roman" w:eastAsia="Times New Roman" w:hAnsi="Times New Roman" w:cs="Times New Roman"/>
          <w:sz w:val="24"/>
          <w:szCs w:val="24"/>
        </w:rPr>
        <w:lastRenderedPageBreak/>
        <w:t>concerning the cogency of a dynamically evolving religious tradition. To be Catholic was to accept that the truths of Christianity had evolved through history under the guardianship of Rome. Newman and Pollen’s Romano-Byzantine church was a material affirmation of the continued authority of the Catholic Church through history as a developed basilican type. Visual analogy created a connection back to the early Church and the legitimacy it assumed following the Edict of Milan (313) when Christianity was legalised. The structure and style declared that just as the early Church asserted its place in the pagan Roman empire and continued into the Middle Ages, so too would the university’s Catholics in their Post-Enlightenment context. University Church embodied sacred continuity and refuted notions of corruption and decline.</w:t>
      </w:r>
    </w:p>
    <w:p w14:paraId="00000029" w14:textId="77777777"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Whilst for others medieval revivalism often intertwined with emerging nationalisms, Newman concerned himself solely with Catholic identity. His deployment of the Romano-Byzantine style projected an erudite and venerable identity for marginalised British and Irish Catholics: it embodied the university's mission to restore persecuted Catholics in both England and Ireland to their rightful social standing, denied them since the Reformation. In his lectures delivered before the university’s inauguration, Newman said:  </w:t>
      </w:r>
    </w:p>
    <w:p w14:paraId="0000002A" w14:textId="12C4A22A" w:rsidR="00CE7843" w:rsidRDefault="00226B83" w:rsidP="00D31318">
      <w:pPr>
        <w:spacing w:after="0" w:line="48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Catholics in these islands have not been in a condition for centuries to attempt the sort of education which is necessary for the man of the world, the statesman, the landholder, or the opulent gentleman. Their legitimate stations, duties, employme</w:t>
      </w:r>
      <w:r w:rsidR="00D31318">
        <w:rPr>
          <w:rFonts w:ascii="Times New Roman" w:eastAsia="Times New Roman" w:hAnsi="Times New Roman" w:cs="Times New Roman"/>
          <w:sz w:val="24"/>
          <w:szCs w:val="24"/>
        </w:rPr>
        <w:t>nts, have been taken from them.</w:t>
      </w:r>
      <w:r w:rsidR="006B41DF">
        <w:rPr>
          <w:rStyle w:val="EndnoteReference"/>
          <w:rFonts w:ascii="Times New Roman" w:eastAsia="Times New Roman" w:hAnsi="Times New Roman" w:cs="Times New Roman"/>
          <w:sz w:val="24"/>
          <w:szCs w:val="24"/>
        </w:rPr>
        <w:endnoteReference w:id="30"/>
      </w:r>
    </w:p>
    <w:p w14:paraId="0000002B" w14:textId="3DACEE9A" w:rsidR="00CE7843" w:rsidRDefault="00226B83" w:rsidP="00D31318">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of the most noteworthy Byzantine revival buildings in the British Isles were inherently connected to the assertion of non-Protestant identities because, as J.B. Bullen has argued, the style provided a visual means of differentiation from, and challenge to, the status quo.</w:t>
      </w:r>
      <w:r w:rsidR="006B41DF">
        <w:rPr>
          <w:rStyle w:val="EndnoteReference"/>
          <w:rFonts w:ascii="Times New Roman" w:eastAsia="Times New Roman" w:hAnsi="Times New Roman" w:cs="Times New Roman"/>
          <w:sz w:val="24"/>
          <w:szCs w:val="24"/>
        </w:rPr>
        <w:endnoteReference w:id="31"/>
      </w:r>
      <w:r>
        <w:rPr>
          <w:rFonts w:ascii="Times New Roman" w:eastAsia="Times New Roman" w:hAnsi="Times New Roman" w:cs="Times New Roman"/>
          <w:sz w:val="24"/>
          <w:szCs w:val="24"/>
        </w:rPr>
        <w:t xml:space="preserve"> The structure, forms and Irish materials were used to create something that connected back to the ancient church, but which was entirely new in its impetus, built for the nineteenth-</w:t>
      </w:r>
      <w:r>
        <w:rPr>
          <w:rFonts w:ascii="Times New Roman" w:eastAsia="Times New Roman" w:hAnsi="Times New Roman" w:cs="Times New Roman"/>
          <w:sz w:val="24"/>
          <w:szCs w:val="24"/>
        </w:rPr>
        <w:lastRenderedPageBreak/>
        <w:t>century needs of Catholics. Newman and Pollen’s vision was for a better Catholic future: through their university they intended, according to Pollen “to smash modern Heathenism under the Communion and in the name of Peter”.</w:t>
      </w:r>
      <w:r w:rsidR="006B41DF">
        <w:rPr>
          <w:rStyle w:val="EndnoteReference"/>
          <w:rFonts w:ascii="Times New Roman" w:eastAsia="Times New Roman" w:hAnsi="Times New Roman" w:cs="Times New Roman"/>
          <w:sz w:val="24"/>
          <w:szCs w:val="24"/>
        </w:rPr>
        <w:endnoteReference w:id="32"/>
      </w:r>
      <w:r>
        <w:rPr>
          <w:rFonts w:ascii="Times New Roman" w:eastAsia="Times New Roman" w:hAnsi="Times New Roman" w:cs="Times New Roman"/>
          <w:sz w:val="24"/>
          <w:szCs w:val="24"/>
        </w:rPr>
        <w:t xml:space="preserve"> Their Romano-Byzantine church offered a tangible expression of those utopian ambitions.</w:t>
      </w:r>
    </w:p>
    <w:p w14:paraId="0000002C" w14:textId="77777777" w:rsidR="00CE7843" w:rsidRDefault="00CE7843">
      <w:pPr>
        <w:spacing w:before="240" w:after="240" w:line="360" w:lineRule="auto"/>
        <w:ind w:firstLine="720"/>
        <w:jc w:val="both"/>
        <w:rPr>
          <w:rFonts w:ascii="Times New Roman" w:eastAsia="Times New Roman" w:hAnsi="Times New Roman" w:cs="Times New Roman"/>
          <w:sz w:val="24"/>
          <w:szCs w:val="24"/>
        </w:rPr>
      </w:pPr>
    </w:p>
    <w:p w14:paraId="0000002D" w14:textId="77777777" w:rsidR="00CE7843" w:rsidRDefault="00CE7843">
      <w:pPr>
        <w:spacing w:before="240" w:after="240" w:line="360" w:lineRule="auto"/>
        <w:ind w:firstLine="720"/>
        <w:jc w:val="both"/>
        <w:rPr>
          <w:rFonts w:ascii="Times New Roman" w:eastAsia="Times New Roman" w:hAnsi="Times New Roman" w:cs="Times New Roman"/>
          <w:sz w:val="24"/>
          <w:szCs w:val="24"/>
        </w:rPr>
      </w:pPr>
    </w:p>
    <w:p w14:paraId="0000002E" w14:textId="067C1220" w:rsidR="00CE7843" w:rsidRDefault="00CE7843">
      <w:pPr>
        <w:spacing w:before="240" w:after="240" w:line="360" w:lineRule="auto"/>
        <w:jc w:val="both"/>
        <w:rPr>
          <w:rFonts w:ascii="Times New Roman" w:eastAsia="Times New Roman" w:hAnsi="Times New Roman" w:cs="Times New Roman"/>
          <w:b/>
          <w:bCs/>
          <w:sz w:val="24"/>
          <w:szCs w:val="24"/>
        </w:rPr>
      </w:pPr>
    </w:p>
    <w:p w14:paraId="60D005A7" w14:textId="6BA2DD51" w:rsidR="00D31318" w:rsidRPr="00D31318" w:rsidRDefault="00D31318">
      <w:pPr>
        <w:spacing w:before="240" w:after="240" w:line="360" w:lineRule="auto"/>
        <w:jc w:val="both"/>
        <w:rPr>
          <w:rFonts w:ascii="Times New Roman" w:eastAsia="Times New Roman" w:hAnsi="Times New Roman" w:cs="Times New Roman"/>
          <w:bCs/>
          <w:sz w:val="24"/>
          <w:szCs w:val="24"/>
        </w:rPr>
      </w:pPr>
      <w:r w:rsidRPr="00D31318">
        <w:rPr>
          <w:rFonts w:ascii="Times New Roman" w:eastAsia="Times New Roman" w:hAnsi="Times New Roman" w:cs="Times New Roman"/>
          <w:bCs/>
          <w:sz w:val="24"/>
          <w:szCs w:val="24"/>
        </w:rPr>
        <w:t>BIBLIOGRAPHY</w:t>
      </w:r>
    </w:p>
    <w:p w14:paraId="0000002F" w14:textId="63DCC338" w:rsidR="00CE7843" w:rsidRDefault="00226B83" w:rsidP="00D313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Aqui</w:t>
      </w:r>
      <w:r w:rsidR="004D546F">
        <w:rPr>
          <w:rFonts w:ascii="Times New Roman" w:eastAsia="Times New Roman" w:hAnsi="Times New Roman" w:cs="Times New Roman"/>
          <w:sz w:val="24"/>
          <w:szCs w:val="24"/>
        </w:rPr>
        <w:t>no, F. and King, B. eds. (2018)</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The Oxford Handbook of John Henry Newman</w:t>
      </w:r>
      <w:r>
        <w:rPr>
          <w:rFonts w:ascii="Times New Roman" w:eastAsia="Times New Roman" w:hAnsi="Times New Roman" w:cs="Times New Roman"/>
          <w:sz w:val="24"/>
          <w:szCs w:val="24"/>
        </w:rPr>
        <w:t>. Oxford.</w:t>
      </w:r>
    </w:p>
    <w:p w14:paraId="3E97807B" w14:textId="77777777" w:rsidR="00D31318" w:rsidRDefault="00D31318" w:rsidP="00D31318">
      <w:pPr>
        <w:spacing w:after="0" w:line="240" w:lineRule="auto"/>
        <w:jc w:val="both"/>
        <w:rPr>
          <w:rFonts w:ascii="Times New Roman" w:eastAsia="Times New Roman" w:hAnsi="Times New Roman" w:cs="Times New Roman"/>
          <w:sz w:val="24"/>
          <w:szCs w:val="24"/>
        </w:rPr>
      </w:pPr>
    </w:p>
    <w:p w14:paraId="00000030" w14:textId="77777777" w:rsidR="00CE7843" w:rsidRDefault="00226B83" w:rsidP="00D313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‘Architectural description of the University Church’, </w:t>
      </w:r>
      <w:r>
        <w:rPr>
          <w:rFonts w:ascii="Times New Roman" w:eastAsia="Times New Roman" w:hAnsi="Times New Roman" w:cs="Times New Roman"/>
          <w:i/>
          <w:iCs/>
          <w:sz w:val="24"/>
          <w:szCs w:val="24"/>
        </w:rPr>
        <w:t xml:space="preserve">The Catholic University Gazette </w:t>
      </w:r>
      <w:r>
        <w:rPr>
          <w:rFonts w:ascii="Times New Roman" w:eastAsia="Times New Roman" w:hAnsi="Times New Roman" w:cs="Times New Roman"/>
          <w:sz w:val="24"/>
          <w:szCs w:val="24"/>
        </w:rPr>
        <w:t>51 (1856).</w:t>
      </w:r>
    </w:p>
    <w:p w14:paraId="5528D1D0" w14:textId="77777777" w:rsidR="00D31318" w:rsidRDefault="00D31318" w:rsidP="00D31318">
      <w:pPr>
        <w:spacing w:after="0" w:line="240" w:lineRule="auto"/>
        <w:jc w:val="both"/>
        <w:rPr>
          <w:rFonts w:ascii="Times New Roman" w:eastAsia="Times New Roman" w:hAnsi="Times New Roman" w:cs="Times New Roman"/>
          <w:sz w:val="24"/>
          <w:szCs w:val="24"/>
        </w:rPr>
      </w:pPr>
    </w:p>
    <w:p w14:paraId="00000031" w14:textId="77777777" w:rsidR="00CE7843" w:rsidRDefault="00226B83" w:rsidP="00D313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Bullen, J. B. (2003) </w:t>
      </w:r>
      <w:r>
        <w:rPr>
          <w:rFonts w:ascii="Times New Roman" w:eastAsia="Times New Roman" w:hAnsi="Times New Roman" w:cs="Times New Roman"/>
          <w:i/>
          <w:iCs/>
          <w:sz w:val="24"/>
          <w:szCs w:val="24"/>
        </w:rPr>
        <w:t>Byzantium Rediscovered</w:t>
      </w:r>
      <w:r>
        <w:rPr>
          <w:rFonts w:ascii="Times New Roman" w:eastAsia="Times New Roman" w:hAnsi="Times New Roman" w:cs="Times New Roman"/>
          <w:sz w:val="24"/>
          <w:szCs w:val="24"/>
        </w:rPr>
        <w:t>. London.</w:t>
      </w:r>
    </w:p>
    <w:p w14:paraId="1A05FE51" w14:textId="77777777" w:rsidR="00D31318" w:rsidRDefault="00D31318" w:rsidP="00D31318">
      <w:pPr>
        <w:spacing w:after="0" w:line="240" w:lineRule="auto"/>
        <w:jc w:val="both"/>
        <w:rPr>
          <w:rFonts w:ascii="Times New Roman" w:eastAsia="Times New Roman" w:hAnsi="Times New Roman" w:cs="Times New Roman"/>
          <w:sz w:val="24"/>
          <w:szCs w:val="24"/>
        </w:rPr>
      </w:pPr>
    </w:p>
    <w:p w14:paraId="00000032" w14:textId="77777777" w:rsidR="00CE7843" w:rsidRDefault="00226B83" w:rsidP="00D31318">
      <w:pP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 Cook, E. T. and Wedderburn, A. eds.</w:t>
      </w:r>
      <w:r>
        <w:rPr>
          <w:rFonts w:ascii="Times New Roman" w:eastAsia="Times New Roman" w:hAnsi="Times New Roman" w:cs="Times New Roman"/>
          <w:sz w:val="24"/>
          <w:szCs w:val="24"/>
          <w:highlight w:val="white"/>
        </w:rPr>
        <w:t xml:space="preserve"> (1903–12)</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The Works of John Ruskin</w:t>
      </w:r>
      <w:r>
        <w:rPr>
          <w:rFonts w:ascii="Times New Roman" w:eastAsia="Times New Roman" w:hAnsi="Times New Roman" w:cs="Times New Roman"/>
          <w:sz w:val="24"/>
          <w:szCs w:val="24"/>
        </w:rPr>
        <w:t>, 39 vols. London</w:t>
      </w:r>
      <w:r>
        <w:rPr>
          <w:rFonts w:ascii="Times New Roman" w:eastAsia="Times New Roman" w:hAnsi="Times New Roman" w:cs="Times New Roman"/>
          <w:sz w:val="24"/>
          <w:szCs w:val="24"/>
          <w:highlight w:val="white"/>
        </w:rPr>
        <w:t>.</w:t>
      </w:r>
    </w:p>
    <w:p w14:paraId="72FA3686" w14:textId="77777777" w:rsidR="00D31318" w:rsidRDefault="00D31318" w:rsidP="00D31318">
      <w:pPr>
        <w:spacing w:after="0" w:line="240" w:lineRule="auto"/>
        <w:jc w:val="both"/>
        <w:rPr>
          <w:rFonts w:ascii="Times New Roman" w:eastAsia="Times New Roman" w:hAnsi="Times New Roman" w:cs="Times New Roman"/>
          <w:sz w:val="24"/>
          <w:szCs w:val="24"/>
          <w:highlight w:val="white"/>
        </w:rPr>
      </w:pPr>
    </w:p>
    <w:p w14:paraId="00000033" w14:textId="77777777" w:rsidR="00CE7843" w:rsidRDefault="00226B83" w:rsidP="00D313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Freeman, E. (1849) </w:t>
      </w:r>
      <w:r>
        <w:rPr>
          <w:rFonts w:ascii="Times New Roman" w:eastAsia="Times New Roman" w:hAnsi="Times New Roman" w:cs="Times New Roman"/>
          <w:i/>
          <w:iCs/>
          <w:sz w:val="24"/>
          <w:szCs w:val="24"/>
        </w:rPr>
        <w:t>A History of Architecture</w:t>
      </w:r>
      <w:r>
        <w:rPr>
          <w:rFonts w:ascii="Times New Roman" w:eastAsia="Times New Roman" w:hAnsi="Times New Roman" w:cs="Times New Roman"/>
          <w:sz w:val="24"/>
          <w:szCs w:val="24"/>
        </w:rPr>
        <w:t>. London.</w:t>
      </w:r>
    </w:p>
    <w:p w14:paraId="040AAF5D" w14:textId="77777777" w:rsidR="00D31318" w:rsidRDefault="00D31318" w:rsidP="00D31318">
      <w:pPr>
        <w:spacing w:after="0" w:line="240" w:lineRule="auto"/>
        <w:jc w:val="both"/>
        <w:rPr>
          <w:rFonts w:ascii="Times New Roman" w:eastAsia="Times New Roman" w:hAnsi="Times New Roman" w:cs="Times New Roman"/>
          <w:sz w:val="24"/>
          <w:szCs w:val="24"/>
        </w:rPr>
      </w:pPr>
    </w:p>
    <w:p w14:paraId="00000034" w14:textId="77777777" w:rsidR="00CE7843" w:rsidRDefault="00226B83" w:rsidP="00D313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Gibbon, E. (1995) </w:t>
      </w:r>
      <w:r>
        <w:rPr>
          <w:rFonts w:ascii="Times New Roman" w:eastAsia="Times New Roman" w:hAnsi="Times New Roman" w:cs="Times New Roman"/>
          <w:i/>
          <w:iCs/>
          <w:sz w:val="24"/>
          <w:szCs w:val="24"/>
        </w:rPr>
        <w:t>The Decline and Fall of the Roman Empire,</w:t>
      </w:r>
      <w:r>
        <w:rPr>
          <w:rFonts w:ascii="Times New Roman" w:eastAsia="Times New Roman" w:hAnsi="Times New Roman" w:cs="Times New Roman"/>
          <w:sz w:val="24"/>
          <w:szCs w:val="24"/>
        </w:rPr>
        <w:t xml:space="preserve"> ed. D. Womersley. London.</w:t>
      </w:r>
    </w:p>
    <w:p w14:paraId="28F63FDA" w14:textId="77777777" w:rsidR="00D31318" w:rsidRDefault="00D31318" w:rsidP="00D31318">
      <w:pPr>
        <w:spacing w:after="0" w:line="240" w:lineRule="auto"/>
        <w:jc w:val="both"/>
        <w:rPr>
          <w:rFonts w:ascii="Times New Roman" w:eastAsia="Times New Roman" w:hAnsi="Times New Roman" w:cs="Times New Roman"/>
          <w:sz w:val="24"/>
          <w:szCs w:val="24"/>
        </w:rPr>
      </w:pPr>
    </w:p>
    <w:p w14:paraId="00000035" w14:textId="09FC6976" w:rsidR="00CE7843" w:rsidRDefault="00226B83" w:rsidP="00D313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Kane, E. (1977) ‘John Henry Newman's Catholic University Church in Dublin’, </w:t>
      </w:r>
      <w:r>
        <w:rPr>
          <w:rFonts w:ascii="Times New Roman" w:eastAsia="Times New Roman" w:hAnsi="Times New Roman" w:cs="Times New Roman"/>
          <w:i/>
          <w:iCs/>
          <w:sz w:val="24"/>
          <w:szCs w:val="24"/>
        </w:rPr>
        <w:t>An Irish Quarterly Review</w:t>
      </w:r>
      <w:r>
        <w:rPr>
          <w:rFonts w:ascii="Times New Roman" w:eastAsia="Times New Roman" w:hAnsi="Times New Roman" w:cs="Times New Roman"/>
          <w:sz w:val="24"/>
          <w:szCs w:val="24"/>
        </w:rPr>
        <w:t xml:space="preserve"> 66:</w:t>
      </w:r>
      <w:r w:rsidR="00D313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262/3, 105–20.</w:t>
      </w:r>
    </w:p>
    <w:p w14:paraId="3366907C" w14:textId="77777777" w:rsidR="00D31318" w:rsidRDefault="00D31318" w:rsidP="00D31318">
      <w:pPr>
        <w:spacing w:after="0" w:line="240" w:lineRule="auto"/>
        <w:jc w:val="both"/>
        <w:rPr>
          <w:rFonts w:ascii="Times New Roman" w:eastAsia="Times New Roman" w:hAnsi="Times New Roman" w:cs="Times New Roman"/>
          <w:sz w:val="24"/>
          <w:szCs w:val="24"/>
        </w:rPr>
      </w:pPr>
    </w:p>
    <w:p w14:paraId="00000036" w14:textId="77777777" w:rsidR="00CE7843" w:rsidRDefault="00226B83" w:rsidP="00D313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Lindsay, Alexander William (1847) </w:t>
      </w:r>
      <w:r>
        <w:rPr>
          <w:rFonts w:ascii="Times New Roman" w:eastAsia="Times New Roman" w:hAnsi="Times New Roman" w:cs="Times New Roman"/>
          <w:i/>
          <w:iCs/>
          <w:sz w:val="24"/>
          <w:szCs w:val="24"/>
        </w:rPr>
        <w:t>Sketches of the History of Christian Art</w:t>
      </w:r>
      <w:r>
        <w:rPr>
          <w:rFonts w:ascii="Times New Roman" w:eastAsia="Times New Roman" w:hAnsi="Times New Roman" w:cs="Times New Roman"/>
          <w:sz w:val="24"/>
          <w:szCs w:val="24"/>
        </w:rPr>
        <w:t>. London.</w:t>
      </w:r>
    </w:p>
    <w:p w14:paraId="00C1BCDE" w14:textId="77777777" w:rsidR="00D31318" w:rsidRDefault="00D31318" w:rsidP="00D31318">
      <w:pPr>
        <w:spacing w:after="0" w:line="240" w:lineRule="auto"/>
        <w:jc w:val="both"/>
        <w:rPr>
          <w:rFonts w:ascii="Times New Roman" w:eastAsia="Times New Roman" w:hAnsi="Times New Roman" w:cs="Times New Roman"/>
          <w:sz w:val="24"/>
          <w:szCs w:val="24"/>
        </w:rPr>
      </w:pPr>
    </w:p>
    <w:p w14:paraId="00000037" w14:textId="77777777" w:rsidR="00CE7843" w:rsidRDefault="00226B83" w:rsidP="00D313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Nelson, R. (2004) </w:t>
      </w:r>
      <w:r>
        <w:rPr>
          <w:rFonts w:ascii="Times New Roman" w:eastAsia="Times New Roman" w:hAnsi="Times New Roman" w:cs="Times New Roman"/>
          <w:i/>
          <w:iCs/>
          <w:sz w:val="24"/>
          <w:szCs w:val="24"/>
        </w:rPr>
        <w:t>Hagia Sophia, 1850-1950, Holy Wisdom Modern Monument</w:t>
      </w:r>
      <w:r>
        <w:rPr>
          <w:rFonts w:ascii="Times New Roman" w:eastAsia="Times New Roman" w:hAnsi="Times New Roman" w:cs="Times New Roman"/>
          <w:sz w:val="24"/>
          <w:szCs w:val="24"/>
        </w:rPr>
        <w:t>. Chicago and London.</w:t>
      </w:r>
    </w:p>
    <w:p w14:paraId="23773FA1" w14:textId="77777777" w:rsidR="00D31318" w:rsidRDefault="00D31318" w:rsidP="00D31318">
      <w:pPr>
        <w:spacing w:after="0" w:line="240" w:lineRule="auto"/>
        <w:jc w:val="both"/>
        <w:rPr>
          <w:rFonts w:ascii="Times New Roman" w:eastAsia="Times New Roman" w:hAnsi="Times New Roman" w:cs="Times New Roman"/>
          <w:sz w:val="24"/>
          <w:szCs w:val="24"/>
        </w:rPr>
      </w:pPr>
    </w:p>
    <w:p w14:paraId="00000038" w14:textId="77777777" w:rsidR="00CE7843" w:rsidRDefault="00226B83" w:rsidP="00D313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Newman, J. (2021) </w:t>
      </w:r>
      <w:r>
        <w:rPr>
          <w:rFonts w:ascii="Times New Roman" w:eastAsia="Times New Roman" w:hAnsi="Times New Roman" w:cs="Times New Roman"/>
          <w:i/>
          <w:iCs/>
          <w:sz w:val="24"/>
          <w:szCs w:val="24"/>
        </w:rPr>
        <w:t>My Campaign in Ireland</w:t>
      </w:r>
      <w:r>
        <w:rPr>
          <w:rFonts w:ascii="Times New Roman" w:eastAsia="Times New Roman" w:hAnsi="Times New Roman" w:cs="Times New Roman"/>
          <w:sz w:val="24"/>
          <w:szCs w:val="24"/>
        </w:rPr>
        <w:t>, 2 vols. P. Shrimpton ed. Leominster.</w:t>
      </w:r>
    </w:p>
    <w:p w14:paraId="30D0D90F" w14:textId="77777777" w:rsidR="00D31318" w:rsidRDefault="00D31318" w:rsidP="00D31318">
      <w:pPr>
        <w:spacing w:after="0" w:line="240" w:lineRule="auto"/>
        <w:jc w:val="both"/>
        <w:rPr>
          <w:rFonts w:ascii="Times New Roman" w:eastAsia="Times New Roman" w:hAnsi="Times New Roman" w:cs="Times New Roman"/>
          <w:sz w:val="24"/>
          <w:szCs w:val="24"/>
        </w:rPr>
      </w:pPr>
    </w:p>
    <w:p w14:paraId="00000039" w14:textId="77777777" w:rsidR="00CE7843" w:rsidRDefault="00226B83" w:rsidP="00D313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Newman, J. (2015) </w:t>
      </w:r>
      <w:r>
        <w:rPr>
          <w:rFonts w:ascii="Times New Roman" w:eastAsia="Times New Roman" w:hAnsi="Times New Roman" w:cs="Times New Roman"/>
          <w:i/>
          <w:iCs/>
          <w:sz w:val="24"/>
          <w:szCs w:val="24"/>
        </w:rPr>
        <w:t>The Idea of a University</w:t>
      </w:r>
      <w:r>
        <w:rPr>
          <w:rFonts w:ascii="Times New Roman" w:eastAsia="Times New Roman" w:hAnsi="Times New Roman" w:cs="Times New Roman"/>
          <w:sz w:val="24"/>
          <w:szCs w:val="24"/>
        </w:rPr>
        <w:t>. London.</w:t>
      </w:r>
    </w:p>
    <w:p w14:paraId="5723E40F" w14:textId="77777777" w:rsidR="00D31318" w:rsidRDefault="00D31318" w:rsidP="00D31318">
      <w:pPr>
        <w:spacing w:after="0" w:line="240" w:lineRule="auto"/>
        <w:jc w:val="both"/>
        <w:rPr>
          <w:rFonts w:ascii="Times New Roman" w:eastAsia="Times New Roman" w:hAnsi="Times New Roman" w:cs="Times New Roman"/>
          <w:sz w:val="24"/>
          <w:szCs w:val="24"/>
        </w:rPr>
      </w:pPr>
    </w:p>
    <w:p w14:paraId="0000003A" w14:textId="77777777" w:rsidR="00CE7843" w:rsidRDefault="00226B83" w:rsidP="00D313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Newman, J. (1961–) </w:t>
      </w:r>
      <w:r>
        <w:rPr>
          <w:rFonts w:ascii="Times New Roman" w:eastAsia="Times New Roman" w:hAnsi="Times New Roman" w:cs="Times New Roman"/>
          <w:i/>
          <w:iCs/>
          <w:sz w:val="24"/>
          <w:szCs w:val="24"/>
        </w:rPr>
        <w:t xml:space="preserve">The Letters and Diaries of John Henry Newman, </w:t>
      </w:r>
      <w:r>
        <w:rPr>
          <w:rFonts w:ascii="Times New Roman" w:eastAsia="Times New Roman" w:hAnsi="Times New Roman" w:cs="Times New Roman"/>
          <w:sz w:val="24"/>
          <w:szCs w:val="24"/>
        </w:rPr>
        <w:t>32 vols. Oxford.</w:t>
      </w:r>
    </w:p>
    <w:p w14:paraId="16F10036" w14:textId="77777777" w:rsidR="00D31318" w:rsidRDefault="00D31318" w:rsidP="00D31318">
      <w:pPr>
        <w:spacing w:after="0" w:line="240" w:lineRule="auto"/>
        <w:jc w:val="both"/>
        <w:rPr>
          <w:rFonts w:ascii="Times New Roman" w:eastAsia="Times New Roman" w:hAnsi="Times New Roman" w:cs="Times New Roman"/>
          <w:sz w:val="24"/>
          <w:szCs w:val="24"/>
        </w:rPr>
      </w:pPr>
    </w:p>
    <w:p w14:paraId="0000003B" w14:textId="77777777" w:rsidR="00CE7843" w:rsidRDefault="00226B83" w:rsidP="00D313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Pollen, A. (1912) </w:t>
      </w:r>
      <w:r>
        <w:rPr>
          <w:rFonts w:ascii="Times New Roman" w:eastAsia="Times New Roman" w:hAnsi="Times New Roman" w:cs="Times New Roman"/>
          <w:i/>
          <w:iCs/>
          <w:sz w:val="24"/>
          <w:szCs w:val="24"/>
        </w:rPr>
        <w:t>John Hungerford Pollen 1829–1902</w:t>
      </w:r>
      <w:r>
        <w:rPr>
          <w:rFonts w:ascii="Times New Roman" w:eastAsia="Times New Roman" w:hAnsi="Times New Roman" w:cs="Times New Roman"/>
          <w:sz w:val="24"/>
          <w:szCs w:val="24"/>
        </w:rPr>
        <w:t>. London.</w:t>
      </w:r>
    </w:p>
    <w:p w14:paraId="36A1D0DD" w14:textId="77777777" w:rsidR="00D31318" w:rsidRDefault="00D31318" w:rsidP="00D31318">
      <w:pPr>
        <w:spacing w:after="0" w:line="240" w:lineRule="auto"/>
        <w:jc w:val="both"/>
        <w:rPr>
          <w:rFonts w:ascii="Times New Roman" w:eastAsia="Times New Roman" w:hAnsi="Times New Roman" w:cs="Times New Roman"/>
          <w:sz w:val="24"/>
          <w:szCs w:val="24"/>
        </w:rPr>
      </w:pPr>
    </w:p>
    <w:p w14:paraId="0000003C" w14:textId="77777777" w:rsidR="00CE7843" w:rsidRDefault="00226B83" w:rsidP="00D313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Pollen, J. H. (1858) ‘Structural characteristics of the basilicas’, </w:t>
      </w:r>
      <w:r>
        <w:rPr>
          <w:rFonts w:ascii="Times New Roman" w:eastAsia="Times New Roman" w:hAnsi="Times New Roman" w:cs="Times New Roman"/>
          <w:i/>
          <w:iCs/>
          <w:sz w:val="24"/>
          <w:szCs w:val="24"/>
        </w:rPr>
        <w:t>Atlantis: a register of literature and science</w:t>
      </w:r>
      <w:r>
        <w:rPr>
          <w:rFonts w:ascii="Times New Roman" w:eastAsia="Times New Roman" w:hAnsi="Times New Roman" w:cs="Times New Roman"/>
          <w:sz w:val="24"/>
          <w:szCs w:val="24"/>
        </w:rPr>
        <w:t xml:space="preserve"> I: 129–144.</w:t>
      </w:r>
    </w:p>
    <w:p w14:paraId="0000003D" w14:textId="77777777" w:rsidR="00CE7843" w:rsidRDefault="00CE7843" w:rsidP="00D31318">
      <w:pPr>
        <w:spacing w:after="0" w:line="240" w:lineRule="auto"/>
        <w:jc w:val="both"/>
        <w:rPr>
          <w:rFonts w:ascii="Times New Roman" w:eastAsia="Times New Roman" w:hAnsi="Times New Roman" w:cs="Times New Roman"/>
          <w:sz w:val="24"/>
          <w:szCs w:val="24"/>
        </w:rPr>
      </w:pPr>
    </w:p>
    <w:p w14:paraId="0000003E" w14:textId="77777777" w:rsidR="00CE7843" w:rsidRDefault="00CE7843" w:rsidP="00D31318">
      <w:pPr>
        <w:spacing w:after="0" w:line="240" w:lineRule="auto"/>
        <w:jc w:val="both"/>
        <w:rPr>
          <w:rFonts w:ascii="Times New Roman" w:eastAsia="Times New Roman" w:hAnsi="Times New Roman" w:cs="Times New Roman"/>
          <w:sz w:val="24"/>
          <w:szCs w:val="24"/>
        </w:rPr>
      </w:pPr>
    </w:p>
    <w:p w14:paraId="0000003F" w14:textId="77777777" w:rsidR="00CE7843" w:rsidRDefault="00CE7843">
      <w:pPr>
        <w:spacing w:before="240" w:after="240" w:line="360" w:lineRule="auto"/>
        <w:jc w:val="both"/>
        <w:rPr>
          <w:rFonts w:ascii="Times New Roman" w:eastAsia="Times New Roman" w:hAnsi="Times New Roman" w:cs="Times New Roman"/>
          <w:sz w:val="24"/>
          <w:szCs w:val="24"/>
        </w:rPr>
      </w:pPr>
    </w:p>
    <w:p w14:paraId="00000040" w14:textId="77777777" w:rsidR="00CE7843" w:rsidRDefault="00CE7843">
      <w:pPr>
        <w:spacing w:before="240" w:after="240" w:line="360" w:lineRule="auto"/>
        <w:jc w:val="both"/>
        <w:rPr>
          <w:rFonts w:ascii="Times New Roman" w:eastAsia="Times New Roman" w:hAnsi="Times New Roman" w:cs="Times New Roman"/>
          <w:sz w:val="24"/>
          <w:szCs w:val="24"/>
        </w:rPr>
      </w:pPr>
    </w:p>
    <w:p w14:paraId="00000041" w14:textId="77777777" w:rsidR="00CE7843" w:rsidRDefault="00CE7843">
      <w:pPr>
        <w:spacing w:before="240" w:after="240" w:line="360" w:lineRule="auto"/>
        <w:jc w:val="both"/>
        <w:rPr>
          <w:rFonts w:ascii="Times New Roman" w:eastAsia="Times New Roman" w:hAnsi="Times New Roman" w:cs="Times New Roman"/>
          <w:sz w:val="24"/>
          <w:szCs w:val="24"/>
        </w:rPr>
      </w:pPr>
    </w:p>
    <w:p w14:paraId="00000042" w14:textId="77777777" w:rsidR="00CE7843" w:rsidRDefault="00CE7843">
      <w:pPr>
        <w:spacing w:before="240" w:after="240" w:line="360" w:lineRule="auto"/>
        <w:jc w:val="both"/>
        <w:rPr>
          <w:rFonts w:ascii="Times New Roman" w:eastAsia="Times New Roman" w:hAnsi="Times New Roman" w:cs="Times New Roman"/>
          <w:sz w:val="24"/>
          <w:szCs w:val="24"/>
        </w:rPr>
      </w:pPr>
    </w:p>
    <w:p w14:paraId="00000065" w14:textId="03B8DE27" w:rsidR="00CE7843" w:rsidRPr="006B41DF" w:rsidRDefault="00000000" w:rsidP="006B41DF">
      <w:pPr>
        <w:spacing w:line="360" w:lineRule="auto"/>
        <w:jc w:val="both"/>
        <w:rPr>
          <w:rFonts w:ascii="Times New Roman" w:eastAsia="Times New Roman" w:hAnsi="Times New Roman" w:cs="Times New Roman"/>
          <w:sz w:val="24"/>
          <w:szCs w:val="24"/>
        </w:rPr>
      </w:pPr>
      <w:r>
        <w:pict w14:anchorId="6A8E5DB9">
          <v:rect id="_x0000_i1025" style="width:0;height:1.5pt" o:hralign="center" o:hrstd="t" o:hr="t" fillcolor="#a0a0a0" stroked="f"/>
        </w:pict>
      </w:r>
      <w:r w:rsidR="00226B83" w:rsidRPr="00D31318">
        <w:rPr>
          <w:rFonts w:ascii="Times New Roman" w:eastAsia="Times New Roman" w:hAnsi="Times New Roman" w:cs="Times New Roman"/>
          <w:sz w:val="20"/>
          <w:szCs w:val="20"/>
        </w:rPr>
        <w:t xml:space="preserve"> </w:t>
      </w:r>
    </w:p>
    <w:sectPr w:rsidR="00CE7843" w:rsidRPr="006B41DF">
      <w:endnotePr>
        <w:numFmt w:val="decimal"/>
      </w:endnotePr>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D5F28" w14:textId="77777777" w:rsidR="00740FE3" w:rsidRDefault="00740FE3" w:rsidP="00A97F89">
      <w:pPr>
        <w:spacing w:after="0" w:line="240" w:lineRule="auto"/>
      </w:pPr>
      <w:r>
        <w:separator/>
      </w:r>
    </w:p>
  </w:endnote>
  <w:endnote w:type="continuationSeparator" w:id="0">
    <w:p w14:paraId="33BC2DCB" w14:textId="77777777" w:rsidR="00740FE3" w:rsidRDefault="00740FE3" w:rsidP="00A97F89">
      <w:pPr>
        <w:spacing w:after="0" w:line="240" w:lineRule="auto"/>
      </w:pPr>
      <w:r>
        <w:continuationSeparator/>
      </w:r>
    </w:p>
  </w:endnote>
  <w:endnote w:id="1">
    <w:p w14:paraId="35BB80EF" w14:textId="2CFDA59D" w:rsidR="00A97F89" w:rsidRPr="00A97F89" w:rsidRDefault="00A97F89">
      <w:pPr>
        <w:pStyle w:val="EndnoteText"/>
        <w:rPr>
          <w:lang w:val="en-US"/>
        </w:rPr>
      </w:pPr>
      <w:r>
        <w:rPr>
          <w:rStyle w:val="EndnoteReference"/>
        </w:rPr>
        <w:endnoteRef/>
      </w:r>
      <w:r>
        <w:t xml:space="preserve"> </w:t>
      </w:r>
      <w:r w:rsidRPr="00D31318">
        <w:rPr>
          <w:rFonts w:ascii="Times New Roman" w:eastAsia="Times New Roman" w:hAnsi="Times New Roman" w:cs="Times New Roman"/>
        </w:rPr>
        <w:t>The bibliographic material on Newman is vast. See Aquino and King 2018.</w:t>
      </w:r>
    </w:p>
  </w:endnote>
  <w:endnote w:id="2">
    <w:p w14:paraId="706F3824" w14:textId="0406CC73" w:rsidR="00A97F89" w:rsidRPr="00A97F89" w:rsidRDefault="00A97F89">
      <w:pPr>
        <w:pStyle w:val="EndnoteText"/>
        <w:rPr>
          <w:lang w:val="en-US"/>
        </w:rPr>
      </w:pPr>
      <w:r>
        <w:rPr>
          <w:rStyle w:val="EndnoteReference"/>
        </w:rPr>
        <w:endnoteRef/>
      </w:r>
      <w:r>
        <w:t xml:space="preserve"> </w:t>
      </w:r>
      <w:r w:rsidRPr="00D31318">
        <w:rPr>
          <w:rFonts w:ascii="Times New Roman" w:eastAsia="Times New Roman" w:hAnsi="Times New Roman" w:cs="Times New Roman"/>
        </w:rPr>
        <w:t>The main journal article is still Kane 1977.</w:t>
      </w:r>
    </w:p>
  </w:endnote>
  <w:endnote w:id="3">
    <w:p w14:paraId="161F84E4" w14:textId="77777777" w:rsidR="009D69EF" w:rsidRPr="006B41DF" w:rsidRDefault="009D69EF" w:rsidP="009D69EF">
      <w:pPr>
        <w:spacing w:after="0" w:line="240" w:lineRule="auto"/>
        <w:jc w:val="both"/>
        <w:rPr>
          <w:rFonts w:ascii="Times New Roman" w:eastAsia="Times New Roman" w:hAnsi="Times New Roman" w:cs="Times New Roman"/>
          <w:sz w:val="20"/>
          <w:szCs w:val="20"/>
        </w:rPr>
      </w:pPr>
      <w:r>
        <w:rPr>
          <w:rStyle w:val="EndnoteReference"/>
        </w:rPr>
        <w:endnoteRef/>
      </w:r>
      <w:r>
        <w:t xml:space="preserve"> </w:t>
      </w:r>
      <w:r w:rsidRPr="00D31318">
        <w:rPr>
          <w:rFonts w:ascii="Times New Roman" w:eastAsia="Times New Roman" w:hAnsi="Times New Roman" w:cs="Times New Roman"/>
          <w:sz w:val="20"/>
          <w:szCs w:val="20"/>
        </w:rPr>
        <w:t xml:space="preserve">Newman’s cited works to be found at </w:t>
      </w:r>
      <w:hyperlink r:id="rId1" w:history="1">
        <w:r w:rsidRPr="00DA36F6">
          <w:rPr>
            <w:rStyle w:val="Hyperlink"/>
            <w:rFonts w:ascii="Times New Roman" w:eastAsia="Times New Roman" w:hAnsi="Times New Roman" w:cs="Times New Roman"/>
            <w:sz w:val="20"/>
            <w:szCs w:val="20"/>
          </w:rPr>
          <w:t>https://www.newmanreader.org/works</w:t>
        </w:r>
      </w:hyperlink>
      <w:r>
        <w:rPr>
          <w:rFonts w:ascii="Times New Roman" w:eastAsia="Times New Roman" w:hAnsi="Times New Roman" w:cs="Times New Roman"/>
          <w:sz w:val="20"/>
          <w:szCs w:val="20"/>
        </w:rPr>
        <w:t xml:space="preserve">. </w:t>
      </w:r>
      <w:r w:rsidRPr="00D31318">
        <w:rPr>
          <w:rFonts w:ascii="Times New Roman" w:eastAsia="Times New Roman" w:hAnsi="Times New Roman" w:cs="Times New Roman"/>
          <w:sz w:val="20"/>
          <w:szCs w:val="20"/>
        </w:rPr>
        <w:t>Newman 2021: I: 69–71.</w:t>
      </w:r>
    </w:p>
  </w:endnote>
  <w:endnote w:id="4">
    <w:p w14:paraId="460C0F5B" w14:textId="27E0CD63" w:rsidR="00A97F89" w:rsidRPr="006B41DF" w:rsidRDefault="00A97F89" w:rsidP="006B41DF">
      <w:pPr>
        <w:spacing w:after="0" w:line="240" w:lineRule="auto"/>
        <w:jc w:val="both"/>
        <w:rPr>
          <w:rFonts w:ascii="Times New Roman" w:eastAsia="Times New Roman" w:hAnsi="Times New Roman" w:cs="Times New Roman"/>
          <w:sz w:val="20"/>
          <w:szCs w:val="20"/>
        </w:rPr>
      </w:pPr>
      <w:r>
        <w:rPr>
          <w:rStyle w:val="EndnoteReference"/>
        </w:rPr>
        <w:endnoteRef/>
      </w:r>
      <w:r>
        <w:t xml:space="preserve"> </w:t>
      </w:r>
      <w:r w:rsidRPr="00D31318">
        <w:rPr>
          <w:rFonts w:ascii="Times New Roman" w:eastAsia="Times New Roman" w:hAnsi="Times New Roman" w:cs="Times New Roman"/>
          <w:sz w:val="20"/>
          <w:szCs w:val="20"/>
        </w:rPr>
        <w:t>Freeman 1849: 154.</w:t>
      </w:r>
    </w:p>
  </w:endnote>
  <w:endnote w:id="5">
    <w:p w14:paraId="153BBE7B" w14:textId="2253BFCE" w:rsidR="00A97F89" w:rsidRPr="00A97F89" w:rsidRDefault="00A97F89">
      <w:pPr>
        <w:pStyle w:val="EndnoteText"/>
        <w:rPr>
          <w:lang w:val="en-US"/>
        </w:rPr>
      </w:pPr>
      <w:r>
        <w:rPr>
          <w:rStyle w:val="EndnoteReference"/>
        </w:rPr>
        <w:endnoteRef/>
      </w:r>
      <w:r>
        <w:t xml:space="preserve"> </w:t>
      </w:r>
      <w:r w:rsidRPr="00D31318">
        <w:rPr>
          <w:rFonts w:ascii="Times New Roman" w:eastAsia="Times New Roman" w:hAnsi="Times New Roman" w:cs="Times New Roman"/>
        </w:rPr>
        <w:t>See in particular the early Christian Rundbogenstil in Bavaria and Prussia. For example, on Friedrich Wilhelm IV of Prussia’s interest in early Christian design, his desire to unify and reform Protestantism and the consolidation of imperial power, see Nelson, Hagia Sophia, 40–4.</w:t>
      </w:r>
    </w:p>
  </w:endnote>
  <w:endnote w:id="6">
    <w:p w14:paraId="7F9DECBB" w14:textId="19D05B14" w:rsidR="00A97F89" w:rsidRPr="00A97F89" w:rsidRDefault="00A97F89">
      <w:pPr>
        <w:pStyle w:val="EndnoteText"/>
        <w:rPr>
          <w:lang w:val="en-US"/>
        </w:rPr>
      </w:pPr>
      <w:r>
        <w:rPr>
          <w:rStyle w:val="EndnoteReference"/>
        </w:rPr>
        <w:endnoteRef/>
      </w:r>
      <w:r>
        <w:t xml:space="preserve"> </w:t>
      </w:r>
      <w:r w:rsidRPr="00D31318">
        <w:rPr>
          <w:rFonts w:ascii="Times New Roman" w:eastAsia="Times New Roman" w:hAnsi="Times New Roman" w:cs="Times New Roman"/>
          <w:i/>
          <w:iCs/>
        </w:rPr>
        <w:t>The Month</w:t>
      </w:r>
      <w:r w:rsidRPr="00D31318">
        <w:rPr>
          <w:rFonts w:ascii="Times New Roman" w:eastAsia="Times New Roman" w:hAnsi="Times New Roman" w:cs="Times New Roman"/>
        </w:rPr>
        <w:t>, Sept 1906: 319.</w:t>
      </w:r>
    </w:p>
  </w:endnote>
  <w:endnote w:id="7">
    <w:p w14:paraId="0DD0A7B1" w14:textId="4B65A86E" w:rsidR="00A97F89" w:rsidRPr="00A97F89" w:rsidRDefault="00A97F89">
      <w:pPr>
        <w:pStyle w:val="EndnoteText"/>
        <w:rPr>
          <w:lang w:val="en-US"/>
        </w:rPr>
      </w:pPr>
      <w:r>
        <w:rPr>
          <w:rStyle w:val="EndnoteReference"/>
        </w:rPr>
        <w:endnoteRef/>
      </w:r>
      <w:r>
        <w:t xml:space="preserve"> </w:t>
      </w:r>
      <w:r w:rsidRPr="00D31318">
        <w:rPr>
          <w:rFonts w:ascii="Times New Roman" w:eastAsia="Times New Roman" w:hAnsi="Times New Roman" w:cs="Times New Roman"/>
        </w:rPr>
        <w:t xml:space="preserve">Newman, My </w:t>
      </w:r>
      <w:r w:rsidRPr="00D31318">
        <w:rPr>
          <w:rFonts w:ascii="Times New Roman" w:eastAsia="Times New Roman" w:hAnsi="Times New Roman" w:cs="Times New Roman"/>
          <w:i/>
          <w:iCs/>
        </w:rPr>
        <w:t>Campaign</w:t>
      </w:r>
      <w:r w:rsidRPr="00D31318">
        <w:rPr>
          <w:rFonts w:ascii="Times New Roman" w:eastAsia="Times New Roman" w:hAnsi="Times New Roman" w:cs="Times New Roman"/>
        </w:rPr>
        <w:t xml:space="preserve"> I, 24.</w:t>
      </w:r>
    </w:p>
  </w:endnote>
  <w:endnote w:id="8">
    <w:p w14:paraId="369B78DD" w14:textId="75F0FDA9" w:rsidR="00A97F89" w:rsidRPr="00A97F89" w:rsidRDefault="00A97F89">
      <w:pPr>
        <w:pStyle w:val="EndnoteText"/>
        <w:rPr>
          <w:lang w:val="en-US"/>
        </w:rPr>
      </w:pPr>
      <w:r>
        <w:rPr>
          <w:rStyle w:val="EndnoteReference"/>
        </w:rPr>
        <w:endnoteRef/>
      </w:r>
      <w:r>
        <w:t xml:space="preserve"> </w:t>
      </w:r>
      <w:r w:rsidRPr="00D31318">
        <w:rPr>
          <w:rFonts w:ascii="Times New Roman" w:eastAsia="Times New Roman" w:hAnsi="Times New Roman" w:cs="Times New Roman"/>
        </w:rPr>
        <w:t>Newman 1961: 16:</w:t>
      </w:r>
      <w:r>
        <w:rPr>
          <w:rFonts w:ascii="Times New Roman" w:eastAsia="Times New Roman" w:hAnsi="Times New Roman" w:cs="Times New Roman"/>
        </w:rPr>
        <w:t xml:space="preserve"> </w:t>
      </w:r>
      <w:r w:rsidRPr="00D31318">
        <w:rPr>
          <w:rFonts w:ascii="Times New Roman" w:eastAsia="Times New Roman" w:hAnsi="Times New Roman" w:cs="Times New Roman"/>
        </w:rPr>
        <w:t>557.</w:t>
      </w:r>
    </w:p>
  </w:endnote>
  <w:endnote w:id="9">
    <w:p w14:paraId="59E19DCB" w14:textId="62EEB0B3" w:rsidR="00A97F89" w:rsidRPr="00A97F89" w:rsidRDefault="00A97F89" w:rsidP="00A97F89">
      <w:pPr>
        <w:spacing w:after="0" w:line="240" w:lineRule="auto"/>
        <w:jc w:val="both"/>
        <w:rPr>
          <w:rFonts w:ascii="Times New Roman" w:eastAsia="Times New Roman" w:hAnsi="Times New Roman" w:cs="Times New Roman"/>
          <w:sz w:val="20"/>
          <w:szCs w:val="20"/>
        </w:rPr>
      </w:pPr>
      <w:r>
        <w:rPr>
          <w:rStyle w:val="EndnoteReference"/>
        </w:rPr>
        <w:endnoteRef/>
      </w:r>
      <w:r>
        <w:t xml:space="preserve"> </w:t>
      </w:r>
      <w:r w:rsidRPr="00D31318">
        <w:rPr>
          <w:rFonts w:ascii="Times New Roman" w:eastAsia="Times New Roman" w:hAnsi="Times New Roman" w:cs="Times New Roman"/>
          <w:sz w:val="20"/>
          <w:szCs w:val="20"/>
        </w:rPr>
        <w:t>This view was found across the earliest Victorian architectural histories. See, for example, Freeman 1849: 152.</w:t>
      </w:r>
    </w:p>
  </w:endnote>
  <w:endnote w:id="10">
    <w:p w14:paraId="4A50DFB1" w14:textId="7DB1B208" w:rsidR="00A97F89" w:rsidRPr="006B41DF" w:rsidRDefault="00A97F89" w:rsidP="006B41DF">
      <w:pPr>
        <w:spacing w:after="0" w:line="240" w:lineRule="auto"/>
        <w:jc w:val="both"/>
        <w:rPr>
          <w:rFonts w:ascii="Times New Roman" w:eastAsia="Times New Roman" w:hAnsi="Times New Roman" w:cs="Times New Roman"/>
          <w:sz w:val="20"/>
          <w:szCs w:val="20"/>
        </w:rPr>
      </w:pPr>
      <w:r>
        <w:rPr>
          <w:rStyle w:val="EndnoteReference"/>
        </w:rPr>
        <w:endnoteRef/>
      </w:r>
      <w:r>
        <w:t xml:space="preserve"> </w:t>
      </w:r>
      <w:r w:rsidRPr="00D31318">
        <w:rPr>
          <w:rFonts w:ascii="Times New Roman" w:eastAsia="Times New Roman" w:hAnsi="Times New Roman" w:cs="Times New Roman"/>
          <w:sz w:val="20"/>
          <w:szCs w:val="20"/>
        </w:rPr>
        <w:t>Replaced by bright acrylic paintings in the early 2000s due to damage.</w:t>
      </w:r>
    </w:p>
  </w:endnote>
  <w:endnote w:id="11">
    <w:p w14:paraId="22364C72" w14:textId="7403DFF9" w:rsidR="00A97F89" w:rsidRPr="00A97F89" w:rsidRDefault="00A97F89" w:rsidP="00A97F89">
      <w:pPr>
        <w:spacing w:after="0" w:line="240" w:lineRule="auto"/>
        <w:jc w:val="both"/>
        <w:rPr>
          <w:rFonts w:ascii="Times New Roman" w:eastAsia="Times New Roman" w:hAnsi="Times New Roman" w:cs="Times New Roman"/>
          <w:sz w:val="20"/>
          <w:szCs w:val="20"/>
        </w:rPr>
      </w:pPr>
      <w:r>
        <w:rPr>
          <w:rStyle w:val="EndnoteReference"/>
        </w:rPr>
        <w:endnoteRef/>
      </w:r>
      <w:r>
        <w:t xml:space="preserve"> </w:t>
      </w:r>
      <w:r w:rsidRPr="00D31318">
        <w:rPr>
          <w:rFonts w:ascii="Times New Roman" w:eastAsia="Times New Roman" w:hAnsi="Times New Roman" w:cs="Times New Roman"/>
          <w:sz w:val="20"/>
          <w:szCs w:val="20"/>
        </w:rPr>
        <w:t>Freeman 1849: 172.</w:t>
      </w:r>
    </w:p>
  </w:endnote>
  <w:endnote w:id="12">
    <w:p w14:paraId="21B84EF6" w14:textId="75C5CA2F" w:rsidR="00A97F89" w:rsidRPr="00A97F89" w:rsidRDefault="00A97F89">
      <w:pPr>
        <w:pStyle w:val="EndnoteText"/>
        <w:rPr>
          <w:lang w:val="en-US"/>
        </w:rPr>
      </w:pPr>
      <w:r>
        <w:rPr>
          <w:rStyle w:val="EndnoteReference"/>
        </w:rPr>
        <w:endnoteRef/>
      </w:r>
      <w:r>
        <w:t xml:space="preserve"> </w:t>
      </w:r>
      <w:r w:rsidRPr="00D31318">
        <w:rPr>
          <w:rFonts w:ascii="Times New Roman" w:eastAsia="Times New Roman" w:hAnsi="Times New Roman" w:cs="Times New Roman"/>
        </w:rPr>
        <w:t>Cook and Wedderburn (1903–12):</w:t>
      </w:r>
      <w:r w:rsidRPr="00D31318">
        <w:rPr>
          <w:rFonts w:ascii="Times New Roman" w:eastAsia="Times New Roman" w:hAnsi="Times New Roman" w:cs="Times New Roman"/>
          <w:i/>
          <w:iCs/>
        </w:rPr>
        <w:t xml:space="preserve"> </w:t>
      </w:r>
      <w:r w:rsidRPr="00D31318">
        <w:rPr>
          <w:rFonts w:ascii="Times New Roman" w:eastAsia="Times New Roman" w:hAnsi="Times New Roman" w:cs="Times New Roman"/>
        </w:rPr>
        <w:t>X:</w:t>
      </w:r>
      <w:r>
        <w:rPr>
          <w:rFonts w:ascii="Times New Roman" w:eastAsia="Times New Roman" w:hAnsi="Times New Roman" w:cs="Times New Roman"/>
        </w:rPr>
        <w:t xml:space="preserve"> </w:t>
      </w:r>
      <w:r w:rsidRPr="00D31318">
        <w:rPr>
          <w:rFonts w:ascii="Times New Roman" w:eastAsia="Times New Roman" w:hAnsi="Times New Roman" w:cs="Times New Roman"/>
        </w:rPr>
        <w:t>161.</w:t>
      </w:r>
    </w:p>
  </w:endnote>
  <w:endnote w:id="13">
    <w:p w14:paraId="4FA67FD7" w14:textId="3D2FBAF1" w:rsidR="00A97F89" w:rsidRPr="00910A94" w:rsidRDefault="00A97F89">
      <w:pPr>
        <w:pStyle w:val="EndnoteText"/>
        <w:rPr>
          <w:lang w:val="de-DE"/>
        </w:rPr>
      </w:pPr>
      <w:r>
        <w:rPr>
          <w:rStyle w:val="EndnoteReference"/>
        </w:rPr>
        <w:endnoteRef/>
      </w:r>
      <w:r w:rsidRPr="00910A94">
        <w:rPr>
          <w:lang w:val="de-DE"/>
        </w:rPr>
        <w:t xml:space="preserve"> </w:t>
      </w:r>
      <w:r w:rsidRPr="00A97F89">
        <w:rPr>
          <w:rFonts w:ascii="Times New Roman" w:eastAsia="Times New Roman" w:hAnsi="Times New Roman" w:cs="Times New Roman"/>
          <w:lang w:val="de-DE"/>
        </w:rPr>
        <w:t>Pollen 1858: 134.</w:t>
      </w:r>
    </w:p>
  </w:endnote>
  <w:endnote w:id="14">
    <w:p w14:paraId="4E46FB6C" w14:textId="016E409F" w:rsidR="00A97F89" w:rsidRPr="006B41DF" w:rsidRDefault="00A97F89" w:rsidP="006B41DF">
      <w:pPr>
        <w:spacing w:after="0" w:line="240" w:lineRule="auto"/>
        <w:jc w:val="both"/>
        <w:rPr>
          <w:rFonts w:ascii="Times New Roman" w:eastAsia="Times New Roman" w:hAnsi="Times New Roman" w:cs="Times New Roman"/>
          <w:sz w:val="20"/>
          <w:szCs w:val="20"/>
          <w:lang w:val="de-DE"/>
        </w:rPr>
      </w:pPr>
      <w:r>
        <w:rPr>
          <w:rStyle w:val="EndnoteReference"/>
        </w:rPr>
        <w:endnoteRef/>
      </w:r>
      <w:r w:rsidRPr="00910A94">
        <w:rPr>
          <w:lang w:val="de-DE"/>
        </w:rPr>
        <w:t xml:space="preserve"> </w:t>
      </w:r>
      <w:r w:rsidRPr="00A97F89">
        <w:rPr>
          <w:rFonts w:ascii="Times New Roman" w:eastAsia="Times New Roman" w:hAnsi="Times New Roman" w:cs="Times New Roman"/>
          <w:sz w:val="20"/>
          <w:szCs w:val="20"/>
          <w:lang w:val="de-DE"/>
        </w:rPr>
        <w:t>Pollen 1858: 140–1.</w:t>
      </w:r>
    </w:p>
  </w:endnote>
  <w:endnote w:id="15">
    <w:p w14:paraId="555D2BD0" w14:textId="098DBF78" w:rsidR="00A97F89" w:rsidRPr="00910A94" w:rsidRDefault="00A97F89">
      <w:pPr>
        <w:pStyle w:val="EndnoteText"/>
        <w:rPr>
          <w:lang w:val="de-DE"/>
        </w:rPr>
      </w:pPr>
      <w:r>
        <w:rPr>
          <w:rStyle w:val="EndnoteReference"/>
        </w:rPr>
        <w:endnoteRef/>
      </w:r>
      <w:r w:rsidRPr="00910A94">
        <w:rPr>
          <w:lang w:val="de-DE"/>
        </w:rPr>
        <w:t xml:space="preserve"> </w:t>
      </w:r>
      <w:r w:rsidRPr="00A97F89">
        <w:rPr>
          <w:rFonts w:ascii="Times New Roman" w:eastAsia="Times New Roman" w:hAnsi="Times New Roman" w:cs="Times New Roman"/>
          <w:lang w:val="de-DE"/>
        </w:rPr>
        <w:t>Pollen 1858: 142–3.</w:t>
      </w:r>
    </w:p>
  </w:endnote>
  <w:endnote w:id="16">
    <w:p w14:paraId="5FDF06FB" w14:textId="04566506" w:rsidR="00A97F89" w:rsidRPr="006B41DF" w:rsidRDefault="00A97F89" w:rsidP="006B41DF">
      <w:pPr>
        <w:spacing w:after="0" w:line="240" w:lineRule="auto"/>
        <w:jc w:val="both"/>
        <w:rPr>
          <w:rFonts w:ascii="Times New Roman" w:eastAsia="Times New Roman" w:hAnsi="Times New Roman" w:cs="Times New Roman"/>
          <w:sz w:val="20"/>
          <w:szCs w:val="20"/>
          <w:lang w:val="de-DE"/>
        </w:rPr>
      </w:pPr>
      <w:r>
        <w:rPr>
          <w:rStyle w:val="EndnoteReference"/>
        </w:rPr>
        <w:endnoteRef/>
      </w:r>
      <w:r w:rsidRPr="00910A94">
        <w:rPr>
          <w:lang w:val="de-DE"/>
        </w:rPr>
        <w:t xml:space="preserve"> </w:t>
      </w:r>
      <w:r w:rsidRPr="00A97F89">
        <w:rPr>
          <w:rFonts w:ascii="Times New Roman" w:eastAsia="Times New Roman" w:hAnsi="Times New Roman" w:cs="Times New Roman"/>
          <w:sz w:val="20"/>
          <w:szCs w:val="20"/>
          <w:lang w:val="de-DE"/>
        </w:rPr>
        <w:t>Pollen 1912: 381.</w:t>
      </w:r>
    </w:p>
  </w:endnote>
  <w:endnote w:id="17">
    <w:p w14:paraId="6A60AC1B" w14:textId="6BB470C0" w:rsidR="00A97F89" w:rsidRPr="006B41DF" w:rsidRDefault="00A97F89" w:rsidP="006B41DF">
      <w:pPr>
        <w:spacing w:after="0" w:line="240" w:lineRule="auto"/>
        <w:jc w:val="both"/>
        <w:rPr>
          <w:rFonts w:ascii="Times New Roman" w:eastAsia="Times New Roman" w:hAnsi="Times New Roman" w:cs="Times New Roman"/>
          <w:sz w:val="20"/>
          <w:szCs w:val="20"/>
        </w:rPr>
      </w:pPr>
      <w:r>
        <w:rPr>
          <w:rStyle w:val="EndnoteReference"/>
        </w:rPr>
        <w:endnoteRef/>
      </w:r>
      <w:r w:rsidRPr="00910A94">
        <w:rPr>
          <w:lang w:val="de-DE"/>
        </w:rPr>
        <w:t xml:space="preserve"> </w:t>
      </w:r>
      <w:r w:rsidRPr="00910A94">
        <w:rPr>
          <w:rFonts w:ascii="Times New Roman" w:eastAsia="Times New Roman" w:hAnsi="Times New Roman" w:cs="Times New Roman"/>
          <w:sz w:val="20"/>
          <w:szCs w:val="20"/>
          <w:lang w:val="de-DE"/>
        </w:rPr>
        <w:t xml:space="preserve">Pollen 1912: 379. </w:t>
      </w:r>
      <w:r w:rsidRPr="00D31318">
        <w:rPr>
          <w:rFonts w:ascii="Times New Roman" w:eastAsia="Times New Roman" w:hAnsi="Times New Roman" w:cs="Times New Roman"/>
          <w:sz w:val="20"/>
          <w:szCs w:val="20"/>
        </w:rPr>
        <w:t>The greens came from Galway, the reds from Cork, blacks from Kilkenny, and greys and browns from Laois and Armagh.</w:t>
      </w:r>
    </w:p>
  </w:endnote>
  <w:endnote w:id="18">
    <w:p w14:paraId="116BB5B8" w14:textId="4B79A491" w:rsidR="00A97F89" w:rsidRPr="00A97F89" w:rsidRDefault="00A97F89">
      <w:pPr>
        <w:pStyle w:val="EndnoteText"/>
        <w:rPr>
          <w:lang w:val="en-US"/>
        </w:rPr>
      </w:pPr>
      <w:r>
        <w:rPr>
          <w:rStyle w:val="EndnoteReference"/>
        </w:rPr>
        <w:endnoteRef/>
      </w:r>
      <w:r>
        <w:t xml:space="preserve"> </w:t>
      </w:r>
      <w:r w:rsidRPr="00D31318">
        <w:rPr>
          <w:rFonts w:ascii="Times New Roman" w:eastAsia="Times New Roman" w:hAnsi="Times New Roman" w:cs="Times New Roman"/>
        </w:rPr>
        <w:t>‘Architectural description’.</w:t>
      </w:r>
    </w:p>
  </w:endnote>
  <w:endnote w:id="19">
    <w:p w14:paraId="09A71E28" w14:textId="2E7DCF18" w:rsidR="00A97F89" w:rsidRPr="00A97F89" w:rsidRDefault="00A97F89">
      <w:pPr>
        <w:pStyle w:val="EndnoteText"/>
        <w:rPr>
          <w:lang w:val="en-US"/>
        </w:rPr>
      </w:pPr>
      <w:r>
        <w:rPr>
          <w:rStyle w:val="EndnoteReference"/>
        </w:rPr>
        <w:endnoteRef/>
      </w:r>
      <w:r>
        <w:t xml:space="preserve"> </w:t>
      </w:r>
      <w:r w:rsidRPr="00D31318">
        <w:rPr>
          <w:rFonts w:ascii="Times New Roman" w:eastAsia="Times New Roman" w:hAnsi="Times New Roman" w:cs="Times New Roman"/>
        </w:rPr>
        <w:t>Lindsay 1847: I, 276–7.</w:t>
      </w:r>
    </w:p>
  </w:endnote>
  <w:endnote w:id="20">
    <w:p w14:paraId="60549C2E" w14:textId="5AE40FBD" w:rsidR="00A97F89" w:rsidRPr="00A97F89" w:rsidRDefault="00A97F89">
      <w:pPr>
        <w:pStyle w:val="EndnoteText"/>
        <w:rPr>
          <w:lang w:val="en-US"/>
        </w:rPr>
      </w:pPr>
      <w:r>
        <w:rPr>
          <w:rStyle w:val="EndnoteReference"/>
        </w:rPr>
        <w:endnoteRef/>
      </w:r>
      <w:r>
        <w:t xml:space="preserve"> </w:t>
      </w:r>
      <w:r w:rsidRPr="00D31318">
        <w:rPr>
          <w:rFonts w:ascii="Times New Roman" w:eastAsia="Times New Roman" w:hAnsi="Times New Roman" w:cs="Times New Roman"/>
          <w:i/>
          <w:iCs/>
        </w:rPr>
        <w:t>LD</w:t>
      </w:r>
      <w:r w:rsidRPr="00D31318">
        <w:rPr>
          <w:rFonts w:ascii="Times New Roman" w:eastAsia="Times New Roman" w:hAnsi="Times New Roman" w:cs="Times New Roman"/>
        </w:rPr>
        <w:t xml:space="preserve"> 12:135, 151.</w:t>
      </w:r>
    </w:p>
  </w:endnote>
  <w:endnote w:id="21">
    <w:p w14:paraId="0B694471" w14:textId="3F1BA0D2" w:rsidR="00A97F89" w:rsidRPr="00A97F89" w:rsidRDefault="00A97F89">
      <w:pPr>
        <w:pStyle w:val="EndnoteText"/>
        <w:rPr>
          <w:lang w:val="en-US"/>
        </w:rPr>
      </w:pPr>
      <w:r>
        <w:rPr>
          <w:rStyle w:val="EndnoteReference"/>
        </w:rPr>
        <w:endnoteRef/>
      </w:r>
      <w:r>
        <w:t xml:space="preserve"> </w:t>
      </w:r>
      <w:r w:rsidRPr="00D31318">
        <w:rPr>
          <w:rFonts w:ascii="Times New Roman" w:eastAsia="Times New Roman" w:hAnsi="Times New Roman" w:cs="Times New Roman"/>
        </w:rPr>
        <w:t>Pollen 1912: 381.</w:t>
      </w:r>
    </w:p>
  </w:endnote>
  <w:endnote w:id="22">
    <w:p w14:paraId="5C9405E9" w14:textId="4D2A52B9" w:rsidR="00A97F89" w:rsidRPr="006B41DF" w:rsidRDefault="00A97F89" w:rsidP="006B41DF">
      <w:pPr>
        <w:spacing w:after="0" w:line="240" w:lineRule="auto"/>
        <w:jc w:val="both"/>
        <w:rPr>
          <w:rFonts w:ascii="Times New Roman" w:eastAsia="Times New Roman" w:hAnsi="Times New Roman" w:cs="Times New Roman"/>
          <w:sz w:val="20"/>
          <w:szCs w:val="20"/>
        </w:rPr>
      </w:pPr>
      <w:r>
        <w:rPr>
          <w:rStyle w:val="EndnoteReference"/>
        </w:rPr>
        <w:endnoteRef/>
      </w:r>
      <w:r>
        <w:t xml:space="preserve"> </w:t>
      </w:r>
      <w:r w:rsidRPr="00D31318">
        <w:rPr>
          <w:rFonts w:ascii="Times New Roman" w:eastAsia="Times New Roman" w:hAnsi="Times New Roman" w:cs="Times New Roman"/>
          <w:sz w:val="20"/>
          <w:szCs w:val="20"/>
        </w:rPr>
        <w:t>Pollen 1912: 382.</w:t>
      </w:r>
    </w:p>
  </w:endnote>
  <w:endnote w:id="23">
    <w:p w14:paraId="15E4A039" w14:textId="6D601E3A" w:rsidR="00A97F89" w:rsidRPr="00A97F89" w:rsidRDefault="00A97F89">
      <w:pPr>
        <w:pStyle w:val="EndnoteText"/>
        <w:rPr>
          <w:lang w:val="en-US"/>
        </w:rPr>
      </w:pPr>
      <w:r>
        <w:rPr>
          <w:rStyle w:val="EndnoteReference"/>
        </w:rPr>
        <w:endnoteRef/>
      </w:r>
      <w:r>
        <w:t xml:space="preserve"> </w:t>
      </w:r>
      <w:r w:rsidRPr="00D31318">
        <w:rPr>
          <w:rFonts w:ascii="Times New Roman" w:eastAsia="Times New Roman" w:hAnsi="Times New Roman" w:cs="Times New Roman"/>
        </w:rPr>
        <w:t>Pollen measured and sketched the alabaster capitals in Ravenna’s churches in detail. Pollen 1912: 81.</w:t>
      </w:r>
    </w:p>
  </w:endnote>
  <w:endnote w:id="24">
    <w:p w14:paraId="760DCF64" w14:textId="0523E58F" w:rsidR="00A97F89" w:rsidRPr="006B41DF" w:rsidRDefault="00A97F89" w:rsidP="006B41DF">
      <w:pPr>
        <w:spacing w:after="0" w:line="240" w:lineRule="auto"/>
        <w:jc w:val="both"/>
        <w:rPr>
          <w:rFonts w:ascii="Times New Roman" w:eastAsia="Times New Roman" w:hAnsi="Times New Roman" w:cs="Times New Roman"/>
          <w:sz w:val="20"/>
          <w:szCs w:val="20"/>
        </w:rPr>
      </w:pPr>
      <w:r>
        <w:rPr>
          <w:rStyle w:val="EndnoteReference"/>
        </w:rPr>
        <w:endnoteRef/>
      </w:r>
      <w:r>
        <w:t xml:space="preserve"> </w:t>
      </w:r>
      <w:r w:rsidRPr="00D31318">
        <w:rPr>
          <w:rFonts w:ascii="Times New Roman" w:eastAsia="Times New Roman" w:hAnsi="Times New Roman" w:cs="Times New Roman"/>
          <w:sz w:val="20"/>
          <w:szCs w:val="20"/>
        </w:rPr>
        <w:t xml:space="preserve">Newman refers in his writings to the earthly service in this manner in </w:t>
      </w:r>
      <w:r w:rsidRPr="00D31318">
        <w:rPr>
          <w:rFonts w:ascii="Times New Roman" w:eastAsia="Times New Roman" w:hAnsi="Times New Roman" w:cs="Times New Roman"/>
          <w:i/>
          <w:iCs/>
          <w:sz w:val="20"/>
          <w:szCs w:val="20"/>
        </w:rPr>
        <w:t>Grammar of Assent</w:t>
      </w:r>
      <w:r w:rsidRPr="00D31318">
        <w:rPr>
          <w:rFonts w:ascii="Times New Roman" w:eastAsia="Times New Roman" w:hAnsi="Times New Roman" w:cs="Times New Roman"/>
          <w:sz w:val="20"/>
          <w:szCs w:val="20"/>
        </w:rPr>
        <w:t xml:space="preserve">, 488. The </w:t>
      </w:r>
      <w:r w:rsidRPr="00D31318">
        <w:rPr>
          <w:rFonts w:ascii="Times New Roman" w:eastAsia="Times New Roman" w:hAnsi="Times New Roman" w:cs="Times New Roman"/>
          <w:i/>
          <w:iCs/>
          <w:sz w:val="20"/>
          <w:szCs w:val="20"/>
        </w:rPr>
        <w:t>topos</w:t>
      </w:r>
      <w:r w:rsidRPr="00D31318">
        <w:rPr>
          <w:rFonts w:ascii="Times New Roman" w:eastAsia="Times New Roman" w:hAnsi="Times New Roman" w:cs="Times New Roman"/>
          <w:sz w:val="20"/>
          <w:szCs w:val="20"/>
        </w:rPr>
        <w:t xml:space="preserve"> of the church as an experience of heaven on earth recurs in Byzantine literary sources.</w:t>
      </w:r>
    </w:p>
  </w:endnote>
  <w:endnote w:id="25">
    <w:p w14:paraId="20D76584" w14:textId="2C04B6B3" w:rsidR="00A97F89" w:rsidRPr="00A97F89" w:rsidRDefault="00A97F89">
      <w:pPr>
        <w:pStyle w:val="EndnoteText"/>
        <w:rPr>
          <w:lang w:val="en-US"/>
        </w:rPr>
      </w:pPr>
      <w:r>
        <w:rPr>
          <w:rStyle w:val="EndnoteReference"/>
        </w:rPr>
        <w:endnoteRef/>
      </w:r>
      <w:r>
        <w:t xml:space="preserve"> </w:t>
      </w:r>
      <w:r w:rsidRPr="00D31318">
        <w:rPr>
          <w:rFonts w:ascii="Times New Roman" w:eastAsia="Times New Roman" w:hAnsi="Times New Roman" w:cs="Times New Roman"/>
        </w:rPr>
        <w:t>Pollen 1912: 379.</w:t>
      </w:r>
    </w:p>
  </w:endnote>
  <w:endnote w:id="26">
    <w:p w14:paraId="36C9CCB7" w14:textId="7E0B22E9" w:rsidR="006B41DF" w:rsidRPr="006B41DF" w:rsidRDefault="006B41DF">
      <w:pPr>
        <w:pStyle w:val="EndnoteText"/>
        <w:rPr>
          <w:lang w:val="en-US"/>
        </w:rPr>
      </w:pPr>
      <w:r>
        <w:rPr>
          <w:rStyle w:val="EndnoteReference"/>
        </w:rPr>
        <w:endnoteRef/>
      </w:r>
      <w:r>
        <w:t xml:space="preserve"> </w:t>
      </w:r>
      <w:r w:rsidRPr="00D31318">
        <w:rPr>
          <w:rFonts w:ascii="Times New Roman" w:eastAsia="Times New Roman" w:hAnsi="Times New Roman" w:cs="Times New Roman"/>
        </w:rPr>
        <w:t>Pollen 1912: 73; Pollen 1858.</w:t>
      </w:r>
    </w:p>
  </w:endnote>
  <w:endnote w:id="27">
    <w:p w14:paraId="29F0BA0F" w14:textId="60EBAC8B" w:rsidR="006B41DF" w:rsidRPr="006B41DF" w:rsidRDefault="006B41DF">
      <w:pPr>
        <w:pStyle w:val="EndnoteText"/>
        <w:rPr>
          <w:lang w:val="en-US"/>
        </w:rPr>
      </w:pPr>
      <w:r>
        <w:rPr>
          <w:rStyle w:val="EndnoteReference"/>
        </w:rPr>
        <w:endnoteRef/>
      </w:r>
      <w:r>
        <w:t xml:space="preserve"> </w:t>
      </w:r>
      <w:r w:rsidRPr="00D31318">
        <w:rPr>
          <w:rFonts w:ascii="Times New Roman" w:eastAsia="Times New Roman" w:hAnsi="Times New Roman" w:cs="Times New Roman"/>
        </w:rPr>
        <w:t xml:space="preserve">Newman, </w:t>
      </w:r>
      <w:r w:rsidRPr="00D31318">
        <w:rPr>
          <w:rFonts w:ascii="Times New Roman" w:eastAsia="Times New Roman" w:hAnsi="Times New Roman" w:cs="Times New Roman"/>
          <w:i/>
          <w:iCs/>
        </w:rPr>
        <w:t>Present Position of Catholics</w:t>
      </w:r>
      <w:r w:rsidRPr="00D31318">
        <w:rPr>
          <w:rFonts w:ascii="Times New Roman" w:eastAsia="Times New Roman" w:hAnsi="Times New Roman" w:cs="Times New Roman"/>
        </w:rPr>
        <w:t>, 12–13.</w:t>
      </w:r>
    </w:p>
  </w:endnote>
  <w:endnote w:id="28">
    <w:p w14:paraId="4A8C4D75" w14:textId="705B99B0" w:rsidR="006B41DF" w:rsidRPr="006B41DF" w:rsidRDefault="006B41DF" w:rsidP="006B41DF">
      <w:pPr>
        <w:spacing w:after="0" w:line="240" w:lineRule="auto"/>
        <w:jc w:val="both"/>
        <w:rPr>
          <w:rFonts w:ascii="Times New Roman" w:eastAsia="Times New Roman" w:hAnsi="Times New Roman" w:cs="Times New Roman"/>
          <w:sz w:val="20"/>
          <w:szCs w:val="20"/>
        </w:rPr>
      </w:pPr>
      <w:r>
        <w:rPr>
          <w:rStyle w:val="EndnoteReference"/>
        </w:rPr>
        <w:endnoteRef/>
      </w:r>
      <w:r>
        <w:t xml:space="preserve"> </w:t>
      </w:r>
      <w:r w:rsidRPr="00D31318">
        <w:rPr>
          <w:rFonts w:ascii="Times New Roman" w:eastAsia="Times New Roman" w:hAnsi="Times New Roman" w:cs="Times New Roman"/>
          <w:sz w:val="20"/>
          <w:szCs w:val="20"/>
        </w:rPr>
        <w:t xml:space="preserve">Newman, </w:t>
      </w:r>
      <w:r w:rsidRPr="00D31318">
        <w:rPr>
          <w:rFonts w:ascii="Times New Roman" w:eastAsia="Times New Roman" w:hAnsi="Times New Roman" w:cs="Times New Roman"/>
          <w:i/>
          <w:iCs/>
          <w:sz w:val="20"/>
          <w:szCs w:val="20"/>
        </w:rPr>
        <w:t>Present Position of Catholics</w:t>
      </w:r>
      <w:r w:rsidRPr="00D31318">
        <w:rPr>
          <w:rFonts w:ascii="Times New Roman" w:eastAsia="Times New Roman" w:hAnsi="Times New Roman" w:cs="Times New Roman"/>
          <w:sz w:val="20"/>
          <w:szCs w:val="20"/>
        </w:rPr>
        <w:t>, 43; 58.</w:t>
      </w:r>
    </w:p>
  </w:endnote>
  <w:endnote w:id="29">
    <w:p w14:paraId="57E0B0A9" w14:textId="2812B2A1" w:rsidR="006B41DF" w:rsidRPr="006B41DF" w:rsidRDefault="006B41DF" w:rsidP="006B41DF">
      <w:pPr>
        <w:spacing w:after="0" w:line="240" w:lineRule="auto"/>
        <w:jc w:val="both"/>
        <w:rPr>
          <w:rFonts w:ascii="Times New Roman" w:eastAsia="Times New Roman" w:hAnsi="Times New Roman" w:cs="Times New Roman"/>
          <w:sz w:val="20"/>
          <w:szCs w:val="20"/>
        </w:rPr>
      </w:pPr>
      <w:r>
        <w:rPr>
          <w:rStyle w:val="EndnoteReference"/>
        </w:rPr>
        <w:endnoteRef/>
      </w:r>
      <w:r>
        <w:t xml:space="preserve"> </w:t>
      </w:r>
      <w:r w:rsidRPr="00D31318">
        <w:rPr>
          <w:rFonts w:ascii="Times New Roman" w:eastAsia="Times New Roman" w:hAnsi="Times New Roman" w:cs="Times New Roman"/>
          <w:sz w:val="20"/>
          <w:szCs w:val="20"/>
        </w:rPr>
        <w:t xml:space="preserve">Newman, </w:t>
      </w:r>
      <w:r w:rsidRPr="00D31318">
        <w:rPr>
          <w:rFonts w:ascii="Times New Roman" w:eastAsia="Times New Roman" w:hAnsi="Times New Roman" w:cs="Times New Roman"/>
          <w:i/>
          <w:iCs/>
          <w:sz w:val="20"/>
          <w:szCs w:val="20"/>
        </w:rPr>
        <w:t>Development of Doctrine</w:t>
      </w:r>
      <w:r w:rsidRPr="00D31318">
        <w:rPr>
          <w:rFonts w:ascii="Times New Roman" w:eastAsia="Times New Roman" w:hAnsi="Times New Roman" w:cs="Times New Roman"/>
          <w:sz w:val="20"/>
          <w:szCs w:val="20"/>
        </w:rPr>
        <w:t>, 8.</w:t>
      </w:r>
    </w:p>
  </w:endnote>
  <w:endnote w:id="30">
    <w:p w14:paraId="1C8DD24B" w14:textId="0D9665D6" w:rsidR="006B41DF" w:rsidRPr="006B41DF" w:rsidRDefault="006B41DF">
      <w:pPr>
        <w:pStyle w:val="EndnoteText"/>
        <w:rPr>
          <w:lang w:val="en-US"/>
        </w:rPr>
      </w:pPr>
      <w:r>
        <w:rPr>
          <w:rStyle w:val="EndnoteReference"/>
        </w:rPr>
        <w:endnoteRef/>
      </w:r>
      <w:r>
        <w:t xml:space="preserve"> </w:t>
      </w:r>
      <w:r w:rsidRPr="00D31318">
        <w:rPr>
          <w:rFonts w:ascii="Times New Roman" w:eastAsia="Times New Roman" w:hAnsi="Times New Roman" w:cs="Times New Roman"/>
        </w:rPr>
        <w:t>Newman 2015: 7.</w:t>
      </w:r>
    </w:p>
  </w:endnote>
  <w:endnote w:id="31">
    <w:p w14:paraId="1FEBBD6C" w14:textId="548A7D8F" w:rsidR="006B41DF" w:rsidRPr="006B41DF" w:rsidRDefault="006B41DF">
      <w:pPr>
        <w:pStyle w:val="EndnoteText"/>
        <w:rPr>
          <w:lang w:val="en-US"/>
        </w:rPr>
      </w:pPr>
      <w:r>
        <w:rPr>
          <w:rStyle w:val="EndnoteReference"/>
        </w:rPr>
        <w:endnoteRef/>
      </w:r>
      <w:r>
        <w:t xml:space="preserve"> </w:t>
      </w:r>
      <w:r w:rsidRPr="00D31318">
        <w:rPr>
          <w:rFonts w:ascii="Times New Roman" w:eastAsia="Times New Roman" w:hAnsi="Times New Roman" w:cs="Times New Roman"/>
        </w:rPr>
        <w:t>Bullen 2003: 67.</w:t>
      </w:r>
    </w:p>
  </w:endnote>
  <w:endnote w:id="32">
    <w:p w14:paraId="43D5F33A" w14:textId="77777777" w:rsidR="006B41DF" w:rsidRPr="00D31318" w:rsidRDefault="006B41DF" w:rsidP="006B41DF">
      <w:pPr>
        <w:spacing w:after="0" w:line="240" w:lineRule="auto"/>
        <w:jc w:val="both"/>
        <w:rPr>
          <w:rFonts w:ascii="Times New Roman" w:eastAsia="Times New Roman" w:hAnsi="Times New Roman" w:cs="Times New Roman"/>
          <w:sz w:val="20"/>
          <w:szCs w:val="20"/>
        </w:rPr>
      </w:pPr>
      <w:r>
        <w:rPr>
          <w:rStyle w:val="EndnoteReference"/>
        </w:rPr>
        <w:endnoteRef/>
      </w:r>
      <w:r>
        <w:t xml:space="preserve"> </w:t>
      </w:r>
      <w:r w:rsidRPr="00D31318">
        <w:rPr>
          <w:rFonts w:ascii="Times New Roman" w:eastAsia="Times New Roman" w:hAnsi="Times New Roman" w:cs="Times New Roman"/>
          <w:sz w:val="20"/>
          <w:szCs w:val="20"/>
        </w:rPr>
        <w:t>Letter [to John Henry Newman] from John Hungerford Pollen, Worcester, 29 Sep 1855. MS. 17906/5, fols. 18–19. Bodleian Libraries, Pollen archive.</w:t>
      </w:r>
    </w:p>
    <w:p w14:paraId="2E4A50D4" w14:textId="01E0CC85" w:rsidR="006B41DF" w:rsidRPr="006B41DF" w:rsidRDefault="006B41DF">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7C500DCA-6D12-40A2-B3C7-84D756FFF2D4}"/>
    <w:embedBold r:id="rId2" w:fontKey="{090BDFE5-EBAD-4CA9-9A8C-1B65AE292B36}"/>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embedRegular r:id="rId3" w:fontKey="{E82082A7-A91C-4E71-890E-4E8CC88B6D67}"/>
  </w:font>
  <w:font w:name="Georgia">
    <w:panose1 w:val="02040502050405020303"/>
    <w:charset w:val="00"/>
    <w:family w:val="roman"/>
    <w:pitch w:val="variable"/>
    <w:sig w:usb0="00000287" w:usb1="00000000" w:usb2="00000000" w:usb3="00000000" w:csb0="0000009F" w:csb1="00000000"/>
    <w:embedItalic r:id="rId4" w:fontKey="{D6C7C0AD-3742-47C2-AC42-4F1C8EE13613}"/>
  </w:font>
  <w:font w:name="Calibri Light">
    <w:panose1 w:val="020F0302020204030204"/>
    <w:charset w:val="00"/>
    <w:family w:val="swiss"/>
    <w:pitch w:val="variable"/>
    <w:sig w:usb0="E4002EFF" w:usb1="C200247B" w:usb2="00000009" w:usb3="00000000" w:csb0="000001FF" w:csb1="00000000"/>
    <w:embedRegular r:id="rId5" w:fontKey="{E338DE29-35B1-4B1A-957A-7699A3F92B5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DE1D5" w14:textId="77777777" w:rsidR="00740FE3" w:rsidRDefault="00740FE3" w:rsidP="00A97F89">
      <w:pPr>
        <w:spacing w:after="0" w:line="240" w:lineRule="auto"/>
      </w:pPr>
      <w:r>
        <w:separator/>
      </w:r>
    </w:p>
  </w:footnote>
  <w:footnote w:type="continuationSeparator" w:id="0">
    <w:p w14:paraId="6CFF4AB6" w14:textId="77777777" w:rsidR="00740FE3" w:rsidRDefault="00740FE3" w:rsidP="00A97F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843"/>
    <w:rsid w:val="0019563E"/>
    <w:rsid w:val="00226B83"/>
    <w:rsid w:val="004D546F"/>
    <w:rsid w:val="005E073B"/>
    <w:rsid w:val="006B41DF"/>
    <w:rsid w:val="00740FE3"/>
    <w:rsid w:val="00910A94"/>
    <w:rsid w:val="009D69EF"/>
    <w:rsid w:val="00A87B96"/>
    <w:rsid w:val="00A97F89"/>
    <w:rsid w:val="00AC5D50"/>
    <w:rsid w:val="00B6240B"/>
    <w:rsid w:val="00CE7843"/>
    <w:rsid w:val="00D31318"/>
    <w:rsid w:val="00F75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1E5CD"/>
  <w15:docId w15:val="{EE32F435-2928-4A32-A995-742D346DD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FootnoteText">
    <w:name w:val="footnote text"/>
    <w:basedOn w:val="Normal"/>
    <w:link w:val="FootnoteTextChar"/>
    <w:uiPriority w:val="99"/>
    <w:unhideWhenUsed/>
    <w:rsid w:val="00551BC6"/>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rsid w:val="00551BC6"/>
    <w:rPr>
      <w:rFonts w:eastAsiaTheme="minorEastAsia"/>
      <w:sz w:val="20"/>
      <w:szCs w:val="20"/>
    </w:rPr>
  </w:style>
  <w:style w:type="character" w:styleId="FootnoteReference">
    <w:name w:val="footnote reference"/>
    <w:basedOn w:val="DefaultParagraphFont"/>
    <w:uiPriority w:val="99"/>
    <w:semiHidden/>
    <w:unhideWhenUsed/>
    <w:rsid w:val="00551BC6"/>
    <w:rPr>
      <w:vertAlign w:val="superscript"/>
    </w:rPr>
  </w:style>
  <w:style w:type="character" w:customStyle="1" w:styleId="xs2">
    <w:name w:val="x_s2"/>
    <w:basedOn w:val="DefaultParagraphFont"/>
    <w:rsid w:val="00551BC6"/>
  </w:style>
  <w:style w:type="character" w:customStyle="1" w:styleId="italic">
    <w:name w:val="italic"/>
    <w:basedOn w:val="DefaultParagraphFont"/>
    <w:rsid w:val="008455B1"/>
  </w:style>
  <w:style w:type="character" w:styleId="Emphasis">
    <w:name w:val="Emphasis"/>
    <w:basedOn w:val="DefaultParagraphFont"/>
    <w:uiPriority w:val="20"/>
    <w:qFormat/>
    <w:rsid w:val="006D0804"/>
    <w:rPr>
      <w:i/>
      <w:iCs/>
    </w:rPr>
  </w:style>
  <w:style w:type="paragraph" w:styleId="EndnoteText">
    <w:name w:val="endnote text"/>
    <w:basedOn w:val="Normal"/>
    <w:link w:val="EndnoteTextChar"/>
    <w:uiPriority w:val="99"/>
    <w:unhideWhenUsed/>
    <w:rsid w:val="00ED7AF1"/>
    <w:pPr>
      <w:spacing w:after="0" w:line="240" w:lineRule="auto"/>
    </w:pPr>
    <w:rPr>
      <w:sz w:val="20"/>
      <w:szCs w:val="20"/>
    </w:rPr>
  </w:style>
  <w:style w:type="character" w:customStyle="1" w:styleId="EndnoteTextChar">
    <w:name w:val="Endnote Text Char"/>
    <w:basedOn w:val="DefaultParagraphFont"/>
    <w:link w:val="EndnoteText"/>
    <w:uiPriority w:val="99"/>
    <w:rsid w:val="00ED7AF1"/>
    <w:rPr>
      <w:sz w:val="20"/>
      <w:szCs w:val="20"/>
    </w:rPr>
  </w:style>
  <w:style w:type="character" w:styleId="EndnoteReference">
    <w:name w:val="endnote reference"/>
    <w:basedOn w:val="DefaultParagraphFont"/>
    <w:uiPriority w:val="99"/>
    <w:semiHidden/>
    <w:unhideWhenUsed/>
    <w:rsid w:val="00ED7AF1"/>
    <w:rPr>
      <w:vertAlign w:val="superscript"/>
    </w:rPr>
  </w:style>
  <w:style w:type="character" w:styleId="Hyperlink">
    <w:name w:val="Hyperlink"/>
    <w:basedOn w:val="DefaultParagraphFont"/>
    <w:uiPriority w:val="99"/>
    <w:unhideWhenUsed/>
    <w:rsid w:val="000D41EE"/>
    <w:rPr>
      <w:color w:val="0563C1" w:themeColor="hyperlink"/>
      <w:u w:val="single"/>
    </w:rPr>
  </w:style>
  <w:style w:type="character" w:customStyle="1" w:styleId="UnresolvedMention1">
    <w:name w:val="Unresolved Mention1"/>
    <w:basedOn w:val="DefaultParagraphFont"/>
    <w:uiPriority w:val="99"/>
    <w:semiHidden/>
    <w:unhideWhenUsed/>
    <w:rsid w:val="000D41EE"/>
    <w:rPr>
      <w:color w:val="605E5C"/>
      <w:shd w:val="clear" w:color="auto" w:fill="E1DFDD"/>
    </w:rPr>
  </w:style>
  <w:style w:type="paragraph" w:styleId="ListParagraph">
    <w:name w:val="List Paragraph"/>
    <w:basedOn w:val="Normal"/>
    <w:uiPriority w:val="34"/>
    <w:qFormat/>
    <w:rsid w:val="00412677"/>
    <w:pPr>
      <w:ind w:left="720"/>
      <w:contextualSpacing/>
    </w:pPr>
  </w:style>
  <w:style w:type="paragraph" w:styleId="Revision">
    <w:name w:val="Revision"/>
    <w:hidden/>
    <w:uiPriority w:val="99"/>
    <w:semiHidden/>
    <w:rsid w:val="00D71BE9"/>
    <w:pPr>
      <w:spacing w:after="0" w:line="240" w:lineRule="auto"/>
    </w:pPr>
  </w:style>
  <w:style w:type="character" w:styleId="CommentReference">
    <w:name w:val="annotation reference"/>
    <w:basedOn w:val="DefaultParagraphFont"/>
    <w:uiPriority w:val="99"/>
    <w:semiHidden/>
    <w:unhideWhenUsed/>
    <w:rsid w:val="00D71BE9"/>
    <w:rPr>
      <w:sz w:val="16"/>
      <w:szCs w:val="16"/>
    </w:rPr>
  </w:style>
  <w:style w:type="paragraph" w:styleId="CommentText">
    <w:name w:val="annotation text"/>
    <w:basedOn w:val="Normal"/>
    <w:link w:val="CommentTextChar"/>
    <w:uiPriority w:val="99"/>
    <w:unhideWhenUsed/>
    <w:rsid w:val="00D71BE9"/>
    <w:pPr>
      <w:spacing w:line="240" w:lineRule="auto"/>
    </w:pPr>
    <w:rPr>
      <w:sz w:val="20"/>
      <w:szCs w:val="20"/>
    </w:rPr>
  </w:style>
  <w:style w:type="character" w:customStyle="1" w:styleId="CommentTextChar">
    <w:name w:val="Comment Text Char"/>
    <w:basedOn w:val="DefaultParagraphFont"/>
    <w:link w:val="CommentText"/>
    <w:uiPriority w:val="99"/>
    <w:rsid w:val="00D71BE9"/>
    <w:rPr>
      <w:sz w:val="20"/>
      <w:szCs w:val="20"/>
    </w:rPr>
  </w:style>
  <w:style w:type="paragraph" w:styleId="CommentSubject">
    <w:name w:val="annotation subject"/>
    <w:basedOn w:val="CommentText"/>
    <w:next w:val="CommentText"/>
    <w:link w:val="CommentSubjectChar"/>
    <w:uiPriority w:val="99"/>
    <w:semiHidden/>
    <w:unhideWhenUsed/>
    <w:rsid w:val="00D71BE9"/>
    <w:rPr>
      <w:b/>
      <w:bCs/>
    </w:rPr>
  </w:style>
  <w:style w:type="character" w:customStyle="1" w:styleId="CommentSubjectChar">
    <w:name w:val="Comment Subject Char"/>
    <w:basedOn w:val="CommentTextChar"/>
    <w:link w:val="CommentSubject"/>
    <w:uiPriority w:val="99"/>
    <w:semiHidden/>
    <w:rsid w:val="00D71BE9"/>
    <w:rPr>
      <w:b/>
      <w:bCs/>
      <w:sz w:val="20"/>
      <w:szCs w:val="20"/>
    </w:rPr>
  </w:style>
  <w:style w:type="paragraph" w:styleId="BalloonText">
    <w:name w:val="Balloon Text"/>
    <w:basedOn w:val="Normal"/>
    <w:link w:val="BalloonTextChar"/>
    <w:uiPriority w:val="99"/>
    <w:semiHidden/>
    <w:unhideWhenUsed/>
    <w:rsid w:val="004804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0437"/>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1" Type="http://schemas.openxmlformats.org/officeDocument/2006/relationships/hyperlink" Target="https://www.newmanreader.org/work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carK6u20Rh4GNCEY+OUpVWj2ag==">CgMxLjA4AHIhMU52SHQ2UXo3V2ZiRDNudGtobkhIZnVxY0M1Z2JjbXV6</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BD64D79-853F-47A6-8757-843493FC0CD4}">
  <ds:schemaRefs>
    <ds:schemaRef ds:uri="http://schemas.openxmlformats.org/officeDocument/2006/bibliography"/>
  </ds:schemaRefs>
</ds:datastoreItem>
</file>

<file path=docMetadata/LabelInfo.xml><?xml version="1.0" encoding="utf-8"?>
<clbl:labelList xmlns:clbl="http://schemas.microsoft.com/office/2020/mipLabelMetadata">
  <clbl:label id="{7893ce20-a697-4fd6-a4da-14011f6a471d}" enabled="1" method="Standard" siteId="{a8eec281-aaa3-4dae-ac9b-9a398b9215e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3935</Words>
  <Characters>22512</Characters>
  <Application>Microsoft Office Word</Application>
  <DocSecurity>0</DocSecurity>
  <Lines>346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Niamh Bhalla</dc:creator>
  <cp:lastModifiedBy>Bhalla, Niamh</cp:lastModifiedBy>
  <cp:revision>3</cp:revision>
  <dcterms:created xsi:type="dcterms:W3CDTF">2026-02-25T19:50:00Z</dcterms:created>
  <dcterms:modified xsi:type="dcterms:W3CDTF">2026-03-17T14:04:00Z</dcterms:modified>
</cp:coreProperties>
</file>