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A9C4D" w14:textId="77777777" w:rsidR="003C03AC" w:rsidRDefault="00290AD8" w:rsidP="00277D69">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Handbook to the Modern Reception of Byzantium: Introduction</w:t>
      </w:r>
    </w:p>
    <w:p w14:paraId="22CB0913" w14:textId="77777777" w:rsidR="003C03AC" w:rsidRDefault="00290AD8" w:rsidP="00277D69">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Sailing to where? The Polysemic World of ‘Byzantium’ and its (Mis?) Perceptions</w:t>
      </w:r>
    </w:p>
    <w:p w14:paraId="6227D2E0" w14:textId="77777777" w:rsidR="00277D69" w:rsidRDefault="00277D69" w:rsidP="00277D69">
      <w:pPr>
        <w:spacing w:after="0" w:line="480" w:lineRule="auto"/>
        <w:jc w:val="center"/>
        <w:rPr>
          <w:rFonts w:ascii="Times New Roman" w:eastAsia="Times New Roman" w:hAnsi="Times New Roman" w:cs="Times New Roman"/>
          <w:b/>
          <w:bCs/>
        </w:rPr>
      </w:pPr>
    </w:p>
    <w:p w14:paraId="478ACBD3" w14:textId="177CBFA5" w:rsidR="00277D69" w:rsidRPr="00B56C4E" w:rsidRDefault="00290AD8" w:rsidP="00B56C4E">
      <w:pPr>
        <w:spacing w:after="0" w:line="480" w:lineRule="auto"/>
        <w:jc w:val="center"/>
        <w:rPr>
          <w:rFonts w:ascii="Times New Roman" w:eastAsia="Times New Roman" w:hAnsi="Times New Roman" w:cs="Times New Roman"/>
          <w:bCs/>
        </w:rPr>
      </w:pPr>
      <w:r w:rsidRPr="00277D69">
        <w:rPr>
          <w:rFonts w:ascii="Times New Roman" w:eastAsia="Times New Roman" w:hAnsi="Times New Roman" w:cs="Times New Roman"/>
          <w:bCs/>
        </w:rPr>
        <w:t xml:space="preserve">Niamh Bhalla and Dimitra </w:t>
      </w:r>
      <w:proofErr w:type="spellStart"/>
      <w:r w:rsidRPr="00277D69">
        <w:rPr>
          <w:rFonts w:ascii="Times New Roman" w:eastAsia="Times New Roman" w:hAnsi="Times New Roman" w:cs="Times New Roman"/>
          <w:bCs/>
        </w:rPr>
        <w:t>Kotoula</w:t>
      </w:r>
      <w:proofErr w:type="spellEnd"/>
    </w:p>
    <w:p w14:paraId="32BA3E63" w14:textId="77777777" w:rsidR="00277D69" w:rsidRDefault="00277D69" w:rsidP="00277D69">
      <w:pPr>
        <w:spacing w:after="0" w:line="480" w:lineRule="auto"/>
        <w:ind w:firstLine="720"/>
        <w:jc w:val="both"/>
        <w:rPr>
          <w:rFonts w:ascii="Times New Roman" w:eastAsia="Times New Roman" w:hAnsi="Times New Roman" w:cs="Times New Roman"/>
          <w:b/>
          <w:bCs/>
        </w:rPr>
      </w:pPr>
    </w:p>
    <w:p w14:paraId="2DF8228C" w14:textId="77777777" w:rsidR="00277D69" w:rsidRDefault="00290AD8"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In 2016, while debating immigration in the face of an impending Brexit, the European Union Commission of the House of Lords commented that the Points Based System for those wishing to enter the United Kingdom had now reached a level of complexity that even a Byzantine emperor would have envied. Labyrinthine political structures and merciless bureaucracy – the privileging of process over outcomes and abstract political theorizing over pragmatism – are just a few of the many perceptions that have shaped the meaning of the adjective ‘Byzantine’ as it developed in common parlance across most European languages in the modern period. Since </w:t>
      </w:r>
      <w:proofErr w:type="spellStart"/>
      <w:r>
        <w:rPr>
          <w:rFonts w:ascii="Times New Roman" w:eastAsia="Times New Roman" w:hAnsi="Times New Roman" w:cs="Times New Roman"/>
        </w:rPr>
        <w:t>Hieronymous</w:t>
      </w:r>
      <w:proofErr w:type="spellEnd"/>
      <w:r>
        <w:rPr>
          <w:rFonts w:ascii="Times New Roman" w:eastAsia="Times New Roman" w:hAnsi="Times New Roman" w:cs="Times New Roman"/>
        </w:rPr>
        <w:t xml:space="preserve"> Wolf (1516–80) embedded the term in academic discourse, despite his disdain for the civilization, extending the name of the old Greek city of </w:t>
      </w:r>
      <w:proofErr w:type="spellStart"/>
      <w:r w:rsidRPr="000E02BD">
        <w:rPr>
          <w:rFonts w:ascii="Times New Roman" w:eastAsia="Times New Roman" w:hAnsi="Times New Roman" w:cs="Times New Roman"/>
          <w:i/>
          <w:iCs/>
        </w:rPr>
        <w:t>Byzantion</w:t>
      </w:r>
      <w:proofErr w:type="spellEnd"/>
      <w:r>
        <w:rPr>
          <w:rFonts w:ascii="Times New Roman" w:eastAsia="Times New Roman" w:hAnsi="Times New Roman" w:cs="Times New Roman"/>
        </w:rPr>
        <w:t xml:space="preserve"> to the medieval Roman empire as a whole and allotting it a place in the emergent periodization of history by western European scholars, Byzantium has been a polysemic term laden with a diverse and often deeply conflicting range of connotations.</w:t>
      </w:r>
      <w:r w:rsidR="00277D69">
        <w:rPr>
          <w:rFonts w:ascii="Times New Roman" w:eastAsia="Times New Roman" w:hAnsi="Times New Roman" w:cs="Times New Roman"/>
          <w:vertAlign w:val="superscript"/>
        </w:rPr>
        <w:endnoteReference w:id="1"/>
      </w:r>
      <w:r w:rsidR="00277D69">
        <w:rPr>
          <w:rFonts w:ascii="Times New Roman" w:eastAsia="Times New Roman" w:hAnsi="Times New Roman" w:cs="Times New Roman"/>
        </w:rPr>
        <w:t xml:space="preserve"> From decadence, decay and perpetual, inevitable decline, to religious purity or degeneration, from social utopia to model for autocracy (perceived positively and negatively) and from creative atrophy to material luxury, visual superiority, authority and prestige, Byzantium has held an enduring, but fundamentally conflicted, role in shaping modernity. </w:t>
      </w:r>
    </w:p>
    <w:p w14:paraId="235232BF"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Reception of what was, in fact, the eastern half of the Roman Empire as it survived into the Middle Ages began long before the modern period. However, this Handbook, by definition, addresses the most confounding aspect of this phenomenon: the invention and crafting of </w:t>
      </w:r>
      <w:r>
        <w:rPr>
          <w:rFonts w:ascii="Times New Roman" w:eastAsia="Times New Roman" w:hAnsi="Times New Roman" w:cs="Times New Roman"/>
        </w:rPr>
        <w:lastRenderedPageBreak/>
        <w:t xml:space="preserve">‘Byzantium’ as a term and concept that began in earnest in nineteenth century Europe – its various manifestations, connected to a greater or lesser extent to the historical entity that this retro/exonym claims to represent. The creation and recreations of Byzantium, the interplay of references to the original </w:t>
      </w:r>
      <w:r>
        <w:rPr>
          <w:rFonts w:ascii="Times New Roman" w:eastAsia="Times New Roman" w:hAnsi="Times New Roman" w:cs="Times New Roman"/>
          <w:i/>
          <w:iCs/>
        </w:rPr>
        <w:t>relatum</w:t>
      </w:r>
      <w:r>
        <w:rPr>
          <w:rFonts w:ascii="Times New Roman" w:eastAsia="Times New Roman" w:hAnsi="Times New Roman" w:cs="Times New Roman"/>
        </w:rPr>
        <w:t xml:space="preserve"> and its perceived characteristics, intensified during the modern era in response to the pressures and possibilities transforming European societies – from the development of modern nation states, to industrialization, the birth of both modern academia and modern art, and the decline and reassertion of faith traditions. </w:t>
      </w:r>
    </w:p>
    <w:p w14:paraId="237193B8"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These re-imaginings were generative forces, spawning a further array of neologisms: ‘Byzantinism’, ‘Neo-Byzantinism’, ‘Neo-Orthodoxy’, ‘Grecianising’, ‘the Byzantine Revival’, ‘</w:t>
      </w:r>
      <w:proofErr w:type="spellStart"/>
      <w:r>
        <w:rPr>
          <w:rFonts w:ascii="Times New Roman" w:eastAsia="Times New Roman" w:hAnsi="Times New Roman" w:cs="Times New Roman"/>
        </w:rPr>
        <w:t>Byzantinomania</w:t>
      </w:r>
      <w:proofErr w:type="spellEnd"/>
      <w:r>
        <w:rPr>
          <w:rFonts w:ascii="Times New Roman" w:eastAsia="Times New Roman" w:hAnsi="Times New Roman" w:cs="Times New Roman"/>
        </w:rPr>
        <w:t xml:space="preserve">’ and the ‘new Byzantine’. The dynamism of these re-makings, and the meaning-defining vectors that these compound signifiers constituted, generated even greater distance from the historical entity at issue. They reflected in some cases not only which ‘Byzantium’ they were responding to but also the purposes of their creation. Many of these terms are explored here by means of a series of case-studies that provide parameters that can help us to understand and interpret the heterogenous phenomenon of the modern reception of ‘Byzantium’. </w:t>
      </w:r>
    </w:p>
    <w:p w14:paraId="573CB483"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The variety of ‘</w:t>
      </w:r>
      <w:proofErr w:type="spellStart"/>
      <w:r>
        <w:rPr>
          <w:rFonts w:ascii="Times New Roman" w:eastAsia="Times New Roman" w:hAnsi="Times New Roman" w:cs="Times New Roman"/>
        </w:rPr>
        <w:t>Byzantiums</w:t>
      </w:r>
      <w:proofErr w:type="spellEnd"/>
      <w:r>
        <w:rPr>
          <w:rFonts w:ascii="Times New Roman" w:eastAsia="Times New Roman" w:hAnsi="Times New Roman" w:cs="Times New Roman"/>
        </w:rPr>
        <w:t>’ responded to in this volume and the range and disagreements of terminology – which have purposely been left unresolved through the editorial process – embody the nebulous essence of Byzantine receptions from the early nineteenth century to the present. Each ‘Byzantium’ here shares a loose connection to the medieval Roman empire, an often selective interpretation of what was of definitive importance in relation to the identity of that entity (its visual culture, religion, political structure and more) and the desire to create a usable past of benefit to the present.</w:t>
      </w:r>
      <w:r>
        <w:rPr>
          <w:rFonts w:ascii="Times New Roman" w:eastAsia="Times New Roman" w:hAnsi="Times New Roman" w:cs="Times New Roman"/>
          <w:vertAlign w:val="superscript"/>
        </w:rPr>
        <w:endnoteReference w:id="2"/>
      </w:r>
      <w:r>
        <w:rPr>
          <w:rFonts w:ascii="Times New Roman" w:eastAsia="Times New Roman" w:hAnsi="Times New Roman" w:cs="Times New Roman"/>
        </w:rPr>
        <w:t xml:space="preserve"> The spheres of modern response to Byzantium – roughly divided here into history making, politics, visual culture, architecture, institutional </w:t>
      </w:r>
      <w:r>
        <w:rPr>
          <w:rFonts w:ascii="Times New Roman" w:eastAsia="Times New Roman" w:hAnsi="Times New Roman" w:cs="Times New Roman"/>
        </w:rPr>
        <w:lastRenderedPageBreak/>
        <w:t>displays/exhibitions and performative/embodied responses – selected and engaged with those elements from the past that could serve contemporary creative, political and intellectual purposes while disregarding those deemed irrelevant or constraining.</w:t>
      </w:r>
    </w:p>
    <w:p w14:paraId="4EE5E80C" w14:textId="77777777" w:rsidR="00277D69" w:rsidRDefault="00277D69" w:rsidP="00277D69">
      <w:pPr>
        <w:spacing w:after="0" w:line="480" w:lineRule="auto"/>
        <w:ind w:firstLine="720"/>
        <w:jc w:val="both"/>
        <w:rPr>
          <w:rFonts w:ascii="Times New Roman" w:eastAsia="Times New Roman" w:hAnsi="Times New Roman" w:cs="Times New Roman"/>
        </w:rPr>
      </w:pPr>
    </w:p>
    <w:p w14:paraId="6503E1C2" w14:textId="77777777" w:rsidR="00277D69" w:rsidRDefault="00277D69" w:rsidP="00277D69">
      <w:pPr>
        <w:spacing w:after="0" w:line="480" w:lineRule="auto"/>
        <w:rPr>
          <w:rFonts w:ascii="Times New Roman" w:eastAsia="Times New Roman" w:hAnsi="Times New Roman" w:cs="Times New Roman"/>
          <w:b/>
          <w:bCs/>
        </w:rPr>
      </w:pPr>
      <w:r>
        <w:rPr>
          <w:rFonts w:ascii="Times New Roman" w:eastAsia="Times New Roman" w:hAnsi="Times New Roman" w:cs="Times New Roman"/>
          <w:b/>
          <w:bCs/>
        </w:rPr>
        <w:t xml:space="preserve">Byzantium before Byzantium </w:t>
      </w:r>
    </w:p>
    <w:p w14:paraId="60F8C1AA"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Byzantium as it exists in common usage is then a retro/exonym – a maladaptation of the name of the Hellenistic city on the Bosphorus that Emperor Constantine I (r. 306–337) chose to make his new imperial capital – New Rome at first but then Constantinople shortly thereafter (324–330). The retrospective application of the Greek place name </w:t>
      </w:r>
      <w:proofErr w:type="spellStart"/>
      <w:r>
        <w:rPr>
          <w:rFonts w:ascii="Times New Roman" w:eastAsia="Times New Roman" w:hAnsi="Times New Roman" w:cs="Times New Roman"/>
          <w:i/>
          <w:iCs/>
        </w:rPr>
        <w:t>Byzantion</w:t>
      </w:r>
      <w:proofErr w:type="spellEnd"/>
      <w:r>
        <w:rPr>
          <w:rFonts w:ascii="Times New Roman" w:eastAsia="Times New Roman" w:hAnsi="Times New Roman" w:cs="Times New Roman"/>
        </w:rPr>
        <w:t xml:space="preserve"> to the entirety of the eastern portions of the Roman Empire as it existed in the medieval period began sporadically in the early modern period following the fall of Constantinople in 1453, with reference to the old name of the city. This was symptomatic only of the ascendency of the city of Constantinople and such uses of ‘Byzantium’ in this regard were few.</w:t>
      </w:r>
      <w:r>
        <w:rPr>
          <w:rFonts w:ascii="Times New Roman" w:eastAsia="Times New Roman" w:hAnsi="Times New Roman" w:cs="Times New Roman"/>
          <w:vertAlign w:val="superscript"/>
        </w:rPr>
        <w:endnoteReference w:id="3"/>
      </w:r>
      <w:r>
        <w:rPr>
          <w:rFonts w:ascii="Times New Roman" w:eastAsia="Times New Roman" w:hAnsi="Times New Roman" w:cs="Times New Roman"/>
        </w:rPr>
        <w:t xml:space="preserve"> The self-understanding and self-definition of the people who inhabited these regions as ‘</w:t>
      </w:r>
      <w:proofErr w:type="spellStart"/>
      <w:r>
        <w:rPr>
          <w:rFonts w:ascii="Times New Roman" w:eastAsia="Times New Roman" w:hAnsi="Times New Roman" w:cs="Times New Roman"/>
        </w:rPr>
        <w:t>Rhōmaîoi</w:t>
      </w:r>
      <w:proofErr w:type="spellEnd"/>
      <w:r>
        <w:rPr>
          <w:rFonts w:ascii="Times New Roman" w:eastAsia="Times New Roman" w:hAnsi="Times New Roman" w:cs="Times New Roman"/>
        </w:rPr>
        <w:t>’ (</w:t>
      </w:r>
      <w:proofErr w:type="spellStart"/>
      <w:r>
        <w:rPr>
          <w:rFonts w:ascii="Times New Roman" w:eastAsia="Times New Roman" w:hAnsi="Times New Roman" w:cs="Times New Roman"/>
        </w:rPr>
        <w:t>Ῥωμ</w:t>
      </w:r>
      <w:proofErr w:type="spellEnd"/>
      <w:r>
        <w:rPr>
          <w:rFonts w:ascii="Times New Roman" w:eastAsia="Times New Roman" w:hAnsi="Times New Roman" w:cs="Times New Roman"/>
        </w:rPr>
        <w:t>αῖοι) or Romans has been eclipsed because of the race-based and ethnolinguistic ideologies that dominated intellectual thought in the nineteenth century when Byzantine studies began under the pretence of scientific distance and disinterest.</w:t>
      </w:r>
    </w:p>
    <w:p w14:paraId="422A9011" w14:textId="0F10E36E" w:rsidR="00277D69" w:rsidRDefault="00277D69" w:rsidP="00277D69">
      <w:pPr>
        <w:spacing w:after="0" w:line="480" w:lineRule="auto"/>
        <w:ind w:firstLine="720"/>
        <w:jc w:val="both"/>
        <w:rPr>
          <w:rFonts w:ascii="Times New Roman" w:eastAsia="Times New Roman" w:hAnsi="Times New Roman" w:cs="Times New Roman"/>
          <w:i/>
          <w:iCs/>
        </w:rPr>
      </w:pPr>
      <w:r>
        <w:rPr>
          <w:rFonts w:ascii="Times New Roman" w:eastAsia="Times New Roman" w:hAnsi="Times New Roman" w:cs="Times New Roman"/>
        </w:rPr>
        <w:t>A homogenisation of response is of course impossible because of the nature of reception itself, which is necessarily plural and subjective, but it becomes fundamentally problematic and most often contradictory in relation to ‘Byzantium’ because of the inherent breadth and diversity of the medieval Roman Empire to which it always loosely or partially pertains.</w:t>
      </w:r>
      <w:r>
        <w:rPr>
          <w:rFonts w:ascii="Times New Roman" w:eastAsia="Times New Roman" w:hAnsi="Times New Roman" w:cs="Times New Roman"/>
          <w:vertAlign w:val="superscript"/>
        </w:rPr>
        <w:endnoteReference w:id="4"/>
      </w:r>
      <w:r>
        <w:rPr>
          <w:rFonts w:ascii="Times New Roman" w:eastAsia="Times New Roman" w:hAnsi="Times New Roman" w:cs="Times New Roman"/>
        </w:rPr>
        <w:t xml:space="preserve"> Covering over 1000 years of human history, ‘Byzantium’ pertains to a geographically fluid and culturally diverse political entity. In simple terms, the Byzantine Empire was the continuation of the </w:t>
      </w:r>
      <w:r>
        <w:rPr>
          <w:rFonts w:ascii="Times New Roman" w:eastAsia="Times New Roman" w:hAnsi="Times New Roman" w:cs="Times New Roman"/>
        </w:rPr>
        <w:lastRenderedPageBreak/>
        <w:t>Roman Empire from 330 to 1453, centred in Constantinople (modern Istanbul) that survived the fall of western Rome and lasted over a thousand years until conquered by the Ottoman Turks. It preserved Roman law and administration, spoke mostly Greek and developed a distinctive Orthodox Christian culture. However, the only thing that most inhabitants of ‘Byzantium’ shared was that they considered themselves to be Romans.</w:t>
      </w:r>
      <w:r>
        <w:rPr>
          <w:rFonts w:ascii="Times New Roman" w:eastAsia="Times New Roman" w:hAnsi="Times New Roman" w:cs="Times New Roman"/>
          <w:vertAlign w:val="superscript"/>
        </w:rPr>
        <w:endnoteReference w:id="5"/>
      </w:r>
      <w:r>
        <w:rPr>
          <w:rFonts w:ascii="Times New Roman" w:eastAsia="Times New Roman" w:hAnsi="Times New Roman" w:cs="Times New Roman"/>
        </w:rPr>
        <w:t xml:space="preserve"> The medieval Roman Empire for the duration of its existence experienced dramatic territorial fluctuations that defy simple categorization. At its zenith under Justinian I (r. 527–65), it stretched from southern Spain to the Euphrates and from the Danube to North Africa, only to contract drastically following the Arab conquests in the seventh century when Syria, Palestine, Mesopotamia and North Africa were irrevocably lost. It expanded again into the Balkans and Anatolia during the tenth to eleventh centuries, before fragmenting after 1204 and ultimately shrinking to little more than Constantinople and its immediate surroundings by the fifteenth century. Although it cannot be defined geographically, response has been affected to a large extent by proximity to the regions that once formed part of the empire, and moreover it has been profoundly informed at times by a vague sense of direction: it has been indelibly ‘Eastern’ for many western Europeans – for better or for worse – or irrevocably ‘Western’ for Armenian scholars, for example.</w:t>
      </w:r>
      <w:r>
        <w:rPr>
          <w:rFonts w:ascii="Times New Roman" w:eastAsia="Times New Roman" w:hAnsi="Times New Roman" w:cs="Times New Roman"/>
          <w:vertAlign w:val="superscript"/>
        </w:rPr>
        <w:endnoteReference w:id="6"/>
      </w:r>
    </w:p>
    <w:p w14:paraId="75E5B8EF"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Territorial volatility was matched by remarkable linguistic diversity. While Greek predominated in administration and high culture after a certain date, Latin persisted and the empire encompassed speakers of Armenian, Slavonic languages, Arabic and numerous other tongues.</w:t>
      </w:r>
      <w:r>
        <w:rPr>
          <w:rFonts w:ascii="Times New Roman" w:eastAsia="Times New Roman" w:hAnsi="Times New Roman" w:cs="Times New Roman"/>
          <w:vertAlign w:val="superscript"/>
        </w:rPr>
        <w:endnoteReference w:id="7"/>
      </w:r>
      <w:r>
        <w:rPr>
          <w:rFonts w:ascii="Times New Roman" w:eastAsia="Times New Roman" w:hAnsi="Times New Roman" w:cs="Times New Roman"/>
        </w:rPr>
        <w:t xml:space="preserve"> The religious landscape was no less diverse, defined by an ‘official’ Orthodox Christianity that was iterative, evolving and at times contested – not least due to the Christological upheavals of Iconoclasm that dominated substantial swathes of the Empire’s history. The empire also included at various points substantial populations of Monophysites, </w:t>
      </w:r>
      <w:r>
        <w:rPr>
          <w:rFonts w:ascii="Times New Roman" w:eastAsia="Times New Roman" w:hAnsi="Times New Roman" w:cs="Times New Roman"/>
        </w:rPr>
        <w:lastRenderedPageBreak/>
        <w:t>Catholics, Muslims and Jews. The application of any singular ethnic or cultural label to this millennium-long entity is fundamentally untenable. This religious, linguistic and geographical diversity, combined with the absence of any single nation claiming comprehensive ‘ownership’ of Byzantium's multifaceted legacy, has made diverse interpretations of Byzantine identity inevitable. Modern nations have selectively embraced different aspects of this heritage – language, religion, territory, or imperial tradition – creating a myriad of competing ‘</w:t>
      </w:r>
      <w:proofErr w:type="spellStart"/>
      <w:r>
        <w:rPr>
          <w:rFonts w:ascii="Times New Roman" w:eastAsia="Times New Roman" w:hAnsi="Times New Roman" w:cs="Times New Roman"/>
        </w:rPr>
        <w:t>Byzantiums</w:t>
      </w:r>
      <w:proofErr w:type="spellEnd"/>
      <w:r>
        <w:rPr>
          <w:rFonts w:ascii="Times New Roman" w:eastAsia="Times New Roman" w:hAnsi="Times New Roman" w:cs="Times New Roman"/>
        </w:rPr>
        <w:t>’.</w:t>
      </w:r>
    </w:p>
    <w:p w14:paraId="08F4A416" w14:textId="77777777" w:rsidR="00277D69" w:rsidRDefault="00277D69" w:rsidP="00277D69">
      <w:pPr>
        <w:spacing w:after="0" w:line="480" w:lineRule="auto"/>
        <w:ind w:firstLine="720"/>
        <w:jc w:val="both"/>
        <w:rPr>
          <w:rFonts w:ascii="Times New Roman" w:eastAsia="Times New Roman" w:hAnsi="Times New Roman" w:cs="Times New Roman"/>
        </w:rPr>
      </w:pPr>
    </w:p>
    <w:p w14:paraId="2C478BD4" w14:textId="77777777" w:rsidR="00277D69" w:rsidRDefault="00277D69" w:rsidP="00277D69">
      <w:pPr>
        <w:spacing w:after="0" w:line="480" w:lineRule="auto"/>
        <w:jc w:val="both"/>
        <w:rPr>
          <w:rFonts w:ascii="Times New Roman" w:eastAsia="Times New Roman" w:hAnsi="Times New Roman" w:cs="Times New Roman"/>
          <w:i/>
          <w:iCs/>
        </w:rPr>
      </w:pPr>
      <w:r>
        <w:rPr>
          <w:rFonts w:ascii="Times New Roman" w:eastAsia="Times New Roman" w:hAnsi="Times New Roman" w:cs="Times New Roman"/>
          <w:i/>
          <w:iCs/>
        </w:rPr>
        <w:t xml:space="preserve">The </w:t>
      </w:r>
      <w:proofErr w:type="spellStart"/>
      <w:r>
        <w:rPr>
          <w:rFonts w:ascii="Times New Roman" w:eastAsia="Times New Roman" w:hAnsi="Times New Roman" w:cs="Times New Roman"/>
          <w:i/>
          <w:iCs/>
        </w:rPr>
        <w:t>Romanitas</w:t>
      </w:r>
      <w:proofErr w:type="spellEnd"/>
      <w:r>
        <w:rPr>
          <w:rFonts w:ascii="Times New Roman" w:eastAsia="Times New Roman" w:hAnsi="Times New Roman" w:cs="Times New Roman"/>
          <w:i/>
          <w:iCs/>
        </w:rPr>
        <w:t xml:space="preserve"> of the Empire</w:t>
      </w:r>
    </w:p>
    <w:p w14:paraId="4FCC0175"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The evolution of this easily moulded “floating signifier”</w:t>
      </w:r>
      <w:r>
        <w:rPr>
          <w:rFonts w:ascii="Times New Roman" w:eastAsia="Times New Roman" w:hAnsi="Times New Roman" w:cs="Times New Roman"/>
          <w:vertAlign w:val="superscript"/>
        </w:rPr>
        <w:endnoteReference w:id="8"/>
      </w:r>
      <w:r>
        <w:rPr>
          <w:rFonts w:ascii="Times New Roman" w:eastAsia="Times New Roman" w:hAnsi="Times New Roman" w:cs="Times New Roman"/>
        </w:rPr>
        <w:t xml:space="preserve"> has not been neutral and much attention has been spent recently on the ‘purposes’ that this term fulfilled. Chief amongst them was that this apparently disinterested term successfully facilitated the distancing of the eastern half of the Roman Empire from its western half, rupturing a historical continuum deemed inconvenient for western European identity.</w:t>
      </w:r>
      <w:r>
        <w:rPr>
          <w:rFonts w:ascii="Times New Roman" w:eastAsia="Times New Roman" w:hAnsi="Times New Roman" w:cs="Times New Roman"/>
          <w:vertAlign w:val="superscript"/>
        </w:rPr>
        <w:endnoteReference w:id="9"/>
      </w:r>
      <w:r>
        <w:rPr>
          <w:rFonts w:ascii="Times New Roman" w:eastAsia="Times New Roman" w:hAnsi="Times New Roman" w:cs="Times New Roman"/>
        </w:rPr>
        <w:t xml:space="preserve"> The now accepted but still awkward fact that the Romans continued in the East points to one of the first apparent paradoxes of Byzantine reception: that there was, and largely still is, no place in the narrative of European history for that eastern part of the Roman Empire that outlived the western part for more than 500 years. Tellingly, modern scholarship has invented for the continuation of both halves almost equally ambivalent names: the western ‘Middle Ages’, an entirely relative chronological term which acquires meaning only as a bridge between two eras worthy of a name – the Classical world and its reinvention in the Renaissance; and ‘Byzantium’, used to obscure and marginalise the identity of a civilisation that might conceivably constitute a bridge of sorts between Greco-Roman antiquity and the early modern European world. This seeming anomia became a way of fudging </w:t>
      </w:r>
      <w:r>
        <w:rPr>
          <w:rFonts w:ascii="Times New Roman" w:eastAsia="Times New Roman" w:hAnsi="Times New Roman" w:cs="Times New Roman"/>
        </w:rPr>
        <w:lastRenderedPageBreak/>
        <w:t>lineages in a way most convenient to modernity in western Europe, which is always the end point of these teleological histories.</w:t>
      </w:r>
    </w:p>
    <w:p w14:paraId="6060BD3E"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Its ‘</w:t>
      </w:r>
      <w:proofErr w:type="spellStart"/>
      <w:r>
        <w:rPr>
          <w:rFonts w:ascii="Times New Roman" w:eastAsia="Times New Roman" w:hAnsi="Times New Roman" w:cs="Times New Roman"/>
        </w:rPr>
        <w:t>Romanness</w:t>
      </w:r>
      <w:proofErr w:type="spellEnd"/>
      <w:r>
        <w:rPr>
          <w:rFonts w:ascii="Times New Roman" w:eastAsia="Times New Roman" w:hAnsi="Times New Roman" w:cs="Times New Roman"/>
        </w:rPr>
        <w:t>’ has been the most persistently contested/disregarded strand in relation to modern receptions of Byzantium, regardless of strong scholarly arguments regarding its centrality to Byzantine identity.</w:t>
      </w:r>
      <w:r>
        <w:rPr>
          <w:rFonts w:ascii="Times New Roman" w:eastAsia="Times New Roman" w:hAnsi="Times New Roman" w:cs="Times New Roman"/>
          <w:vertAlign w:val="superscript"/>
        </w:rPr>
        <w:endnoteReference w:id="10"/>
      </w:r>
      <w:r>
        <w:rPr>
          <w:rFonts w:ascii="Times New Roman" w:eastAsia="Times New Roman" w:hAnsi="Times New Roman" w:cs="Times New Roman"/>
        </w:rPr>
        <w:t xml:space="preserve"> Prominent Irish historian J.B. Bury (1861–1927) asserted that Byzantium was a fundamentally Roman civilization, contesting the idea of separation. His approach was progressive but did not gain the traction it deserved. His </w:t>
      </w:r>
      <w:r>
        <w:rPr>
          <w:rFonts w:ascii="Times New Roman" w:eastAsia="Times New Roman" w:hAnsi="Times New Roman" w:cs="Times New Roman"/>
          <w:i/>
          <w:iCs/>
        </w:rPr>
        <w:t>History of the Later Roman Empire</w:t>
      </w:r>
      <w:r>
        <w:rPr>
          <w:rFonts w:ascii="Times New Roman" w:eastAsia="Times New Roman" w:hAnsi="Times New Roman" w:cs="Times New Roman"/>
        </w:rPr>
        <w:t xml:space="preserve"> (1923) argued for the continuation of the Roman Empire – legally, institutionally and politically – by means of its eastern provinces without rupture, maintaining that the traditional historiographical division between the ‘Roman’ and ‘Byzantine’ periods was artificial and reflected modern prejudices rather than historical reality. Romanian historian Nicolae Iorga (1871–1940) challenged western European historical dominance in his influential work </w:t>
      </w:r>
      <w:proofErr w:type="spellStart"/>
      <w:r>
        <w:rPr>
          <w:rFonts w:ascii="Times New Roman" w:eastAsia="Times New Roman" w:hAnsi="Times New Roman" w:cs="Times New Roman"/>
          <w:i/>
          <w:iCs/>
        </w:rPr>
        <w:t>Byzance</w:t>
      </w:r>
      <w:proofErr w:type="spellEnd"/>
      <w:r>
        <w:rPr>
          <w:rFonts w:ascii="Times New Roman" w:eastAsia="Times New Roman" w:hAnsi="Times New Roman" w:cs="Times New Roman"/>
          <w:i/>
          <w:iCs/>
        </w:rPr>
        <w:t xml:space="preserve"> après </w:t>
      </w:r>
      <w:proofErr w:type="spellStart"/>
      <w:r>
        <w:rPr>
          <w:rFonts w:ascii="Times New Roman" w:eastAsia="Times New Roman" w:hAnsi="Times New Roman" w:cs="Times New Roman"/>
          <w:i/>
          <w:iCs/>
        </w:rPr>
        <w:t>Byzance</w:t>
      </w:r>
      <w:proofErr w:type="spellEnd"/>
      <w:r>
        <w:rPr>
          <w:rFonts w:ascii="Times New Roman" w:eastAsia="Times New Roman" w:hAnsi="Times New Roman" w:cs="Times New Roman"/>
          <w:i/>
          <w:iCs/>
        </w:rPr>
        <w:t xml:space="preserve">: Continuation de </w:t>
      </w:r>
      <w:proofErr w:type="spellStart"/>
      <w:r>
        <w:rPr>
          <w:rFonts w:ascii="Times New Roman" w:eastAsia="Times New Roman" w:hAnsi="Times New Roman" w:cs="Times New Roman"/>
          <w:i/>
          <w:iCs/>
        </w:rPr>
        <w:t>l'Histoire</w:t>
      </w:r>
      <w:proofErr w:type="spellEnd"/>
      <w:r>
        <w:rPr>
          <w:rFonts w:ascii="Times New Roman" w:eastAsia="Times New Roman" w:hAnsi="Times New Roman" w:cs="Times New Roman"/>
          <w:i/>
          <w:iCs/>
        </w:rPr>
        <w:t xml:space="preserve"> de la vie Byzantine</w:t>
      </w:r>
      <w:r>
        <w:rPr>
          <w:rFonts w:ascii="Times New Roman" w:eastAsia="Times New Roman" w:hAnsi="Times New Roman" w:cs="Times New Roman"/>
        </w:rPr>
        <w:t xml:space="preserve"> (1935), now a classic for Byzantine reception studies.</w:t>
      </w:r>
      <w:r>
        <w:rPr>
          <w:rFonts w:ascii="Times New Roman" w:eastAsia="Times New Roman" w:hAnsi="Times New Roman" w:cs="Times New Roman"/>
          <w:vertAlign w:val="superscript"/>
        </w:rPr>
        <w:endnoteReference w:id="11"/>
      </w:r>
      <w:r>
        <w:rPr>
          <w:rFonts w:ascii="Times New Roman" w:eastAsia="Times New Roman" w:hAnsi="Times New Roman" w:cs="Times New Roman"/>
        </w:rPr>
        <w:t xml:space="preserve"> Having first presented his core thesis at the 1934 Congress for Byzantine Studies in Sofia before publishing the full study in French the following year, Iorga contended that Byzantine political influence persisted long after 1453, continuing to shape the political, cultural and social development of the Wallachian and Moldavian principalities and, through them, broader European civilization. </w:t>
      </w:r>
    </w:p>
    <w:p w14:paraId="7A48E842"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Most recently, Anthony Kaldellis</w:t>
      </w:r>
      <w:r>
        <w:rPr>
          <w:rFonts w:ascii="Times New Roman" w:eastAsia="Times New Roman" w:hAnsi="Times New Roman" w:cs="Times New Roman"/>
          <w:color w:val="000000"/>
        </w:rPr>
        <w:t xml:space="preserve"> has charted in depth the denial of the </w:t>
      </w:r>
      <w:proofErr w:type="spellStart"/>
      <w:r>
        <w:rPr>
          <w:rFonts w:ascii="Times New Roman" w:eastAsia="Times New Roman" w:hAnsi="Times New Roman" w:cs="Times New Roman"/>
          <w:color w:val="000000"/>
        </w:rPr>
        <w:t>Romanness</w:t>
      </w:r>
      <w:proofErr w:type="spellEnd"/>
      <w:r>
        <w:rPr>
          <w:rFonts w:ascii="Times New Roman" w:eastAsia="Times New Roman" w:hAnsi="Times New Roman" w:cs="Times New Roman"/>
          <w:color w:val="000000"/>
        </w:rPr>
        <w:t xml:space="preserve"> of Byzantium from 800 CE onwards as necessary for the </w:t>
      </w:r>
      <w:proofErr w:type="spellStart"/>
      <w:r>
        <w:rPr>
          <w:rFonts w:ascii="Times New Roman" w:eastAsia="Times New Roman" w:hAnsi="Times New Roman" w:cs="Times New Roman"/>
          <w:i/>
          <w:iCs/>
          <w:color w:val="000000"/>
        </w:rPr>
        <w:t>translatio</w:t>
      </w:r>
      <w:proofErr w:type="spellEnd"/>
      <w:r>
        <w:rPr>
          <w:rFonts w:ascii="Times New Roman" w:eastAsia="Times New Roman" w:hAnsi="Times New Roman" w:cs="Times New Roman"/>
          <w:i/>
          <w:iCs/>
          <w:color w:val="000000"/>
        </w:rPr>
        <w:t xml:space="preserve"> </w:t>
      </w:r>
      <w:proofErr w:type="spellStart"/>
      <w:r>
        <w:rPr>
          <w:rFonts w:ascii="Times New Roman" w:eastAsia="Times New Roman" w:hAnsi="Times New Roman" w:cs="Times New Roman"/>
          <w:i/>
          <w:iCs/>
          <w:color w:val="000000"/>
        </w:rPr>
        <w:t>imperii</w:t>
      </w:r>
      <w:proofErr w:type="spellEnd"/>
      <w:r>
        <w:rPr>
          <w:rFonts w:ascii="Times New Roman" w:eastAsia="Times New Roman" w:hAnsi="Times New Roman" w:cs="Times New Roman"/>
          <w:color w:val="000000"/>
        </w:rPr>
        <w:t xml:space="preserve"> with regards the Roman legacy to western Europe, locating this form of response as starting in the medieval period</w:t>
      </w:r>
      <w:r>
        <w:rPr>
          <w:rFonts w:ascii="Times New Roman" w:eastAsia="Times New Roman" w:hAnsi="Times New Roman" w:cs="Times New Roman"/>
        </w:rPr>
        <w:t>.</w:t>
      </w:r>
      <w:r>
        <w:rPr>
          <w:rFonts w:ascii="Times New Roman" w:eastAsia="Times New Roman" w:hAnsi="Times New Roman" w:cs="Times New Roman"/>
          <w:color w:val="000000"/>
        </w:rPr>
        <w:t xml:space="preserve"> Indeed, the</w:t>
      </w:r>
      <w:r>
        <w:rPr>
          <w:rFonts w:ascii="Times New Roman" w:eastAsia="Times New Roman" w:hAnsi="Times New Roman" w:cs="Times New Roman"/>
        </w:rPr>
        <w:t xml:space="preserve"> Byzantines themselves had to defend their </w:t>
      </w:r>
      <w:proofErr w:type="spellStart"/>
      <w:r>
        <w:rPr>
          <w:rFonts w:ascii="Times New Roman" w:eastAsia="Times New Roman" w:hAnsi="Times New Roman" w:cs="Times New Roman"/>
        </w:rPr>
        <w:t>Romanness</w:t>
      </w:r>
      <w:proofErr w:type="spellEnd"/>
      <w:r>
        <w:rPr>
          <w:rFonts w:ascii="Times New Roman" w:eastAsia="Times New Roman" w:hAnsi="Times New Roman" w:cs="Times New Roman"/>
        </w:rPr>
        <w:t xml:space="preserve"> at least twice in their history. The coronation of Charlemagne as the ‘Emperor of the Romans’ by Pope Leo III on Christmas </w:t>
      </w:r>
      <w:r>
        <w:rPr>
          <w:rFonts w:ascii="Times New Roman" w:eastAsia="Times New Roman" w:hAnsi="Times New Roman" w:cs="Times New Roman"/>
        </w:rPr>
        <w:lastRenderedPageBreak/>
        <w:t xml:space="preserve">Day 800 CE created a fundamental challenge to Byzantine claims of Roman legitimacy and sparked centuries of diplomatic and ideological conflict. The eastern Romans initially refused to recognize the Carolingian imperial title, considering it barbarian pretence. However, after military conflicts and complex negotiations, the 812 Treaty of Aachen represented a compromise: the Byzantines agreed to recognize Charlemagne as ‘Emperor’ (imperator) but not as ‘Emperor of the Romans’. The Carolingian Empire and its successors (particularly the Holy Roman Empire, 962–1806) were a self-understood revival of the Roman Empire, while Byzantium maintained its self-understood position as the continued Roman Empire. These entrenched standpoints contributed to deep cultural and religious divisions between Greek Orthodox Byzantium and Latin Catholic Western Europe, contributing to the eventual Great Schism of 1054. </w:t>
      </w:r>
    </w:p>
    <w:p w14:paraId="5A032C07"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While the Holy Roman Empire claimed succession from the </w:t>
      </w:r>
      <w:r>
        <w:rPr>
          <w:rFonts w:ascii="Times New Roman" w:eastAsia="Times New Roman" w:hAnsi="Times New Roman" w:cs="Times New Roman"/>
          <w:i/>
          <w:iCs/>
        </w:rPr>
        <w:t xml:space="preserve">Imperium </w:t>
      </w:r>
      <w:proofErr w:type="spellStart"/>
      <w:r>
        <w:rPr>
          <w:rFonts w:ascii="Times New Roman" w:eastAsia="Times New Roman" w:hAnsi="Times New Roman" w:cs="Times New Roman"/>
          <w:i/>
          <w:iCs/>
        </w:rPr>
        <w:t>Romanum</w:t>
      </w:r>
      <w:proofErr w:type="spellEnd"/>
      <w:r>
        <w:rPr>
          <w:rFonts w:ascii="Times New Roman" w:eastAsia="Times New Roman" w:hAnsi="Times New Roman" w:cs="Times New Roman"/>
        </w:rPr>
        <w:t xml:space="preserve"> by means of papal coronation for the most part, to the East the Seljuk Turks who defeated the Byzantines at the Battle of Manzikert in 1071, established themselves as the Sultanate of Rum (1077–1308). Their claim to be the successors of ‘Rum’ (Rome in Arabic and Turkish) was not based on language, culture or religion but by virtue of territorial conquest of the Roman heartland of Anatolia and to a lesser extent administrative succession by means of continuing Byzantine practices including taxation systems. Their rule was largely pragmatic related to successfully establishing themselves as leaders over a new region and it was not until the later Ottoman conquest of Constantinople in 1453 that Mehmed II (1432–81) declared himself ‘Roman Emperor’ (Kayser-</w:t>
      </w:r>
      <w:proofErr w:type="spellStart"/>
      <w:r>
        <w:rPr>
          <w:rFonts w:ascii="Times New Roman" w:eastAsia="Times New Roman" w:hAnsi="Times New Roman" w:cs="Times New Roman"/>
        </w:rPr>
        <w:t>i</w:t>
      </w:r>
      <w:proofErr w:type="spellEnd"/>
      <w:r>
        <w:rPr>
          <w:rFonts w:ascii="Times New Roman" w:eastAsia="Times New Roman" w:hAnsi="Times New Roman" w:cs="Times New Roman"/>
        </w:rPr>
        <w:t xml:space="preserve"> Rum).</w:t>
      </w:r>
      <w:r>
        <w:rPr>
          <w:rFonts w:ascii="Times New Roman" w:eastAsia="Times New Roman" w:hAnsi="Times New Roman" w:cs="Times New Roman"/>
          <w:vertAlign w:val="superscript"/>
        </w:rPr>
        <w:endnoteReference w:id="12"/>
      </w:r>
      <w:r>
        <w:rPr>
          <w:rFonts w:ascii="Times New Roman" w:eastAsia="Times New Roman" w:hAnsi="Times New Roman" w:cs="Times New Roman"/>
        </w:rPr>
        <w:t xml:space="preserve"> The reception of the medieval Roman Empire started long before its fall: other cultures responded to it for the duration of its existence and thereafter.</w:t>
      </w:r>
      <w:r>
        <w:rPr>
          <w:rFonts w:ascii="Times New Roman" w:eastAsia="Times New Roman" w:hAnsi="Times New Roman" w:cs="Times New Roman"/>
          <w:vertAlign w:val="superscript"/>
        </w:rPr>
        <w:endnoteReference w:id="13"/>
      </w:r>
    </w:p>
    <w:p w14:paraId="46BCF2B7" w14:textId="77777777" w:rsidR="00944FEE" w:rsidRDefault="00944FEE" w:rsidP="00277D69">
      <w:pPr>
        <w:spacing w:after="0" w:line="480" w:lineRule="auto"/>
        <w:ind w:firstLine="720"/>
        <w:jc w:val="both"/>
        <w:rPr>
          <w:rFonts w:ascii="Times New Roman" w:eastAsia="Times New Roman" w:hAnsi="Times New Roman" w:cs="Times New Roman"/>
        </w:rPr>
      </w:pPr>
    </w:p>
    <w:p w14:paraId="59B83F14" w14:textId="77777777" w:rsidR="00277D69" w:rsidRDefault="00277D69" w:rsidP="00277D69">
      <w:pPr>
        <w:spacing w:after="0" w:line="480" w:lineRule="auto"/>
        <w:jc w:val="both"/>
        <w:rPr>
          <w:rFonts w:ascii="Times New Roman" w:eastAsia="Times New Roman" w:hAnsi="Times New Roman" w:cs="Times New Roman"/>
          <w:i/>
          <w:iCs/>
        </w:rPr>
      </w:pPr>
      <w:r>
        <w:rPr>
          <w:rFonts w:ascii="Times New Roman" w:eastAsia="Times New Roman" w:hAnsi="Times New Roman" w:cs="Times New Roman"/>
          <w:i/>
          <w:iCs/>
        </w:rPr>
        <w:lastRenderedPageBreak/>
        <w:t>Hellenic Byzantium</w:t>
      </w:r>
    </w:p>
    <w:p w14:paraId="0C58D1FD" w14:textId="77777777" w:rsidR="00277D69" w:rsidRDefault="00277D69" w:rsidP="00277D69">
      <w:pPr>
        <w:spacing w:after="0" w:line="480" w:lineRule="auto"/>
        <w:ind w:firstLine="720"/>
        <w:jc w:val="both"/>
        <w:rPr>
          <w:rFonts w:ascii="Times New Roman" w:eastAsia="Times New Roman" w:hAnsi="Times New Roman" w:cs="Times New Roman"/>
          <w:color w:val="000000"/>
        </w:rPr>
      </w:pPr>
      <w:r>
        <w:rPr>
          <w:rFonts w:ascii="Times New Roman" w:eastAsia="Times New Roman" w:hAnsi="Times New Roman" w:cs="Times New Roman"/>
        </w:rPr>
        <w:t xml:space="preserve">The </w:t>
      </w:r>
      <w:proofErr w:type="spellStart"/>
      <w:r>
        <w:rPr>
          <w:rFonts w:ascii="Times New Roman" w:eastAsia="Times New Roman" w:hAnsi="Times New Roman" w:cs="Times New Roman"/>
        </w:rPr>
        <w:t>Romanness</w:t>
      </w:r>
      <w:proofErr w:type="spellEnd"/>
      <w:r>
        <w:rPr>
          <w:rFonts w:ascii="Times New Roman" w:eastAsia="Times New Roman" w:hAnsi="Times New Roman" w:cs="Times New Roman"/>
        </w:rPr>
        <w:t xml:space="preserve"> of the Byzantine Empire has been identified as only one of the pillars that defined the medieval Roman Empire throughout its existence and in the continuing response since then as an entity that was largely</w:t>
      </w:r>
      <w:r>
        <w:rPr>
          <w:rFonts w:ascii="Times New Roman" w:eastAsia="Times New Roman" w:hAnsi="Times New Roman" w:cs="Times New Roman"/>
          <w:color w:val="000000"/>
        </w:rPr>
        <w:t xml:space="preserve"> “hellenophone in its intellectual production, Roman in administration and Christian in its birth.”</w:t>
      </w:r>
      <w:r>
        <w:rPr>
          <w:rFonts w:ascii="Times New Roman" w:eastAsia="Times New Roman" w:hAnsi="Times New Roman" w:cs="Times New Roman"/>
          <w:color w:val="000000"/>
          <w:vertAlign w:val="superscript"/>
        </w:rPr>
        <w:endnoteReference w:id="14"/>
      </w:r>
      <w:r>
        <w:rPr>
          <w:rFonts w:ascii="Times New Roman" w:eastAsia="Times New Roman" w:hAnsi="Times New Roman" w:cs="Times New Roman"/>
          <w:color w:val="000000"/>
        </w:rPr>
        <w:t xml:space="preserve"> From these perceived characteristics there emerged other </w:t>
      </w:r>
      <w:r>
        <w:rPr>
          <w:rFonts w:ascii="Times New Roman" w:eastAsia="Times New Roman" w:hAnsi="Times New Roman" w:cs="Times New Roman"/>
        </w:rPr>
        <w:t>names for this empire and its people.</w:t>
      </w:r>
      <w:r>
        <w:rPr>
          <w:rFonts w:ascii="Times New Roman" w:eastAsia="Times New Roman" w:hAnsi="Times New Roman" w:cs="Times New Roman"/>
          <w:vertAlign w:val="superscript"/>
        </w:rPr>
        <w:endnoteReference w:id="15"/>
      </w:r>
      <w:r>
        <w:rPr>
          <w:rFonts w:ascii="Times New Roman" w:eastAsia="Times New Roman" w:hAnsi="Times New Roman" w:cs="Times New Roman"/>
        </w:rPr>
        <w:t xml:space="preserve"> The imprecise ethnolinguistic appellation ‘the Empire of the Greeks’ had been used in the medieval West and early modernity precisely because it allowed western Europe to situate itself as the heir of Rome from the time of Charlemagne, but this title became increasingly problematic in the wake of Greek irredentism following the Greek War of Independence from the Ottomans (1821–32) and increasing tensions around the Crimean War (1853–6).</w:t>
      </w:r>
      <w:r>
        <w:rPr>
          <w:rFonts w:ascii="Times New Roman" w:eastAsia="Times New Roman" w:hAnsi="Times New Roman" w:cs="Times New Roman"/>
          <w:vertAlign w:val="superscript"/>
        </w:rPr>
        <w:endnoteReference w:id="16"/>
      </w:r>
    </w:p>
    <w:p w14:paraId="467C83B8" w14:textId="71969359"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This poses the question of how the Byzantines, who identified as Romans for the duration of the empire, considered themselves in relation to the Greek language and legacy since it is arguable that they consciously revived Hellenic elements within their culture at times.</w:t>
      </w:r>
      <w:r>
        <w:rPr>
          <w:rFonts w:ascii="Times New Roman" w:eastAsia="Times New Roman" w:hAnsi="Times New Roman" w:cs="Times New Roman"/>
          <w:vertAlign w:val="superscript"/>
        </w:rPr>
        <w:endnoteReference w:id="17"/>
      </w:r>
      <w:r>
        <w:rPr>
          <w:rFonts w:ascii="Times New Roman" w:eastAsia="Times New Roman" w:hAnsi="Times New Roman" w:cs="Times New Roman"/>
        </w:rPr>
        <w:t xml:space="preserve"> Greek language and literature formed a crucial component of eastern Roman cultural identity. Greek had been the </w:t>
      </w:r>
      <w:r>
        <w:rPr>
          <w:rFonts w:ascii="Times New Roman" w:eastAsia="Times New Roman" w:hAnsi="Times New Roman" w:cs="Times New Roman"/>
          <w:i/>
          <w:iCs/>
        </w:rPr>
        <w:t>lingua franca</w:t>
      </w:r>
      <w:r>
        <w:rPr>
          <w:rFonts w:ascii="Times New Roman" w:eastAsia="Times New Roman" w:hAnsi="Times New Roman" w:cs="Times New Roman"/>
        </w:rPr>
        <w:t xml:space="preserve"> of the eastern portions of the Roman Empire, but it gradually replaced Latin as the ‘official’ language of the empire, a shift that was unavoidably reinforced by territorial contraction. A fundamental shift occurred in relation to Byzantine </w:t>
      </w:r>
      <w:proofErr w:type="spellStart"/>
      <w:r>
        <w:rPr>
          <w:rFonts w:ascii="Times New Roman" w:eastAsia="Times New Roman" w:hAnsi="Times New Roman" w:cs="Times New Roman"/>
          <w:i/>
          <w:iCs/>
        </w:rPr>
        <w:t>Romanitas</w:t>
      </w:r>
      <w:proofErr w:type="spellEnd"/>
      <w:r>
        <w:rPr>
          <w:rFonts w:ascii="Times New Roman" w:eastAsia="Times New Roman" w:hAnsi="Times New Roman" w:cs="Times New Roman"/>
          <w:i/>
          <w:iCs/>
        </w:rPr>
        <w:t xml:space="preserve"> </w:t>
      </w:r>
      <w:r>
        <w:rPr>
          <w:rFonts w:ascii="Times New Roman" w:eastAsia="Times New Roman" w:hAnsi="Times New Roman" w:cs="Times New Roman"/>
        </w:rPr>
        <w:t xml:space="preserve">with the traumatic sack of Constantinople in 1204: in elite circles a reactive emphasis on Hellenic ethnocultural identity emerged that </w:t>
      </w:r>
      <w:r w:rsidR="00944FEE">
        <w:rPr>
          <w:rFonts w:ascii="Times New Roman" w:eastAsia="Times New Roman" w:hAnsi="Times New Roman" w:cs="Times New Roman"/>
        </w:rPr>
        <w:t>gained momentum during the Palai</w:t>
      </w:r>
      <w:r>
        <w:rPr>
          <w:rFonts w:ascii="Times New Roman" w:eastAsia="Times New Roman" w:hAnsi="Times New Roman" w:cs="Times New Roman"/>
        </w:rPr>
        <w:t xml:space="preserve">ologan Renaissance. By the late thirteenth century, the empire consisted almost exclusively of territories inhabited by Greek speakers since Antiquity which contributed to this reorientation. Theodore Laskaris (c. 1174–1221/2), emperor of </w:t>
      </w:r>
      <w:proofErr w:type="spellStart"/>
      <w:r>
        <w:rPr>
          <w:rFonts w:ascii="Times New Roman" w:eastAsia="Times New Roman" w:hAnsi="Times New Roman" w:cs="Times New Roman"/>
        </w:rPr>
        <w:t>Nicea</w:t>
      </w:r>
      <w:proofErr w:type="spellEnd"/>
      <w:r>
        <w:rPr>
          <w:rFonts w:ascii="Times New Roman" w:eastAsia="Times New Roman" w:hAnsi="Times New Roman" w:cs="Times New Roman"/>
        </w:rPr>
        <w:t xml:space="preserve">, was the most prominent supporter of a Hellenic revival in the </w:t>
      </w:r>
      <w:r>
        <w:rPr>
          <w:rFonts w:ascii="Times New Roman" w:eastAsia="Times New Roman" w:hAnsi="Times New Roman" w:cs="Times New Roman"/>
        </w:rPr>
        <w:lastRenderedPageBreak/>
        <w:t xml:space="preserve">thirteenth century, but the most well-known advocate is possibly George </w:t>
      </w:r>
      <w:proofErr w:type="spellStart"/>
      <w:r>
        <w:rPr>
          <w:rFonts w:ascii="Times New Roman" w:eastAsia="Times New Roman" w:hAnsi="Times New Roman" w:cs="Times New Roman"/>
        </w:rPr>
        <w:t>Gemistos</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Plethon</w:t>
      </w:r>
      <w:proofErr w:type="spellEnd"/>
      <w:r>
        <w:rPr>
          <w:rFonts w:ascii="Times New Roman" w:eastAsia="Times New Roman" w:hAnsi="Times New Roman" w:cs="Times New Roman"/>
        </w:rPr>
        <w:t xml:space="preserve"> (c. 1355–1452), who proposed a reborn Byzantine Empire following a utopian Hellenic system of government </w:t>
      </w:r>
      <w:r w:rsidR="000E02BD">
        <w:rPr>
          <w:rFonts w:ascii="Times New Roman" w:eastAsia="Times New Roman" w:hAnsi="Times New Roman" w:cs="Times New Roman"/>
        </w:rPr>
        <w:t>centred</w:t>
      </w:r>
      <w:r>
        <w:rPr>
          <w:rFonts w:ascii="Times New Roman" w:eastAsia="Times New Roman" w:hAnsi="Times New Roman" w:cs="Times New Roman"/>
        </w:rPr>
        <w:t xml:space="preserve"> in </w:t>
      </w:r>
      <w:proofErr w:type="spellStart"/>
      <w:r>
        <w:rPr>
          <w:rFonts w:ascii="Times New Roman" w:eastAsia="Times New Roman" w:hAnsi="Times New Roman" w:cs="Times New Roman"/>
        </w:rPr>
        <w:t>Mystras</w:t>
      </w:r>
      <w:proofErr w:type="spellEnd"/>
      <w:r>
        <w:rPr>
          <w:rFonts w:ascii="Times New Roman" w:eastAsia="Times New Roman" w:hAnsi="Times New Roman" w:cs="Times New Roman"/>
        </w:rPr>
        <w:t>.</w:t>
      </w:r>
      <w:r>
        <w:rPr>
          <w:rFonts w:ascii="Times New Roman" w:eastAsia="Times New Roman" w:hAnsi="Times New Roman" w:cs="Times New Roman"/>
          <w:vertAlign w:val="superscript"/>
        </w:rPr>
        <w:endnoteReference w:id="18"/>
      </w:r>
      <w:r>
        <w:rPr>
          <w:rFonts w:ascii="Times New Roman" w:eastAsia="Times New Roman" w:hAnsi="Times New Roman" w:cs="Times New Roman"/>
        </w:rPr>
        <w:t xml:space="preserve"> Rhetorical expressions of Hellenic identity were largely confined to a very small circle without much wider impact so that it remained an intellectual phenomenon rather than a popular movement. </w:t>
      </w:r>
    </w:p>
    <w:p w14:paraId="31D5F526" w14:textId="77777777" w:rsidR="00277D69" w:rsidRDefault="00277D69" w:rsidP="00277D69">
      <w:pPr>
        <w:spacing w:after="0" w:line="480" w:lineRule="auto"/>
        <w:ind w:firstLine="720"/>
        <w:jc w:val="both"/>
        <w:rPr>
          <w:rFonts w:ascii="Arial" w:eastAsia="Arial" w:hAnsi="Arial" w:cs="Arial"/>
        </w:rPr>
      </w:pPr>
      <w:r>
        <w:rPr>
          <w:rFonts w:ascii="Times New Roman" w:eastAsia="Times New Roman" w:hAnsi="Times New Roman" w:cs="Times New Roman"/>
        </w:rPr>
        <w:t>The empire of the Byzantines thus exhibited cultural processes that modern scholarship would define as ‘response’, especially as regards their Greco-Roman, later Hellenic, past. During perhaps the most important of these, the so-called Macedonian Renaissance, the Byzantines creatively used artistic iconographies and styles from Classical art to a greater extent and reproduced, classified and categorised key works of Greco-Roman literature. As Robin Cormack has argued, the reference to ‘rebirth’ (</w:t>
      </w:r>
      <w:proofErr w:type="spellStart"/>
      <w:r>
        <w:rPr>
          <w:rFonts w:ascii="Times New Roman" w:eastAsia="Times New Roman" w:hAnsi="Times New Roman" w:cs="Times New Roman"/>
          <w:i/>
          <w:iCs/>
        </w:rPr>
        <w:t>palingenesia</w:t>
      </w:r>
      <w:proofErr w:type="spellEnd"/>
      <w:r>
        <w:rPr>
          <w:rFonts w:ascii="Times New Roman" w:eastAsia="Times New Roman" w:hAnsi="Times New Roman" w:cs="Times New Roman"/>
        </w:rPr>
        <w:t>) in texts of the time implies a certain degree of self-awareness in relation to this use of models from classical antiquity.</w:t>
      </w:r>
      <w:r>
        <w:rPr>
          <w:rFonts w:ascii="Times New Roman" w:eastAsia="Times New Roman" w:hAnsi="Times New Roman" w:cs="Times New Roman"/>
          <w:vertAlign w:val="superscript"/>
        </w:rPr>
        <w:endnoteReference w:id="19"/>
      </w:r>
      <w:r>
        <w:rPr>
          <w:rFonts w:ascii="Times New Roman" w:eastAsia="Times New Roman" w:hAnsi="Times New Roman" w:cs="Times New Roman"/>
        </w:rPr>
        <w:t xml:space="preserve"> Despite the ambiguity of the mechanisms that generated this reception, and the fact that there is no comparison between it and the intensity and scale of the European sixteenth-century Renaissance, there is certainly grounds for talking about reception and revival rather than continuity/survival. The reappropriation of the Greco-Roman past was consciously practised as an indispensable part of Byzantium’s cultural identity.</w:t>
      </w:r>
    </w:p>
    <w:p w14:paraId="782A7B55"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The Byzantine Empire served as the principal preserver of classical Greek texts throughout the medieval period, ultimately transmitting this literary heritage to western Europe both directly – particularly after 1453, when refugee scholars fled Constantinople carrying manuscripts westward – and indirectly through the Arab-Islamic intellectual tradition. The focus, however, has been almost exclusively on Byzantium as a surrogate of Greek texts to western Europe with the implication being that they preserved what rightfully belonged to the West, </w:t>
      </w:r>
      <w:r>
        <w:rPr>
          <w:rFonts w:ascii="Times New Roman" w:eastAsia="Times New Roman" w:hAnsi="Times New Roman" w:cs="Times New Roman"/>
        </w:rPr>
        <w:lastRenderedPageBreak/>
        <w:t>rather than the commentaries that the Byzantines produced having shaped the classical corpus and tradition. Regardless, the relative ‘Greekness’ of Byzantine identity has indelibly informed many modern responses, a theme threaded throughout this Handbook.</w:t>
      </w:r>
      <w:r>
        <w:rPr>
          <w:rFonts w:ascii="Times New Roman" w:eastAsia="Times New Roman" w:hAnsi="Times New Roman" w:cs="Times New Roman"/>
          <w:vertAlign w:val="superscript"/>
        </w:rPr>
        <w:endnoteReference w:id="20"/>
      </w:r>
    </w:p>
    <w:p w14:paraId="10CA657E" w14:textId="77777777" w:rsidR="00944FEE" w:rsidRDefault="00944FEE" w:rsidP="00277D69">
      <w:pPr>
        <w:spacing w:after="0" w:line="480" w:lineRule="auto"/>
        <w:ind w:firstLine="720"/>
        <w:jc w:val="both"/>
        <w:rPr>
          <w:rFonts w:ascii="Times New Roman" w:eastAsia="Times New Roman" w:hAnsi="Times New Roman" w:cs="Times New Roman"/>
        </w:rPr>
      </w:pPr>
    </w:p>
    <w:p w14:paraId="3FA43EC2" w14:textId="77777777" w:rsidR="00277D69" w:rsidRDefault="00277D69" w:rsidP="00277D69">
      <w:pPr>
        <w:spacing w:after="0" w:line="480" w:lineRule="auto"/>
        <w:jc w:val="both"/>
        <w:rPr>
          <w:rFonts w:ascii="Times New Roman" w:eastAsia="Times New Roman" w:hAnsi="Times New Roman" w:cs="Times New Roman"/>
          <w:i/>
          <w:iCs/>
        </w:rPr>
      </w:pPr>
      <w:r>
        <w:rPr>
          <w:rFonts w:ascii="Times New Roman" w:eastAsia="Times New Roman" w:hAnsi="Times New Roman" w:cs="Times New Roman"/>
          <w:i/>
          <w:iCs/>
        </w:rPr>
        <w:t>Orthodox Byzantium</w:t>
      </w:r>
    </w:p>
    <w:p w14:paraId="1B0863DB"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Byzantine religious identity is another major pillar that has fundamentally informed modern responses. Byzantine religious life was far more complex and heterogeneous than often perceived. It was dominated and defined by geographies and periods of significant religious controversy and theological debate over issues such as Arianism, the Monophysite and Monothelite disputes, Iconoclasm and later Hesychasm, as well as significant variations in practice and monastic diversity. Religion and politics were also inextricably intertwined in Byzantium, representing a fundamental evolution of Roman inheritance beginning with Constantine. Emperors were expected to defend the faith, convene church councils and ensure doctrinal purity, while religious disputes like Icono</w:t>
      </w:r>
      <w:r w:rsidR="00944FEE">
        <w:rPr>
          <w:rFonts w:ascii="Times New Roman" w:eastAsia="Times New Roman" w:hAnsi="Times New Roman" w:cs="Times New Roman"/>
        </w:rPr>
        <w:t xml:space="preserve">clasm or the </w:t>
      </w:r>
      <w:r w:rsidR="00944FEE" w:rsidRPr="00944FEE">
        <w:rPr>
          <w:rFonts w:ascii="Times New Roman" w:eastAsia="Times New Roman" w:hAnsi="Times New Roman" w:cs="Times New Roman"/>
          <w:i/>
        </w:rPr>
        <w:t>f</w:t>
      </w:r>
      <w:r w:rsidRPr="00944FEE">
        <w:rPr>
          <w:rFonts w:ascii="Times New Roman" w:eastAsia="Times New Roman" w:hAnsi="Times New Roman" w:cs="Times New Roman"/>
          <w:i/>
        </w:rPr>
        <w:t>ilioque</w:t>
      </w:r>
      <w:r>
        <w:rPr>
          <w:rFonts w:ascii="Times New Roman" w:eastAsia="Times New Roman" w:hAnsi="Times New Roman" w:cs="Times New Roman"/>
        </w:rPr>
        <w:t xml:space="preserve"> controversy and disagreement over monastic practices, such as seeking divine quietness (</w:t>
      </w:r>
      <w:proofErr w:type="spellStart"/>
      <w:r>
        <w:rPr>
          <w:rFonts w:ascii="Times New Roman" w:eastAsia="Times New Roman" w:hAnsi="Times New Roman" w:cs="Times New Roman"/>
          <w:i/>
          <w:iCs/>
        </w:rPr>
        <w:t>hesychia</w:t>
      </w:r>
      <w:proofErr w:type="spellEnd"/>
      <w:r>
        <w:rPr>
          <w:rFonts w:ascii="Times New Roman" w:eastAsia="Times New Roman" w:hAnsi="Times New Roman" w:cs="Times New Roman"/>
        </w:rPr>
        <w:t>) through prayer, became matters of imperial policy and dynastic survival. This intricate intertwining of religion and politics has informed later Byzantine responses too: religious identity has profoundly shaped modern receptions of Byzantium and its image, many of which have been intricately connected to political expedience and the vicissitudes of national consciousness.</w:t>
      </w:r>
    </w:p>
    <w:p w14:paraId="2BEB980F" w14:textId="77777777" w:rsidR="00944FEE" w:rsidRDefault="00944FEE" w:rsidP="00277D69">
      <w:pPr>
        <w:spacing w:after="0" w:line="480" w:lineRule="auto"/>
        <w:ind w:firstLine="720"/>
        <w:jc w:val="both"/>
        <w:rPr>
          <w:rFonts w:ascii="Times New Roman" w:eastAsia="Times New Roman" w:hAnsi="Times New Roman" w:cs="Times New Roman"/>
        </w:rPr>
      </w:pPr>
    </w:p>
    <w:p w14:paraId="08354694" w14:textId="77777777" w:rsidR="00277D69" w:rsidRDefault="00277D69" w:rsidP="00277D69">
      <w:pPr>
        <w:spacing w:after="0" w:line="480" w:lineRule="auto"/>
        <w:jc w:val="both"/>
        <w:rPr>
          <w:rFonts w:ascii="Times New Roman" w:eastAsia="Times New Roman" w:hAnsi="Times New Roman" w:cs="Times New Roman"/>
          <w:i/>
          <w:iCs/>
        </w:rPr>
      </w:pPr>
      <w:r>
        <w:rPr>
          <w:rFonts w:ascii="Times New Roman" w:eastAsia="Times New Roman" w:hAnsi="Times New Roman" w:cs="Times New Roman"/>
          <w:i/>
          <w:iCs/>
        </w:rPr>
        <w:t>Byzantium and its Image</w:t>
      </w:r>
    </w:p>
    <w:p w14:paraId="7EE1480B"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Frequently omitted from the major ‘pillars’ perceived as defining the original Byzantine identity, or subsumed and obscured within its Orthodoxy, is perhaps one of the most important </w:t>
      </w:r>
      <w:r>
        <w:rPr>
          <w:rFonts w:ascii="Times New Roman" w:eastAsia="Times New Roman" w:hAnsi="Times New Roman" w:cs="Times New Roman"/>
        </w:rPr>
        <w:lastRenderedPageBreak/>
        <w:t>elements for understanding eastern Roman society and its response: its visual and built culture, which in fact dominates most modern receptions of Byzantium.</w:t>
      </w:r>
      <w:r>
        <w:rPr>
          <w:rFonts w:ascii="Times New Roman" w:eastAsia="Times New Roman" w:hAnsi="Times New Roman" w:cs="Times New Roman"/>
          <w:vertAlign w:val="superscript"/>
        </w:rPr>
        <w:endnoteReference w:id="21"/>
      </w:r>
      <w:r>
        <w:rPr>
          <w:rFonts w:ascii="Times New Roman" w:eastAsia="Times New Roman" w:hAnsi="Times New Roman" w:cs="Times New Roman"/>
        </w:rPr>
        <w:t xml:space="preserve"> As Glenn Peers notes in this volume, the image is “the primary means by which Byzantine paradigms have arrived for us”. Its immediately identifiable visual and architectural culture has in fact come to determine most understandings and awareness of Byzantine identity across the globe. Though evolving out of the visual and built culture of Greco-Roman antiquity (though the extent to which they continued this legacy vs. ruptured/revived it has been a point of scholarly debate), this aspect of ‘Byzantine’ identity has been seminal for most engagements, responses and reproductions of Byzantine culture from long before the fall of Constantinople but especially in the modern period.</w:t>
      </w:r>
      <w:r>
        <w:rPr>
          <w:rFonts w:ascii="Times New Roman" w:eastAsia="Times New Roman" w:hAnsi="Times New Roman" w:cs="Times New Roman"/>
          <w:vertAlign w:val="superscript"/>
        </w:rPr>
        <w:endnoteReference w:id="22"/>
      </w:r>
      <w:r>
        <w:rPr>
          <w:rFonts w:ascii="Times New Roman" w:eastAsia="Times New Roman" w:hAnsi="Times New Roman" w:cs="Times New Roman"/>
        </w:rPr>
        <w:t xml:space="preserve"> Correspondingly, a large part of the Handbook focuses on responses in this area. Robert Nelson charts the almost global nature of Byzantine architectural revival, as opposed to survival, from Liverpool, Kingston, Jamaica, Tbilisi, Sofia, London, Athens and Paris and beyond, from the nineteenth century to the present, which employed Byzantine architecture for a variety of religious, political and social reasons to make statements about the present by means of the past.</w:t>
      </w:r>
    </w:p>
    <w:p w14:paraId="2395DB9D" w14:textId="77777777" w:rsidR="00944FEE" w:rsidRDefault="00944FEE" w:rsidP="00277D69">
      <w:pPr>
        <w:spacing w:after="0" w:line="480" w:lineRule="auto"/>
        <w:ind w:firstLine="720"/>
        <w:jc w:val="both"/>
        <w:rPr>
          <w:rFonts w:ascii="Times New Roman" w:eastAsia="Times New Roman" w:hAnsi="Times New Roman" w:cs="Times New Roman"/>
        </w:rPr>
      </w:pPr>
    </w:p>
    <w:p w14:paraId="4716D533" w14:textId="77777777" w:rsidR="00277D69" w:rsidRDefault="00277D69"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i/>
          <w:iCs/>
        </w:rPr>
        <w:t>Forgotten ‘Pillars’ of Byzantium</w:t>
      </w:r>
    </w:p>
    <w:p w14:paraId="51FDE416"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The Handbook explores responses to these ‘pillars’ of Byzantine identity and others that have been disregarded, such as the Byzantine influence in European legal systems, especially those of France, Germany and Greece. </w:t>
      </w:r>
      <w:proofErr w:type="spellStart"/>
      <w:r>
        <w:rPr>
          <w:rFonts w:ascii="Times New Roman" w:eastAsia="Times New Roman" w:hAnsi="Times New Roman" w:cs="Times New Roman"/>
        </w:rPr>
        <w:t>Caroula</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Argyriadis-Cervegan</w:t>
      </w:r>
      <w:proofErr w:type="spellEnd"/>
      <w:r>
        <w:rPr>
          <w:rFonts w:ascii="Times New Roman" w:eastAsia="Times New Roman" w:hAnsi="Times New Roman" w:cs="Times New Roman"/>
        </w:rPr>
        <w:t xml:space="preserve"> in her essay explores the engagement with Byzantine legal sources which proved particularly complex and varied in the nineteenth century. Byzantine law was analysed from a philosophical and historical perspective in France; in Germany it was subject to in-depth analyses and notable publications/re-editions of key Byzantine legal texts, while in the independent Greek state the </w:t>
      </w:r>
      <w:proofErr w:type="spellStart"/>
      <w:r>
        <w:rPr>
          <w:rFonts w:ascii="Times New Roman" w:eastAsia="Times New Roman" w:hAnsi="Times New Roman" w:cs="Times New Roman"/>
          <w:i/>
          <w:iCs/>
        </w:rPr>
        <w:t>Hexabiblos</w:t>
      </w:r>
      <w:proofErr w:type="spellEnd"/>
      <w:r>
        <w:rPr>
          <w:rFonts w:ascii="Times New Roman" w:eastAsia="Times New Roman" w:hAnsi="Times New Roman" w:cs="Times New Roman"/>
        </w:rPr>
        <w:t xml:space="preserve"> of </w:t>
      </w:r>
      <w:proofErr w:type="spellStart"/>
      <w:r>
        <w:rPr>
          <w:rFonts w:ascii="Times New Roman" w:eastAsia="Times New Roman" w:hAnsi="Times New Roman" w:cs="Times New Roman"/>
        </w:rPr>
        <w:t>Armenopoulos</w:t>
      </w:r>
      <w:proofErr w:type="spellEnd"/>
      <w:r>
        <w:rPr>
          <w:rFonts w:ascii="Times New Roman" w:eastAsia="Times New Roman" w:hAnsi="Times New Roman" w:cs="Times New Roman"/>
        </w:rPr>
        <w:t xml:space="preserve"> </w:t>
      </w:r>
      <w:r>
        <w:rPr>
          <w:rFonts w:ascii="Times New Roman" w:eastAsia="Times New Roman" w:hAnsi="Times New Roman" w:cs="Times New Roman"/>
        </w:rPr>
        <w:lastRenderedPageBreak/>
        <w:t xml:space="preserve">was originally established as the official legal system. Beyond texts, art and architecture, we highlight areas of cultural contribution that Byzantium has made to Europe which have been overlooked. Nikos </w:t>
      </w:r>
      <w:proofErr w:type="spellStart"/>
      <w:r>
        <w:rPr>
          <w:rFonts w:ascii="Times New Roman" w:eastAsia="Times New Roman" w:hAnsi="Times New Roman" w:cs="Times New Roman"/>
        </w:rPr>
        <w:t>Maliaras</w:t>
      </w:r>
      <w:proofErr w:type="spellEnd"/>
      <w:r>
        <w:rPr>
          <w:rFonts w:ascii="Times New Roman" w:eastAsia="Times New Roman" w:hAnsi="Times New Roman" w:cs="Times New Roman"/>
        </w:rPr>
        <w:t xml:space="preserve"> argues for Byzantium’s role in the continuation, evolution and transfer of Roman musical instruments, which were developed both technically and in terms of evolving uses in new Christian contexts. These instruments were ultimately transmitted to the West and to Islamic cultures. This Byzantine inheritance developed into some of the most significant instruments still central to European culture today, such as the organ and violin. </w:t>
      </w:r>
    </w:p>
    <w:p w14:paraId="142402AD" w14:textId="77777777" w:rsidR="00277D69" w:rsidRDefault="00277D69" w:rsidP="00324867">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Over the long period between 330 and 1453 what it meant to be a part of the Roman Empire naturally evolved as faith, language, geographical borders, institutions and administrative processes as well as material and visual culture evolved and intersected in complex ways. It is precisely the rich diversity of this ‘orphaned’ empire that has opened up the possibility of the most remarkable and creative adaptations of its perceived pillars and the emergence of various ‘heirs’ who claim Byzantium as their own in very different ways. The invention of ‘Byzantium’ in the modern period, whether envisaged as survival or loosely revived for present purposes, remains a phenomenon for study in its own right. The studies of this Handbook demonstrate more than anything that Byzantium is still available, its uses and misuses reflecting our present.</w:t>
      </w:r>
    </w:p>
    <w:p w14:paraId="448762CA" w14:textId="77777777" w:rsidR="00324867" w:rsidRDefault="00324867" w:rsidP="00324867">
      <w:pPr>
        <w:spacing w:after="0" w:line="480" w:lineRule="auto"/>
        <w:ind w:firstLine="720"/>
        <w:jc w:val="both"/>
        <w:rPr>
          <w:rFonts w:ascii="Times New Roman" w:eastAsia="Times New Roman" w:hAnsi="Times New Roman" w:cs="Times New Roman"/>
        </w:rPr>
      </w:pPr>
    </w:p>
    <w:p w14:paraId="18E5C537" w14:textId="77777777" w:rsidR="00277D69" w:rsidRDefault="00277D69" w:rsidP="00277D69">
      <w:pPr>
        <w:spacing w:after="0" w:line="480" w:lineRule="auto"/>
        <w:rPr>
          <w:rFonts w:ascii="Times New Roman" w:eastAsia="Times New Roman" w:hAnsi="Times New Roman" w:cs="Times New Roman"/>
          <w:b/>
          <w:bCs/>
        </w:rPr>
      </w:pPr>
      <w:r>
        <w:rPr>
          <w:rFonts w:ascii="Times New Roman" w:eastAsia="Times New Roman" w:hAnsi="Times New Roman" w:cs="Times New Roman"/>
          <w:b/>
          <w:bCs/>
        </w:rPr>
        <w:t>‘In my end is my beginning’: the birth of countless</w:t>
      </w:r>
      <w:r>
        <w:rPr>
          <w:rFonts w:ascii="Times New Roman" w:eastAsia="Times New Roman" w:hAnsi="Times New Roman" w:cs="Times New Roman"/>
          <w:b/>
          <w:bCs/>
          <w:i/>
          <w:iCs/>
        </w:rPr>
        <w:t xml:space="preserve"> Byzantinisms </w:t>
      </w:r>
    </w:p>
    <w:p w14:paraId="41CB7CB0"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Birthed from Byzantium, the abstract noun ‘Byzantinism’ now exists in the English language to refer to both the characteristics, practices or systems of the historical empire and their continuation. It was coined in the nineteenth century to describe the Empire and its spiritual successors, but also defective political processes and cultures more generally.</w:t>
      </w:r>
      <w:r>
        <w:rPr>
          <w:rFonts w:ascii="Times New Roman" w:eastAsia="Times New Roman" w:hAnsi="Times New Roman" w:cs="Times New Roman"/>
          <w:vertAlign w:val="superscript"/>
        </w:rPr>
        <w:endnoteReference w:id="23"/>
      </w:r>
      <w:r>
        <w:rPr>
          <w:rFonts w:ascii="Times New Roman" w:eastAsia="Times New Roman" w:hAnsi="Times New Roman" w:cs="Times New Roman"/>
        </w:rPr>
        <w:t xml:space="preserve"> It is also used as a vague technical term to refer to artistic and even literary styles in modern cultures, but even </w:t>
      </w:r>
      <w:r>
        <w:rPr>
          <w:rFonts w:ascii="Times New Roman" w:eastAsia="Times New Roman" w:hAnsi="Times New Roman" w:cs="Times New Roman"/>
        </w:rPr>
        <w:lastRenderedPageBreak/>
        <w:t>that legacy has grown from a place of derision since its early use by figures like H. H. Milman in 1855, who was deeply indebted to the work of Edward Gibbon (1737–1794) and his characterization of Roman history. Milman used it to describe Giotto di Bondone’s (c. 1267–1337) artistic liberation, which heralded the beginning of the ‘Renaissance’ – the glorious resurrection of Greco-Roman classicism after the dark ages, epitomized by Milman as “the last trammels of Byzantinism”.</w:t>
      </w:r>
      <w:r>
        <w:rPr>
          <w:rFonts w:ascii="Times New Roman" w:eastAsia="Times New Roman" w:hAnsi="Times New Roman" w:cs="Times New Roman"/>
          <w:vertAlign w:val="superscript"/>
        </w:rPr>
        <w:endnoteReference w:id="24"/>
      </w:r>
      <w:r>
        <w:rPr>
          <w:rFonts w:ascii="Times New Roman" w:eastAsia="Times New Roman" w:hAnsi="Times New Roman" w:cs="Times New Roman"/>
        </w:rPr>
        <w:t xml:space="preserve"> A derivative of the adjective Byzantine, the -is</w:t>
      </w:r>
      <w:r w:rsidR="00324867">
        <w:rPr>
          <w:rFonts w:ascii="Times New Roman" w:eastAsia="Times New Roman" w:hAnsi="Times New Roman" w:cs="Times New Roman"/>
        </w:rPr>
        <w:t>m implies a level of essentializ</w:t>
      </w:r>
      <w:r>
        <w:rPr>
          <w:rFonts w:ascii="Times New Roman" w:eastAsia="Times New Roman" w:hAnsi="Times New Roman" w:cs="Times New Roman"/>
        </w:rPr>
        <w:t>ing interpretation at play.</w:t>
      </w:r>
      <w:r>
        <w:rPr>
          <w:rFonts w:ascii="Times New Roman" w:eastAsia="Times New Roman" w:hAnsi="Times New Roman" w:cs="Times New Roman"/>
          <w:vertAlign w:val="superscript"/>
        </w:rPr>
        <w:endnoteReference w:id="25"/>
      </w:r>
      <w:r>
        <w:rPr>
          <w:rFonts w:ascii="Times New Roman" w:eastAsia="Times New Roman" w:hAnsi="Times New Roman" w:cs="Times New Roman"/>
        </w:rPr>
        <w:t xml:space="preserve"> We lack a cohesive definition of its correlative ‘Neo-Byzantinism’. Although ‘Neo-Medievalism’ was coined as a technical term in 1977 by Hedley Dull largely to describe the invocation of a simulacrum of the Medieval, ‘Neo-Byzantinism’ seems to have been a derivative of the term ‘Neo-Byzantine’, which was initially used to describe the active and creative engagement with Byzantine culture after the mid-nineteenth century.</w:t>
      </w:r>
      <w:r>
        <w:rPr>
          <w:rFonts w:ascii="Times New Roman" w:eastAsia="Times New Roman" w:hAnsi="Times New Roman" w:cs="Times New Roman"/>
          <w:vertAlign w:val="superscript"/>
        </w:rPr>
        <w:endnoteReference w:id="26"/>
      </w:r>
      <w:r>
        <w:rPr>
          <w:rFonts w:ascii="Times New Roman" w:eastAsia="Times New Roman" w:hAnsi="Times New Roman" w:cs="Times New Roman"/>
        </w:rPr>
        <w:t xml:space="preserve"> This is discussed further below. </w:t>
      </w:r>
    </w:p>
    <w:p w14:paraId="367B3E22" w14:textId="77777777" w:rsidR="00324867" w:rsidRDefault="00324867" w:rsidP="00277D69">
      <w:pPr>
        <w:spacing w:after="0" w:line="480" w:lineRule="auto"/>
        <w:ind w:firstLine="720"/>
        <w:jc w:val="both"/>
        <w:rPr>
          <w:rFonts w:ascii="Times New Roman" w:eastAsia="Times New Roman" w:hAnsi="Times New Roman" w:cs="Times New Roman"/>
        </w:rPr>
      </w:pPr>
    </w:p>
    <w:p w14:paraId="310B8228" w14:textId="77777777" w:rsidR="00277D69" w:rsidRDefault="00277D69" w:rsidP="00277D69">
      <w:pPr>
        <w:spacing w:after="0" w:line="480" w:lineRule="auto"/>
        <w:jc w:val="both"/>
        <w:rPr>
          <w:rFonts w:ascii="Times New Roman" w:eastAsia="Times New Roman" w:hAnsi="Times New Roman" w:cs="Times New Roman"/>
          <w:i/>
          <w:iCs/>
        </w:rPr>
      </w:pPr>
      <w:r>
        <w:rPr>
          <w:rFonts w:ascii="Times New Roman" w:eastAsia="Times New Roman" w:hAnsi="Times New Roman" w:cs="Times New Roman"/>
          <w:i/>
          <w:iCs/>
        </w:rPr>
        <w:t>The periodisation of Byzantine response</w:t>
      </w:r>
    </w:p>
    <w:p w14:paraId="218D1046"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Dimiter Angelov investigated the term ‘Byzantinism’, which emerged in the second half of the nineteenth century. He charted its inherent connection to Byzantium as a complex intersectional entity comprising political system, Orthodoxy, intellectual Hellenic inheritance and Roman law, arguing that the complex strands of Byzantinism necessarily transcended Byzantium itself.</w:t>
      </w:r>
      <w:r>
        <w:rPr>
          <w:rFonts w:ascii="Times New Roman" w:eastAsia="Times New Roman" w:hAnsi="Times New Roman" w:cs="Times New Roman"/>
          <w:vertAlign w:val="superscript"/>
        </w:rPr>
        <w:endnoteReference w:id="27"/>
      </w:r>
      <w:r>
        <w:rPr>
          <w:rFonts w:ascii="Times New Roman" w:eastAsia="Times New Roman" w:hAnsi="Times New Roman" w:cs="Times New Roman"/>
        </w:rPr>
        <w:t xml:space="preserve"> Byzantium became a perfect “historiographical myth, an ideal canvas for all kinds of projections and narratives”,</w:t>
      </w:r>
      <w:r>
        <w:rPr>
          <w:rFonts w:ascii="Times New Roman" w:eastAsia="Times New Roman" w:hAnsi="Times New Roman" w:cs="Times New Roman"/>
          <w:vertAlign w:val="superscript"/>
        </w:rPr>
        <w:endnoteReference w:id="28"/>
      </w:r>
      <w:r>
        <w:rPr>
          <w:rFonts w:ascii="Times New Roman" w:eastAsia="Times New Roman" w:hAnsi="Times New Roman" w:cs="Times New Roman"/>
        </w:rPr>
        <w:t xml:space="preserve"> giving birth to myriad Byzantinisms from Neo-Orthodoxy, Byzantine revival architecture, sparkly jewellery or abstract art. The historiography that has attempted to chart this response has posited a cohesive chronological trajectory which in many ways belies its nebulous, fluctuating and ambiguous nature. In the introduction to his seminal </w:t>
      </w:r>
      <w:r>
        <w:rPr>
          <w:rFonts w:ascii="Times New Roman" w:eastAsia="Times New Roman" w:hAnsi="Times New Roman" w:cs="Times New Roman"/>
        </w:rPr>
        <w:lastRenderedPageBreak/>
        <w:t xml:space="preserve">work </w:t>
      </w:r>
      <w:r>
        <w:rPr>
          <w:rFonts w:ascii="Times New Roman" w:eastAsia="Times New Roman" w:hAnsi="Times New Roman" w:cs="Times New Roman"/>
          <w:i/>
          <w:iCs/>
        </w:rPr>
        <w:t xml:space="preserve">Die </w:t>
      </w:r>
      <w:proofErr w:type="spellStart"/>
      <w:r>
        <w:rPr>
          <w:rFonts w:ascii="Times New Roman" w:eastAsia="Times New Roman" w:hAnsi="Times New Roman" w:cs="Times New Roman"/>
          <w:i/>
          <w:iCs/>
        </w:rPr>
        <w:t>Geschichte</w:t>
      </w:r>
      <w:proofErr w:type="spellEnd"/>
      <w:r>
        <w:rPr>
          <w:rFonts w:ascii="Times New Roman" w:eastAsia="Times New Roman" w:hAnsi="Times New Roman" w:cs="Times New Roman"/>
          <w:i/>
          <w:iCs/>
        </w:rPr>
        <w:t xml:space="preserve"> des </w:t>
      </w:r>
      <w:proofErr w:type="spellStart"/>
      <w:r>
        <w:rPr>
          <w:rFonts w:ascii="Times New Roman" w:eastAsia="Times New Roman" w:hAnsi="Times New Roman" w:cs="Times New Roman"/>
          <w:i/>
          <w:iCs/>
        </w:rPr>
        <w:t>byzantinischen</w:t>
      </w:r>
      <w:proofErr w:type="spellEnd"/>
      <w:r>
        <w:rPr>
          <w:rFonts w:ascii="Times New Roman" w:eastAsia="Times New Roman" w:hAnsi="Times New Roman" w:cs="Times New Roman"/>
          <w:i/>
          <w:iCs/>
        </w:rPr>
        <w:t xml:space="preserve"> </w:t>
      </w:r>
      <w:proofErr w:type="spellStart"/>
      <w:r>
        <w:rPr>
          <w:rFonts w:ascii="Times New Roman" w:eastAsia="Times New Roman" w:hAnsi="Times New Roman" w:cs="Times New Roman"/>
          <w:i/>
          <w:iCs/>
        </w:rPr>
        <w:t>Staates</w:t>
      </w:r>
      <w:proofErr w:type="spellEnd"/>
      <w:r>
        <w:rPr>
          <w:rFonts w:ascii="Times New Roman" w:eastAsia="Times New Roman" w:hAnsi="Times New Roman" w:cs="Times New Roman"/>
        </w:rPr>
        <w:t xml:space="preserve"> (</w:t>
      </w:r>
      <w:r>
        <w:rPr>
          <w:rFonts w:ascii="Times New Roman" w:eastAsia="Times New Roman" w:hAnsi="Times New Roman" w:cs="Times New Roman"/>
          <w:i/>
          <w:iCs/>
        </w:rPr>
        <w:t>History of the Byzantine State</w:t>
      </w:r>
      <w:r>
        <w:rPr>
          <w:rFonts w:ascii="Times New Roman" w:eastAsia="Times New Roman" w:hAnsi="Times New Roman" w:cs="Times New Roman"/>
        </w:rPr>
        <w:t>, originally published in 1940), Georg Ostrogorsky (1902–76) presented a sweeping overview of how Byzantine studies were perceived to have developed from approximately 1450 to 1900. This broad historical sketch would become the</w:t>
      </w:r>
      <w:r w:rsidR="00324867">
        <w:rPr>
          <w:rFonts w:ascii="Times New Roman" w:eastAsia="Times New Roman" w:hAnsi="Times New Roman" w:cs="Times New Roman"/>
        </w:rPr>
        <w:t xml:space="preserve"> standard framework for periodiz</w:t>
      </w:r>
      <w:r>
        <w:rPr>
          <w:rFonts w:ascii="Times New Roman" w:eastAsia="Times New Roman" w:hAnsi="Times New Roman" w:cs="Times New Roman"/>
        </w:rPr>
        <w:t>ing Byzantine reception studies over the subsequent half-century.</w:t>
      </w:r>
      <w:r>
        <w:rPr>
          <w:rFonts w:ascii="Times New Roman" w:eastAsia="Times New Roman" w:hAnsi="Times New Roman" w:cs="Times New Roman"/>
          <w:vertAlign w:val="superscript"/>
        </w:rPr>
        <w:endnoteReference w:id="29"/>
      </w:r>
      <w:r>
        <w:rPr>
          <w:rFonts w:ascii="Times New Roman" w:eastAsia="Times New Roman" w:hAnsi="Times New Roman" w:cs="Times New Roman"/>
        </w:rPr>
        <w:t xml:space="preserve"> </w:t>
      </w:r>
      <w:proofErr w:type="spellStart"/>
      <w:r>
        <w:rPr>
          <w:rFonts w:ascii="Times New Roman" w:eastAsia="Times New Roman" w:hAnsi="Times New Roman" w:cs="Times New Roman"/>
        </w:rPr>
        <w:t>Ostrogorsky</w:t>
      </w:r>
      <w:proofErr w:type="spellEnd"/>
      <w:r>
        <w:rPr>
          <w:rFonts w:ascii="Times New Roman" w:eastAsia="Times New Roman" w:hAnsi="Times New Roman" w:cs="Times New Roman"/>
        </w:rPr>
        <w:t xml:space="preserve"> traced the evolution from fifteenth- and sixteenth-century humanist attitudes that valued Byzantium primarily as a repository of classical knowledge, through seventeenth-century Baroque fascination with Byzantine imperial structures as models for contemporary European monarchies. This political interest coincided with comprehensive scholarly endeavours, culminating in the monumental lexicographical contributions of French philologist and historian Charles du </w:t>
      </w:r>
      <w:proofErr w:type="spellStart"/>
      <w:r>
        <w:rPr>
          <w:rFonts w:ascii="Times New Roman" w:eastAsia="Times New Roman" w:hAnsi="Times New Roman" w:cs="Times New Roman"/>
        </w:rPr>
        <w:t>Cange</w:t>
      </w:r>
      <w:proofErr w:type="spellEnd"/>
      <w:r>
        <w:rPr>
          <w:rFonts w:ascii="Times New Roman" w:eastAsia="Times New Roman" w:hAnsi="Times New Roman" w:cs="Times New Roman"/>
        </w:rPr>
        <w:t xml:space="preserve"> (1610–88).</w:t>
      </w:r>
      <w:r>
        <w:rPr>
          <w:rFonts w:ascii="Times New Roman" w:eastAsia="Times New Roman" w:hAnsi="Times New Roman" w:cs="Times New Roman"/>
          <w:vertAlign w:val="superscript"/>
        </w:rPr>
        <w:endnoteReference w:id="30"/>
      </w:r>
      <w:r>
        <w:rPr>
          <w:rFonts w:ascii="Times New Roman" w:eastAsia="Times New Roman" w:hAnsi="Times New Roman" w:cs="Times New Roman"/>
        </w:rPr>
        <w:t xml:space="preserve"> The Enlightenment period brought contempt for Byzantium, driven by scholars who used the Byzantine Empire as a proxy to critique contemporary European rulers. They attacked the same political structures that had previously attracted Baroque interest, employing Byzantium as a thinly veiled means to condemn caesaropapism. </w:t>
      </w:r>
    </w:p>
    <w:p w14:paraId="3BB61BCE" w14:textId="567BCEA2"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The use of ‘Byzantinism’ as a noun achieved broad currency in the nineteenth and early twentieth centuries as shorthand for systems perceived as excessively bureaucratic or ceremonially obsessed, or for subtle political manoeuvring – all with connotations of institutional decay, corruption, and inefficiency. This pejorative meaning was particularly crafted during the Enlightenment by Gibbon’s influential </w:t>
      </w:r>
      <w:r>
        <w:rPr>
          <w:rFonts w:ascii="Times New Roman" w:eastAsia="Times New Roman" w:hAnsi="Times New Roman" w:cs="Times New Roman"/>
          <w:i/>
          <w:iCs/>
        </w:rPr>
        <w:t>The History of the Decline and Fall of the Roman Empire</w:t>
      </w:r>
      <w:r>
        <w:rPr>
          <w:rFonts w:ascii="Times New Roman" w:eastAsia="Times New Roman" w:hAnsi="Times New Roman" w:cs="Times New Roman"/>
        </w:rPr>
        <w:t xml:space="preserve"> (6 volumes, 1776–88).</w:t>
      </w:r>
      <w:r>
        <w:rPr>
          <w:rFonts w:ascii="Times New Roman" w:eastAsia="Times New Roman" w:hAnsi="Times New Roman" w:cs="Times New Roman"/>
          <w:vertAlign w:val="superscript"/>
        </w:rPr>
        <w:endnoteReference w:id="31"/>
      </w:r>
      <w:r>
        <w:rPr>
          <w:rFonts w:ascii="Times New Roman" w:eastAsia="Times New Roman" w:hAnsi="Times New Roman" w:cs="Times New Roman"/>
        </w:rPr>
        <w:t xml:space="preserve"> This seminal publication for the invention of Byzantium has itself been responded to and re-appropriated in various ways since its inception, from generating a byword and model for describing the rise and collapse of civilisations to Evelyn Waugh’s novel </w:t>
      </w:r>
      <w:r>
        <w:rPr>
          <w:rFonts w:ascii="Times New Roman" w:eastAsia="Times New Roman" w:hAnsi="Times New Roman" w:cs="Times New Roman"/>
          <w:i/>
          <w:iCs/>
        </w:rPr>
        <w:t>Decline and Fall</w:t>
      </w:r>
      <w:r>
        <w:rPr>
          <w:rFonts w:ascii="Times New Roman" w:eastAsia="Times New Roman" w:hAnsi="Times New Roman" w:cs="Times New Roman"/>
        </w:rPr>
        <w:t xml:space="preserve"> (1928), which borrows not only the title but also Gibbon’s satirical approach. Although </w:t>
      </w:r>
      <w:r>
        <w:rPr>
          <w:rFonts w:ascii="Times New Roman" w:eastAsia="Times New Roman" w:hAnsi="Times New Roman" w:cs="Times New Roman"/>
        </w:rPr>
        <w:lastRenderedPageBreak/>
        <w:t>Steven Runciman credited Gibbon with killing Byzantine studies for almost a century through “the splendour of his style and the majesty of his wit”,</w:t>
      </w:r>
      <w:r>
        <w:rPr>
          <w:rFonts w:ascii="Times New Roman" w:eastAsia="Times New Roman" w:hAnsi="Times New Roman" w:cs="Times New Roman"/>
          <w:vertAlign w:val="superscript"/>
        </w:rPr>
        <w:endnoteReference w:id="32"/>
      </w:r>
      <w:r>
        <w:rPr>
          <w:rFonts w:ascii="Times New Roman" w:eastAsia="Times New Roman" w:hAnsi="Times New Roman" w:cs="Times New Roman"/>
        </w:rPr>
        <w:t xml:space="preserve"> it was ironically Gibbon who contributed more than most to the subsequent creation of ‘Byzantium’. It was Gibbon who created an intellectual rationale and model for the separation of the eastern half of the empire from the west and characterised it as a long slow period of demise. Gibbon in his way re-introduced Byzantium, as Giorgio Vasari (1511</w:t>
      </w:r>
      <w:r w:rsidR="000E02BD">
        <w:rPr>
          <w:rFonts w:ascii="Times New Roman" w:eastAsia="Times New Roman" w:hAnsi="Times New Roman" w:cs="Times New Roman"/>
        </w:rPr>
        <w:t>–</w:t>
      </w:r>
      <w:r>
        <w:rPr>
          <w:rFonts w:ascii="Times New Roman" w:eastAsia="Times New Roman" w:hAnsi="Times New Roman" w:cs="Times New Roman"/>
        </w:rPr>
        <w:t>74) had its artistic and cultural activity, as a static and retrograde world of ‘barbarians’ with decaying morals, blind religious belief and a lack of creativity. It was hostile to reform and certainly fell short of its Graeco-Roman ancestors.</w:t>
      </w:r>
      <w:r>
        <w:rPr>
          <w:rFonts w:ascii="Times New Roman" w:eastAsia="Times New Roman" w:hAnsi="Times New Roman" w:cs="Times New Roman"/>
          <w:vertAlign w:val="superscript"/>
        </w:rPr>
        <w:endnoteReference w:id="33"/>
      </w:r>
    </w:p>
    <w:p w14:paraId="54558786"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The derogatory Enlightenment discourse transformed Byzantinism into a symbol of everything the ‘West’ sought to reject. Byzantine critiques often served as a safe substitute for attacking contemporary western rulers. The condemnation focused primarily on problematic church-state relationships and what were perceived as outdated authoritarian systems marked by corruption, superstition and reactionary conservatism. A pathetically servile Byzantine populace was implied with special derision for villainous powerful Byzantine women who threw into relief the perversion of the culture and reinforced the idea that strong masculine authority was necessary to good governance. Following this thread of moulding By</w:t>
      </w:r>
      <w:r w:rsidR="00324867">
        <w:rPr>
          <w:rFonts w:ascii="Times New Roman" w:eastAsia="Times New Roman" w:hAnsi="Times New Roman" w:cs="Times New Roman"/>
        </w:rPr>
        <w:t>z</w:t>
      </w:r>
      <w:r>
        <w:rPr>
          <w:rFonts w:ascii="Times New Roman" w:eastAsia="Times New Roman" w:hAnsi="Times New Roman" w:cs="Times New Roman"/>
        </w:rPr>
        <w:t>antium according to political expediency as a lauded or decried political precedent, the Byzantine political paradigm has variously functioned as a pattern for communism (</w:t>
      </w:r>
      <w:proofErr w:type="spellStart"/>
      <w:r>
        <w:rPr>
          <w:rFonts w:ascii="Times New Roman" w:eastAsia="Times New Roman" w:hAnsi="Times New Roman" w:cs="Times New Roman"/>
        </w:rPr>
        <w:t>its</w:t>
      </w:r>
      <w:proofErr w:type="spellEnd"/>
      <w:r>
        <w:rPr>
          <w:rFonts w:ascii="Times New Roman" w:eastAsia="Times New Roman" w:hAnsi="Times New Roman" w:cs="Times New Roman"/>
        </w:rPr>
        <w:t xml:space="preserve"> supposed free peasant constitution), its symphonia for Orthodox dominion/autocracy and expansionism, or even as a utopian model for the New Far Right.</w:t>
      </w:r>
      <w:r>
        <w:rPr>
          <w:rFonts w:ascii="Times New Roman" w:eastAsia="Times New Roman" w:hAnsi="Times New Roman" w:cs="Times New Roman"/>
          <w:vertAlign w:val="superscript"/>
        </w:rPr>
        <w:endnoteReference w:id="34"/>
      </w:r>
    </w:p>
    <w:p w14:paraId="703D09C7" w14:textId="6383CC99"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According to Ostrogorsky’s model, the Enlightenment concept was subsequently replaced by nineteenth-century historicism and the attendant institutionalization of Byzantine studies, which corrected the biased and unhistorical approach of Enlightenment writers.</w:t>
      </w:r>
      <w:r>
        <w:rPr>
          <w:rFonts w:ascii="Times New Roman" w:eastAsia="Times New Roman" w:hAnsi="Times New Roman" w:cs="Times New Roman"/>
          <w:vertAlign w:val="superscript"/>
        </w:rPr>
        <w:endnoteReference w:id="35"/>
      </w:r>
      <w:r>
        <w:rPr>
          <w:rFonts w:ascii="Times New Roman" w:eastAsia="Times New Roman" w:hAnsi="Times New Roman" w:cs="Times New Roman"/>
        </w:rPr>
        <w:t xml:space="preserve"> More </w:t>
      </w:r>
      <w:r>
        <w:rPr>
          <w:rFonts w:ascii="Times New Roman" w:eastAsia="Times New Roman" w:hAnsi="Times New Roman" w:cs="Times New Roman"/>
        </w:rPr>
        <w:lastRenderedPageBreak/>
        <w:t xml:space="preserve">recently Ostrogorsky’s model has been challenged in publications such as </w:t>
      </w:r>
      <w:r>
        <w:rPr>
          <w:rFonts w:ascii="Times New Roman" w:eastAsia="Times New Roman" w:hAnsi="Times New Roman" w:cs="Times New Roman"/>
          <w:i/>
          <w:iCs/>
        </w:rPr>
        <w:t xml:space="preserve">The Invention of Byzantium in Early Modern Europe </w:t>
      </w:r>
      <w:r>
        <w:rPr>
          <w:rFonts w:ascii="Times New Roman" w:eastAsia="Times New Roman" w:hAnsi="Times New Roman" w:cs="Times New Roman"/>
        </w:rPr>
        <w:t>(2021), edited by Nathanael Aschenbrenner and Jake Ransohoff, which charts the longer</w:t>
      </w:r>
      <w:r w:rsidR="000E02BD">
        <w:rPr>
          <w:rFonts w:ascii="Times New Roman" w:eastAsia="Times New Roman" w:hAnsi="Times New Roman" w:cs="Times New Roman"/>
        </w:rPr>
        <w:t xml:space="preserve"> </w:t>
      </w:r>
      <w:r>
        <w:rPr>
          <w:rFonts w:ascii="Times New Roman" w:eastAsia="Times New Roman" w:hAnsi="Times New Roman" w:cs="Times New Roman"/>
        </w:rPr>
        <w:t>invention of Byzantium in Europe between the fifteenth and mid-nineteenth century when the term was consolidated. They challenge the idea of ‘absence’ in western scholarship prior to the nineteenth century</w:t>
      </w:r>
      <w:r>
        <w:rPr>
          <w:rFonts w:ascii="Times New Roman" w:eastAsia="Times New Roman" w:hAnsi="Times New Roman" w:cs="Times New Roman"/>
          <w:vertAlign w:val="superscript"/>
        </w:rPr>
        <w:endnoteReference w:id="36"/>
      </w:r>
      <w:r>
        <w:rPr>
          <w:rFonts w:ascii="Times New Roman" w:eastAsia="Times New Roman" w:hAnsi="Times New Roman" w:cs="Times New Roman"/>
        </w:rPr>
        <w:t xml:space="preserve"> and the claim that Byzantium was only of interest to those of eastern and southeastern Europe. Defining the chronological parameters of Byzantine response is one way to impose structure on the field, but a determinative factor for the reception of Byzantium has always been the extent of proximity and distance, both physical and conceptual, which has to a certain extent determined the nature of the response. </w:t>
      </w:r>
    </w:p>
    <w:p w14:paraId="70ACF8EC" w14:textId="77777777" w:rsidR="00324867" w:rsidRDefault="00324867" w:rsidP="00277D69">
      <w:pPr>
        <w:spacing w:after="0" w:line="480" w:lineRule="auto"/>
        <w:ind w:firstLine="720"/>
        <w:jc w:val="both"/>
        <w:rPr>
          <w:rFonts w:ascii="Times New Roman" w:eastAsia="Times New Roman" w:hAnsi="Times New Roman" w:cs="Times New Roman"/>
        </w:rPr>
      </w:pPr>
    </w:p>
    <w:p w14:paraId="36D669A6" w14:textId="77777777" w:rsidR="00277D69" w:rsidRDefault="00277D69" w:rsidP="00277D69">
      <w:pPr>
        <w:spacing w:after="0" w:line="480" w:lineRule="auto"/>
        <w:rPr>
          <w:rFonts w:ascii="Times New Roman" w:eastAsia="Times New Roman" w:hAnsi="Times New Roman" w:cs="Times New Roman"/>
          <w:b/>
          <w:bCs/>
        </w:rPr>
      </w:pPr>
      <w:r>
        <w:rPr>
          <w:rFonts w:ascii="Times New Roman" w:eastAsia="Times New Roman" w:hAnsi="Times New Roman" w:cs="Times New Roman"/>
          <w:b/>
          <w:bCs/>
        </w:rPr>
        <w:t>Proximity and Distance: The Geographies of Byzantine Response</w:t>
      </w:r>
    </w:p>
    <w:p w14:paraId="5A9FDF24"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Response to Byzantium has been seen as more pertinent, with a greater stress on ontological contiguity – approached more or less critically – in regions that once formed part of the medieval Roman Empire or that developed dialectically with it in relation to Orthodoxy. This applies particularly to eastern and southeastern Europe, sometimes called the “political, cultural and religious bridge between Orient and Occident”.</w:t>
      </w:r>
      <w:r>
        <w:rPr>
          <w:rFonts w:ascii="Times New Roman" w:eastAsia="Times New Roman" w:hAnsi="Times New Roman" w:cs="Times New Roman"/>
          <w:vertAlign w:val="superscript"/>
        </w:rPr>
        <w:endnoteReference w:id="37"/>
      </w:r>
      <w:r>
        <w:rPr>
          <w:rFonts w:ascii="Times New Roman" w:eastAsia="Times New Roman" w:hAnsi="Times New Roman" w:cs="Times New Roman"/>
        </w:rPr>
        <w:t xml:space="preserve"> Scholars have typically perceived Russia and other Slavic Orthodox countries as deriving “their religion and a great deal of their culture from it”, but the divide between survival and revival is nebulous.</w:t>
      </w:r>
      <w:r>
        <w:rPr>
          <w:rFonts w:ascii="Times New Roman" w:eastAsia="Times New Roman" w:hAnsi="Times New Roman" w:cs="Times New Roman"/>
          <w:vertAlign w:val="superscript"/>
        </w:rPr>
        <w:endnoteReference w:id="38"/>
      </w:r>
      <w:r>
        <w:rPr>
          <w:rFonts w:ascii="Times New Roman" w:eastAsia="Times New Roman" w:hAnsi="Times New Roman" w:cs="Times New Roman"/>
        </w:rPr>
        <w:t xml:space="preserve"> Ivan Foletti discusses in this volume the development of Byzantine studies in Russia, a nation that in modernity has framed itself overtly as the heir of Constantinople. During the nineteenth century, their development was underpinned by the political post-Napoleonic reorientation of Russia away from Europe and its reframing as the Third Rome, with a “dynastic right” to aspire to control the Orthodox world and potentially even the former territories of the Roman empire in the East, a claim inseparable from </w:t>
      </w:r>
      <w:r>
        <w:rPr>
          <w:rFonts w:ascii="Times New Roman" w:eastAsia="Times New Roman" w:hAnsi="Times New Roman" w:cs="Times New Roman"/>
        </w:rPr>
        <w:lastRenderedPageBreak/>
        <w:t>art and architectural responses. Indeed, Yuri Saveliev charts in this volume the development of the Neo-Byzantine as a national style of church architecture that has proliferated from the mid-nineteenth century to the present in Russia. Connected to the European development of Neo-Byzantine architecture, this was deeply rooted in study of Russia’s Byzantine inheritance and the political construction of Russia as the ‘New Byzantium’ or ‘Third Rome’.</w:t>
      </w:r>
    </w:p>
    <w:p w14:paraId="4240601D" w14:textId="77777777" w:rsidR="00277D69" w:rsidRDefault="00277D69" w:rsidP="00277D69">
      <w:pPr>
        <w:spacing w:after="0" w:line="480" w:lineRule="auto"/>
        <w:ind w:firstLine="720"/>
        <w:jc w:val="both"/>
        <w:rPr>
          <w:rFonts w:ascii="Times New Roman" w:eastAsia="Times New Roman" w:hAnsi="Times New Roman" w:cs="Times New Roman"/>
          <w:i/>
          <w:iCs/>
        </w:rPr>
      </w:pPr>
      <w:r>
        <w:rPr>
          <w:rFonts w:ascii="Times New Roman" w:eastAsia="Times New Roman" w:hAnsi="Times New Roman" w:cs="Times New Roman"/>
        </w:rPr>
        <w:t>Studies have often been implicitly divided by geography. Regions where the history of Byzantium has been overtly leveraged in the development of the modern nation state or through connections to Orthodoxy have often been treated separately from western Europe and North America, where the Byzantine legacy is treated as a flexible aesthetic and/or ideological trope, manipulated both positively and negatively for aesthetic, religious, cultural and sociopolitical ends. Byzantium has been used from an early date as the foil against which western Europe constructed its identity as the rightful heir of Roman civilisation, Greek literature and true Christianity; yet it was also used to critique those same western societies. Contemporary scholarship has adopted a more comprehensive approach to Byzantine reception that transcends traditional divisions.</w:t>
      </w:r>
      <w:r>
        <w:rPr>
          <w:rFonts w:ascii="Times New Roman" w:eastAsia="Times New Roman" w:hAnsi="Times New Roman" w:cs="Times New Roman"/>
          <w:vertAlign w:val="superscript"/>
        </w:rPr>
        <w:endnoteReference w:id="39"/>
      </w:r>
      <w:r>
        <w:rPr>
          <w:rFonts w:ascii="Times New Roman" w:eastAsia="Times New Roman" w:hAnsi="Times New Roman" w:cs="Times New Roman"/>
        </w:rPr>
        <w:t xml:space="preserve"> These studies question Byzantium's relationship with western Europe specifically, while also examining the assumption that the </w:t>
      </w:r>
      <w:r>
        <w:rPr>
          <w:rFonts w:ascii="Times New Roman" w:eastAsia="Times New Roman" w:hAnsi="Times New Roman" w:cs="Times New Roman"/>
          <w:i/>
          <w:iCs/>
        </w:rPr>
        <w:t xml:space="preserve">Slavia </w:t>
      </w:r>
      <w:proofErr w:type="spellStart"/>
      <w:r>
        <w:rPr>
          <w:rFonts w:ascii="Times New Roman" w:eastAsia="Times New Roman" w:hAnsi="Times New Roman" w:cs="Times New Roman"/>
          <w:i/>
          <w:iCs/>
        </w:rPr>
        <w:t>Orthodoxa</w:t>
      </w:r>
      <w:proofErr w:type="spellEnd"/>
      <w:r>
        <w:rPr>
          <w:rFonts w:ascii="Times New Roman" w:eastAsia="Times New Roman" w:hAnsi="Times New Roman" w:cs="Times New Roman"/>
        </w:rPr>
        <w:t xml:space="preserve"> maintained a more straightforward connection to Byzantium, focusing on regions like Bulgaria, where Byzantine reception has proven both complex and contested.</w:t>
      </w:r>
      <w:r>
        <w:rPr>
          <w:rFonts w:ascii="Times New Roman" w:eastAsia="Times New Roman" w:hAnsi="Times New Roman" w:cs="Times New Roman"/>
          <w:vertAlign w:val="superscript"/>
        </w:rPr>
        <w:endnoteReference w:id="40"/>
      </w:r>
      <w:r>
        <w:rPr>
          <w:rFonts w:ascii="Times New Roman" w:eastAsia="Times New Roman" w:hAnsi="Times New Roman" w:cs="Times New Roman"/>
        </w:rPr>
        <w:t xml:space="preserve"> Diana Mishkova explores in this volume how Balkan national historiographies appropriated the Byzantine legacy in diverse ways: Bulgarians portrayed Byzantium as their main adversary in forming national identity, Serbians emphasized Stefan Dušan's empire as Byzantium’s true heir, and Romanians viewed Byzantium as a cultural legacy preserved through Romanian survival, while Turkey vacillated according to </w:t>
      </w:r>
      <w:r>
        <w:rPr>
          <w:rFonts w:ascii="Times New Roman" w:eastAsia="Times New Roman" w:hAnsi="Times New Roman" w:cs="Times New Roman"/>
        </w:rPr>
        <w:lastRenderedPageBreak/>
        <w:t>expediency, but on the whole rejected the inheritance.</w:t>
      </w:r>
      <w:r>
        <w:rPr>
          <w:rFonts w:ascii="Times New Roman" w:eastAsia="Times New Roman" w:hAnsi="Times New Roman" w:cs="Times New Roman"/>
          <w:vertAlign w:val="superscript"/>
        </w:rPr>
        <w:endnoteReference w:id="41"/>
      </w:r>
      <w:r>
        <w:rPr>
          <w:rFonts w:ascii="Times New Roman" w:eastAsia="Times New Roman" w:hAnsi="Times New Roman" w:cs="Times New Roman"/>
        </w:rPr>
        <w:t xml:space="preserve"> In each case, the place given to Byzantium in these national historiographies was a response also to Greece.</w:t>
      </w:r>
    </w:p>
    <w:p w14:paraId="3AB411ED" w14:textId="77777777" w:rsidR="00277D69" w:rsidRDefault="00277D69" w:rsidP="00277D69">
      <w:pPr>
        <w:spacing w:after="0" w:line="480" w:lineRule="auto"/>
        <w:ind w:firstLine="720"/>
        <w:jc w:val="both"/>
        <w:rPr>
          <w:rFonts w:ascii="Times New Roman" w:eastAsia="Times New Roman" w:hAnsi="Times New Roman" w:cs="Times New Roman"/>
          <w:i/>
          <w:iCs/>
        </w:rPr>
      </w:pPr>
      <w:r>
        <w:rPr>
          <w:rFonts w:ascii="Times New Roman" w:eastAsia="Times New Roman" w:hAnsi="Times New Roman" w:cs="Times New Roman"/>
        </w:rPr>
        <w:t xml:space="preserve"> Proximity does not imply an untroubled inheritance, and indeed greater proximity has led to some of the most nuanced and ambiguous engagements with Byzantium. </w:t>
      </w:r>
      <w:r>
        <w:rPr>
          <w:rFonts w:ascii="Times New Roman" w:eastAsia="Times New Roman" w:hAnsi="Times New Roman" w:cs="Times New Roman"/>
          <w:highlight w:val="white"/>
        </w:rPr>
        <w:t xml:space="preserve">The Ottoman claim to succession from the Byzantine Empire took on different shades in the modern period as the empire modernised and engaged with the West with regards its cultural patrimony. </w:t>
      </w:r>
      <w:proofErr w:type="spellStart"/>
      <w:r>
        <w:rPr>
          <w:rFonts w:ascii="Times New Roman" w:eastAsia="Times New Roman" w:hAnsi="Times New Roman" w:cs="Times New Roman"/>
          <w:highlight w:val="white"/>
        </w:rPr>
        <w:t>Şule</w:t>
      </w:r>
      <w:proofErr w:type="spellEnd"/>
      <w:r>
        <w:rPr>
          <w:rFonts w:ascii="Times New Roman" w:eastAsia="Times New Roman" w:hAnsi="Times New Roman" w:cs="Times New Roman"/>
          <w:highlight w:val="white"/>
        </w:rPr>
        <w:t xml:space="preserve"> Kılıç Yıldız charts in this Handbook how modern Turkey has navigated a complex relationship with its Byzantine heritage and thus the shifting terrain of the display of Byzantine material culture. Turkey has at times drawn on its Byzantine material culture, as a connection between antiquity and modernity, to support the emergent national narrative, yet it has engaged in limited archaeological investment and treated the Byzantine legacy as a historical rather than living tradition. Turkey has been influenced in part by the challenges posed by Greece’s claims to Byzantium in this regard. </w:t>
      </w:r>
      <w:r>
        <w:rPr>
          <w:rFonts w:ascii="Times New Roman" w:eastAsia="Times New Roman" w:hAnsi="Times New Roman" w:cs="Times New Roman"/>
        </w:rPr>
        <w:t xml:space="preserve">Ufuk Serin in her essay dives into the complex issue of modern Turkey’s approach to preserving its Byzantine material. Despite inheriting the longest-lived political entity in Anatolia before Ottoman rule, Turkey’s approach remains constrained by ideological and religious sensitivities as well as cultural agendas that influence both scholarly interpretation and practical conservation decisions. From the Ottoman and early Republican eras to the present, attitudes have ranged from exclusion to a selective, fluctuating appropriation based on ethnic, political and economic motivations. Serin explores the relationship of Byzantine heritage to time and history and concludes that Turkey’s inheritance cannot be conceived as a set of relics frozen between the past and present, but rather part of a continuing and active “cultural and social process” that are creative and inherently transformative, yet open to political distortion. </w:t>
      </w:r>
    </w:p>
    <w:p w14:paraId="29207F53" w14:textId="77777777" w:rsidR="00277D69" w:rsidRDefault="00277D69" w:rsidP="00277D69">
      <w:pPr>
        <w:spacing w:after="0" w:line="480" w:lineRule="auto"/>
        <w:ind w:firstLine="720"/>
        <w:jc w:val="both"/>
        <w:rPr>
          <w:rFonts w:ascii="Times New Roman" w:eastAsia="Times New Roman" w:hAnsi="Times New Roman" w:cs="Times New Roman"/>
          <w:i/>
          <w:iCs/>
        </w:rPr>
      </w:pPr>
      <w:r>
        <w:rPr>
          <w:rFonts w:ascii="Times New Roman" w:eastAsia="Times New Roman" w:hAnsi="Times New Roman" w:cs="Times New Roman"/>
        </w:rPr>
        <w:lastRenderedPageBreak/>
        <w:t xml:space="preserve">Equally complex and ambiguous is the reception of Byzantium </w:t>
      </w:r>
      <w:r w:rsidR="00324867">
        <w:rPr>
          <w:rFonts w:ascii="Times New Roman" w:eastAsia="Times New Roman" w:hAnsi="Times New Roman" w:cs="Times New Roman"/>
        </w:rPr>
        <w:t xml:space="preserve">in Armenian scholarship, as </w:t>
      </w:r>
      <w:proofErr w:type="spellStart"/>
      <w:r w:rsidR="00324867">
        <w:rPr>
          <w:rFonts w:ascii="Times New Roman" w:eastAsia="Times New Roman" w:hAnsi="Times New Roman" w:cs="Times New Roman"/>
        </w:rPr>
        <w:t>Nazé</w:t>
      </w:r>
      <w:r>
        <w:rPr>
          <w:rFonts w:ascii="Times New Roman" w:eastAsia="Times New Roman" w:hAnsi="Times New Roman" w:cs="Times New Roman"/>
        </w:rPr>
        <w:t>nie</w:t>
      </w:r>
      <w:proofErr w:type="spellEnd"/>
      <w:r>
        <w:rPr>
          <w:rFonts w:ascii="Times New Roman" w:eastAsia="Times New Roman" w:hAnsi="Times New Roman" w:cs="Times New Roman"/>
        </w:rPr>
        <w:t xml:space="preserve"> Garibian argues in her essay. Still navigating between the Byzantine and the Iranian (Muslim) worlds, strong nationalistic approaches to the past are combined in modern Armenian scholarship with newer positions informed by academic collaboration and increased openness within Byzantine studies themselves to a focus on the diversity of the empire and its complex relationships with neighbouring groups. Garibian argues that Byzantine studies in Armenia should be understood as essentially studies of Armenian-Byzantine relations informed by modern nation building, which are now increasingly explored in newly-established research initiatives. </w:t>
      </w:r>
    </w:p>
    <w:p w14:paraId="5EC15EE7"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In the history of Byzantine response, Greece has come to occupy a seminal position. At times the unwilling inheritor of imprecise ethnolinguistic understandings of Byzantium, Greece was an important and more or less continuous part of the Empire. The Greeks have had the painful privilege of being the direct inheritors of both Greco-Roman culture and its synthesis with Christianity. This integration of classical philosophy and aesthetics with Christian theology has had a major impact on the formation of the modern identity of Greece, but the nation has had a complex relationship with its Byzantine heritage, “where it has been fitted (rather awkwardly) into the national story”.</w:t>
      </w:r>
      <w:r>
        <w:rPr>
          <w:rFonts w:ascii="Times New Roman" w:eastAsia="Times New Roman" w:hAnsi="Times New Roman" w:cs="Times New Roman"/>
          <w:vertAlign w:val="superscript"/>
        </w:rPr>
        <w:endnoteReference w:id="42"/>
      </w:r>
      <w:r>
        <w:rPr>
          <w:rFonts w:ascii="Times New Roman" w:eastAsia="Times New Roman" w:hAnsi="Times New Roman" w:cs="Times New Roman"/>
        </w:rPr>
        <w:t xml:space="preserve"> In 1965, Cyril Mango addressed some of the thorny issues entailed in the position he occupied as the </w:t>
      </w:r>
      <w:proofErr w:type="spellStart"/>
      <w:r>
        <w:rPr>
          <w:rFonts w:ascii="Times New Roman" w:eastAsia="Times New Roman" w:hAnsi="Times New Roman" w:cs="Times New Roman"/>
        </w:rPr>
        <w:t>Koraes</w:t>
      </w:r>
      <w:proofErr w:type="spellEnd"/>
      <w:r>
        <w:rPr>
          <w:rFonts w:ascii="Times New Roman" w:eastAsia="Times New Roman" w:hAnsi="Times New Roman" w:cs="Times New Roman"/>
        </w:rPr>
        <w:t xml:space="preserve"> Professor of Modern Greek and Byzantine History, Language and Literature situated in the Department of Classics, King’s College London. The Chair, established in 1918 to serve as a focal point for the study of Greek history and culture from antiquity to the present (including Byzantium), raises a complex and retrospective teleology.</w:t>
      </w:r>
      <w:r>
        <w:rPr>
          <w:rFonts w:ascii="Times New Roman" w:eastAsia="Times New Roman" w:hAnsi="Times New Roman" w:cs="Times New Roman"/>
          <w:vertAlign w:val="superscript"/>
        </w:rPr>
        <w:endnoteReference w:id="43"/>
      </w:r>
      <w:r>
        <w:rPr>
          <w:rFonts w:ascii="Times New Roman" w:eastAsia="Times New Roman" w:hAnsi="Times New Roman" w:cs="Times New Roman"/>
        </w:rPr>
        <w:t xml:space="preserve"> The easy assumption and implication of continuity belies the history of Byzantine response in Greece itself. </w:t>
      </w:r>
    </w:p>
    <w:p w14:paraId="3B62B642"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lastRenderedPageBreak/>
        <w:t>Greece had been liberated from the Ottomans by 1830. The ‘Great Powers’ of Europe were apprehensive about the inevitable demise of the Ottoman empire on account of the Eastern Question’ – who would get what in the subsequent fall out – and so they sustained the empire. However, under the influence of Romanticism they supported Greece in breaking free. Romantic European Philhellenism and the policies of the newly established Greek state typically favoured classical Greece, causing subsequent tensions in the adoption of the now apparently neutral signifier of Byzantium. Its intellectual and spiritual life, as well as its multifarious legacies, were appropriated as a ‘</w:t>
      </w:r>
      <w:proofErr w:type="spellStart"/>
      <w:r>
        <w:rPr>
          <w:rFonts w:ascii="Times New Roman" w:eastAsia="Times New Roman" w:hAnsi="Times New Roman" w:cs="Times New Roman"/>
        </w:rPr>
        <w:t>pittoresque</w:t>
      </w:r>
      <w:proofErr w:type="spellEnd"/>
      <w:r>
        <w:rPr>
          <w:rFonts w:ascii="Times New Roman" w:eastAsia="Times New Roman" w:hAnsi="Times New Roman" w:cs="Times New Roman"/>
        </w:rPr>
        <w:t>’ incident in Greek history, and it took decades until Byzantium became a substantial and dynamic part of modern Greek life and culture in the late nineteenth century and the beginning of the twentieth. Ultimately, the painstaking union of classical Greece, Byzantium and the modern nation-state was ‘a shotgun marriage’ that took place under the threat of Jakob Philipp Fallmerayer’s race theory.</w:t>
      </w:r>
      <w:r>
        <w:rPr>
          <w:rFonts w:ascii="Times New Roman" w:eastAsia="Times New Roman" w:hAnsi="Times New Roman" w:cs="Times New Roman"/>
          <w:vertAlign w:val="superscript"/>
        </w:rPr>
        <w:endnoteReference w:id="44"/>
      </w:r>
      <w:r>
        <w:rPr>
          <w:rFonts w:ascii="Times New Roman" w:eastAsia="Times New Roman" w:hAnsi="Times New Roman" w:cs="Times New Roman"/>
        </w:rPr>
        <w:t xml:space="preserve"> According to his hypothesis, the Slavic invasions – the so-called ‘age of migrations’, mainly in the seventh and eighth centuries – had severed the Greeks’ blood/racial connection to the ancient Hellenes. They had become merely Greek-speaking Slavs, and even this was not true in all cases. Continuity from antiquity became important.</w:t>
      </w:r>
    </w:p>
    <w:p w14:paraId="54F6E2DC"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Byzantium was incorporated eventually into a continuum that provided a framework for the emergent national narrative in Greece. However, the process was not a smooth one. Marios Hatzopoulos and Francesco Lovino both address the issue in this volume, highlighting its complexity, and the role of intellectuals and historians such as Constantinos </w:t>
      </w:r>
      <w:proofErr w:type="spellStart"/>
      <w:r>
        <w:rPr>
          <w:rFonts w:ascii="Times New Roman" w:eastAsia="Times New Roman" w:hAnsi="Times New Roman" w:cs="Times New Roman"/>
        </w:rPr>
        <w:t>Papa</w:t>
      </w:r>
      <w:r w:rsidR="007F77D3">
        <w:rPr>
          <w:rFonts w:ascii="Times New Roman" w:eastAsia="Times New Roman" w:hAnsi="Times New Roman" w:cs="Times New Roman"/>
        </w:rPr>
        <w:t>r</w:t>
      </w:r>
      <w:r>
        <w:rPr>
          <w:rFonts w:ascii="Times New Roman" w:eastAsia="Times New Roman" w:hAnsi="Times New Roman" w:cs="Times New Roman"/>
        </w:rPr>
        <w:t>rygopoulos</w:t>
      </w:r>
      <w:proofErr w:type="spellEnd"/>
      <w:r>
        <w:rPr>
          <w:rFonts w:ascii="Times New Roman" w:eastAsia="Times New Roman" w:hAnsi="Times New Roman" w:cs="Times New Roman"/>
        </w:rPr>
        <w:t xml:space="preserve"> (1815–91) and Spyridon </w:t>
      </w:r>
      <w:proofErr w:type="spellStart"/>
      <w:r>
        <w:rPr>
          <w:rFonts w:ascii="Times New Roman" w:eastAsia="Times New Roman" w:hAnsi="Times New Roman" w:cs="Times New Roman"/>
        </w:rPr>
        <w:t>Zambelios</w:t>
      </w:r>
      <w:proofErr w:type="spellEnd"/>
      <w:r>
        <w:rPr>
          <w:rFonts w:ascii="Times New Roman" w:eastAsia="Times New Roman" w:hAnsi="Times New Roman" w:cs="Times New Roman"/>
        </w:rPr>
        <w:t xml:space="preserve"> (1815–81), along with key figures from political, economic and social life, as well as the institutions and bodies formed in the newly born Greek state. Publications, such as the multi-volume history of Greece by British historian George Finlay </w:t>
      </w:r>
      <w:r>
        <w:rPr>
          <w:rFonts w:ascii="Times New Roman" w:eastAsia="Times New Roman" w:hAnsi="Times New Roman" w:cs="Times New Roman"/>
        </w:rPr>
        <w:lastRenderedPageBreak/>
        <w:t>(1799–1875), which triumphally celebrated the continuation of the Greeks from antiquity to modern times, also provided a firm basis for the Greek re-appropriation of Byzantium.</w:t>
      </w:r>
      <w:r>
        <w:rPr>
          <w:rFonts w:ascii="Times New Roman" w:eastAsia="Times New Roman" w:hAnsi="Times New Roman" w:cs="Times New Roman"/>
          <w:vertAlign w:val="superscript"/>
        </w:rPr>
        <w:endnoteReference w:id="45"/>
      </w:r>
      <w:r>
        <w:rPr>
          <w:rFonts w:ascii="Times New Roman" w:eastAsia="Times New Roman" w:hAnsi="Times New Roman" w:cs="Times New Roman"/>
        </w:rPr>
        <w:t xml:space="preserve"> The book and the opinions expressed in it had fervent supporters among the most ‘progressive’ groups of travellers and scholars, such the group of the British Arts and Crafts architects who consistently turned their interest to Byzantine and post-Byzantine surviving remains in Greece.</w:t>
      </w:r>
      <w:r>
        <w:rPr>
          <w:rFonts w:ascii="Times New Roman" w:eastAsia="Times New Roman" w:hAnsi="Times New Roman" w:cs="Times New Roman"/>
          <w:vertAlign w:val="superscript"/>
        </w:rPr>
        <w:endnoteReference w:id="46"/>
      </w:r>
      <w:r>
        <w:rPr>
          <w:rFonts w:ascii="Times New Roman" w:eastAsia="Times New Roman" w:hAnsi="Times New Roman" w:cs="Times New Roman"/>
        </w:rPr>
        <w:t xml:space="preserve"> Greek ‘alternative’ intellectuals like Alexandros </w:t>
      </w:r>
      <w:proofErr w:type="spellStart"/>
      <w:r>
        <w:rPr>
          <w:rFonts w:ascii="Times New Roman" w:eastAsia="Times New Roman" w:hAnsi="Times New Roman" w:cs="Times New Roman"/>
        </w:rPr>
        <w:t>Papadiamantis</w:t>
      </w:r>
      <w:proofErr w:type="spellEnd"/>
      <w:r>
        <w:rPr>
          <w:rFonts w:ascii="Times New Roman" w:eastAsia="Times New Roman" w:hAnsi="Times New Roman" w:cs="Times New Roman"/>
        </w:rPr>
        <w:t xml:space="preserve"> (1851–1911) were perceived to embody the spirit of Byzantium. </w:t>
      </w:r>
      <w:proofErr w:type="spellStart"/>
      <w:r>
        <w:rPr>
          <w:rFonts w:ascii="Times New Roman" w:eastAsia="Times New Roman" w:hAnsi="Times New Roman" w:cs="Times New Roman"/>
        </w:rPr>
        <w:t>Papadiamantis</w:t>
      </w:r>
      <w:proofErr w:type="spellEnd"/>
      <w:r>
        <w:rPr>
          <w:rFonts w:ascii="Times New Roman" w:eastAsia="Times New Roman" w:hAnsi="Times New Roman" w:cs="Times New Roman"/>
        </w:rPr>
        <w:t xml:space="preserve">, a key figure in modern Greek intellectual history, was a recluse novelist, poet and short-story writer, who never completed his studies, often referred to as ‘a secular monk’. In his more than 170 works, he preserved a mystical feeling that connected his heroes, authentic common people and ‘saints or sinners’ to the spirituality of Byzantium and the ‘pure’ Orthodox faith. In the then largely Neo-Classical Athens, where spirituality was haunted by the academic, neoclassicist influences of the Nazarenes, </w:t>
      </w:r>
      <w:proofErr w:type="spellStart"/>
      <w:r>
        <w:rPr>
          <w:rFonts w:ascii="Times New Roman" w:eastAsia="Times New Roman" w:hAnsi="Times New Roman" w:cs="Times New Roman"/>
        </w:rPr>
        <w:t>Papadiamantis</w:t>
      </w:r>
      <w:proofErr w:type="spellEnd"/>
      <w:r>
        <w:rPr>
          <w:rFonts w:ascii="Times New Roman" w:eastAsia="Times New Roman" w:hAnsi="Times New Roman" w:cs="Times New Roman"/>
        </w:rPr>
        <w:t xml:space="preserve"> embodied what was later interpreted as the true spirit of the Christianised ‘Romans’ – the </w:t>
      </w:r>
      <w:proofErr w:type="spellStart"/>
      <w:r>
        <w:rPr>
          <w:rFonts w:ascii="Times New Roman" w:eastAsia="Times New Roman" w:hAnsi="Times New Roman" w:cs="Times New Roman"/>
          <w:i/>
          <w:iCs/>
        </w:rPr>
        <w:t>Rhōmaîoi</w:t>
      </w:r>
      <w:proofErr w:type="spellEnd"/>
      <w:r>
        <w:rPr>
          <w:rFonts w:ascii="Times New Roman" w:eastAsia="Times New Roman" w:hAnsi="Times New Roman" w:cs="Times New Roman"/>
          <w:i/>
          <w:iCs/>
        </w:rPr>
        <w:t>,</w:t>
      </w:r>
      <w:r>
        <w:rPr>
          <w:rFonts w:ascii="Times New Roman" w:eastAsia="Times New Roman" w:hAnsi="Times New Roman" w:cs="Times New Roman"/>
        </w:rPr>
        <w:t xml:space="preserve"> the Byzantines.    </w:t>
      </w:r>
    </w:p>
    <w:p w14:paraId="1E69E672"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The relative interplay between </w:t>
      </w:r>
      <w:proofErr w:type="spellStart"/>
      <w:r>
        <w:rPr>
          <w:rFonts w:ascii="Times New Roman" w:eastAsia="Times New Roman" w:hAnsi="Times New Roman" w:cs="Times New Roman"/>
        </w:rPr>
        <w:t>Romanness</w:t>
      </w:r>
      <w:proofErr w:type="spellEnd"/>
      <w:r>
        <w:rPr>
          <w:rFonts w:ascii="Times New Roman" w:eastAsia="Times New Roman" w:hAnsi="Times New Roman" w:cs="Times New Roman"/>
        </w:rPr>
        <w:t xml:space="preserve"> and Hellenism has continued as a defining factor in the crafting of modern Greek identity to the present, which has palpably played out across the pages of twentieth and twenty-first century Greece in one of the more sensitive and influential spheres of public life, that of education. Panagiotis Theodoropoulos in his essay for this volume explores the textbooks of secondary education in this light, concluding the term ‘Byzantium’ was used in these to undermine the </w:t>
      </w:r>
      <w:proofErr w:type="spellStart"/>
      <w:r>
        <w:rPr>
          <w:rFonts w:ascii="Times New Roman" w:eastAsia="Times New Roman" w:hAnsi="Times New Roman" w:cs="Times New Roman"/>
        </w:rPr>
        <w:t>Romanness</w:t>
      </w:r>
      <w:proofErr w:type="spellEnd"/>
      <w:r>
        <w:rPr>
          <w:rFonts w:ascii="Times New Roman" w:eastAsia="Times New Roman" w:hAnsi="Times New Roman" w:cs="Times New Roman"/>
        </w:rPr>
        <w:t xml:space="preserve"> of the empire. </w:t>
      </w:r>
    </w:p>
    <w:p w14:paraId="5FBA52B1" w14:textId="524CFC39"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Greek liberation and the construction of a national identity for the newly-established Greek state of 1831 also led to the so-called ‘Great Idea’ (</w:t>
      </w:r>
      <w:proofErr w:type="spellStart"/>
      <w:r>
        <w:rPr>
          <w:rFonts w:ascii="Times New Roman" w:eastAsia="Times New Roman" w:hAnsi="Times New Roman" w:cs="Times New Roman"/>
          <w:i/>
          <w:iCs/>
        </w:rPr>
        <w:t>Μεγάλη</w:t>
      </w:r>
      <w:proofErr w:type="spellEnd"/>
      <w:r>
        <w:rPr>
          <w:rFonts w:ascii="Times New Roman" w:eastAsia="Times New Roman" w:hAnsi="Times New Roman" w:cs="Times New Roman"/>
          <w:i/>
          <w:iCs/>
        </w:rPr>
        <w:t xml:space="preserve"> </w:t>
      </w:r>
      <w:proofErr w:type="spellStart"/>
      <w:r>
        <w:rPr>
          <w:rFonts w:ascii="Times New Roman" w:eastAsia="Times New Roman" w:hAnsi="Times New Roman" w:cs="Times New Roman"/>
          <w:i/>
          <w:iCs/>
        </w:rPr>
        <w:t>Ιδέ</w:t>
      </w:r>
      <w:proofErr w:type="spellEnd"/>
      <w:r>
        <w:rPr>
          <w:rFonts w:ascii="Times New Roman" w:eastAsia="Times New Roman" w:hAnsi="Times New Roman" w:cs="Times New Roman"/>
          <w:i/>
          <w:iCs/>
        </w:rPr>
        <w:t>α</w:t>
      </w:r>
      <w:r>
        <w:rPr>
          <w:rFonts w:ascii="Times New Roman" w:eastAsia="Times New Roman" w:hAnsi="Times New Roman" w:cs="Times New Roman"/>
        </w:rPr>
        <w:t xml:space="preserve">): the nationalist aspiration for the reunification of all Greek-speaking peoples and historically Greek territories under one </w:t>
      </w:r>
      <w:r>
        <w:rPr>
          <w:rFonts w:ascii="Times New Roman" w:eastAsia="Times New Roman" w:hAnsi="Times New Roman" w:cs="Times New Roman"/>
        </w:rPr>
        <w:lastRenderedPageBreak/>
        <w:t>state as a political whole. ‘Greater Greece’ would embrace all territories in the Balkans, Cyprus, Crete, Asia Minor and the north shore of the Black Sea. Greek ideals of expansionism did not sit well with western European leaders, who suspected Russia of using Orthodox proxies to acquire Constantinople. This ultimately led to the Crimean War (1853–6), with England and France protecting the Ottoman Empire.</w:t>
      </w:r>
      <w:r w:rsidR="000E02BD">
        <w:rPr>
          <w:rFonts w:ascii="Times New Roman" w:eastAsia="Times New Roman" w:hAnsi="Times New Roman" w:cs="Times New Roman"/>
        </w:rPr>
        <w:t xml:space="preserve"> </w:t>
      </w:r>
      <w:r>
        <w:rPr>
          <w:rFonts w:ascii="Times New Roman" w:eastAsia="Times New Roman" w:hAnsi="Times New Roman" w:cs="Times New Roman"/>
        </w:rPr>
        <w:t>The desire was to establish the Aegean as the ‘Greek Sea’ of the Byzantines, after the humiliating defeat of the 1897 Greco-Turkish war. This ambition ended with the equally humiliating Asia Minor disaster of 1922 which stabilised the geographical borders of modern Greece and secured the exchange of populations between Greece and Turkey with the Treaty of Lausanne (1923). The vision of Greece restored to its Byzantine glory continues to permeate Greek collective consciousness, however, through patterns drawn from Byzantine apocalyptic literature and historical myths, particularly those from the empire's final centuries. While not explicitly articulated in mainstream discourse, these narratives remain influential and are often exploited by Greek far-right political parties. On May 29, 2025 – the anniversary of Constantinople's fall in 1453, a date of profound mourning for some Greeks – Kyriakos Velopoulos, leader of the far-right party ‘Hellenic Solution’, posted a triumphant message on X. He declared to his followers there: "We</w:t>
      </w:r>
      <w:r w:rsidR="007F77D3">
        <w:rPr>
          <w:rFonts w:ascii="Times New Roman" w:eastAsia="Times New Roman" w:hAnsi="Times New Roman" w:cs="Times New Roman"/>
        </w:rPr>
        <w:t xml:space="preserve"> will liberate Constantinople!". </w:t>
      </w:r>
      <w:proofErr w:type="spellStart"/>
      <w:r w:rsidR="007F77D3">
        <w:rPr>
          <w:rFonts w:ascii="Times New Roman" w:eastAsia="Times New Roman" w:hAnsi="Times New Roman" w:cs="Times New Roman"/>
        </w:rPr>
        <w:t>Velopoulos</w:t>
      </w:r>
      <w:proofErr w:type="spellEnd"/>
      <w:r w:rsidR="007F77D3">
        <w:rPr>
          <w:rFonts w:ascii="Times New Roman" w:eastAsia="Times New Roman" w:hAnsi="Times New Roman" w:cs="Times New Roman"/>
        </w:rPr>
        <w:t xml:space="preserve"> elaborated</w:t>
      </w:r>
      <w:r>
        <w:rPr>
          <w:rFonts w:ascii="Times New Roman" w:eastAsia="Times New Roman" w:hAnsi="Times New Roman" w:cs="Times New Roman"/>
        </w:rPr>
        <w:t xml:space="preserve"> on these </w:t>
      </w:r>
      <w:r w:rsidR="007F77D3">
        <w:rPr>
          <w:rFonts w:ascii="Times New Roman" w:eastAsia="Times New Roman" w:hAnsi="Times New Roman" w:cs="Times New Roman"/>
        </w:rPr>
        <w:t xml:space="preserve">irredentist </w:t>
      </w:r>
      <w:r>
        <w:rPr>
          <w:rFonts w:ascii="Times New Roman" w:eastAsia="Times New Roman" w:hAnsi="Times New Roman" w:cs="Times New Roman"/>
        </w:rPr>
        <w:t>ideas the previous day during an interview aired on the Mega Channel's Evening News, one of Greece's most prominent private television networks.</w:t>
      </w:r>
    </w:p>
    <w:p w14:paraId="0A0341BF" w14:textId="77777777" w:rsidR="00277D69" w:rsidRDefault="00277D69" w:rsidP="00277D69">
      <w:pPr>
        <w:spacing w:after="0" w:line="480" w:lineRule="auto"/>
        <w:ind w:firstLine="720"/>
        <w:jc w:val="both"/>
        <w:rPr>
          <w:rFonts w:ascii="Times New Roman" w:eastAsia="Times New Roman" w:hAnsi="Times New Roman" w:cs="Times New Roman"/>
        </w:rPr>
      </w:pPr>
      <w:proofErr w:type="spellStart"/>
      <w:r>
        <w:rPr>
          <w:rFonts w:ascii="Times New Roman" w:eastAsia="Times New Roman" w:hAnsi="Times New Roman" w:cs="Times New Roman"/>
        </w:rPr>
        <w:t>Fallmerayer’s</w:t>
      </w:r>
      <w:proofErr w:type="spellEnd"/>
      <w:r>
        <w:rPr>
          <w:rFonts w:ascii="Times New Roman" w:eastAsia="Times New Roman" w:hAnsi="Times New Roman" w:cs="Times New Roman"/>
        </w:rPr>
        <w:t xml:space="preserve"> racial theory was particularly tempting to Slavs including the Bulgarians, Albanians and other developing Balkan nation-states. It was most fully exploited by nineteenth-century Russian intellectuals who based their visions for a ‘natural’ Slavic communism on it, in keeping with what they perceived to be the inherent communistic tendencies of the Slavic people.</w:t>
      </w:r>
      <w:r>
        <w:rPr>
          <w:rFonts w:ascii="Times New Roman" w:eastAsia="Times New Roman" w:hAnsi="Times New Roman" w:cs="Times New Roman"/>
          <w:vertAlign w:val="superscript"/>
        </w:rPr>
        <w:endnoteReference w:id="47"/>
      </w:r>
      <w:r>
        <w:rPr>
          <w:rFonts w:ascii="Times New Roman" w:eastAsia="Times New Roman" w:hAnsi="Times New Roman" w:cs="Times New Roman"/>
        </w:rPr>
        <w:t xml:space="preserve"> Thus, Byzantium was painted red. Marxism in Russia and the Slavic world utilised </w:t>
      </w:r>
      <w:r>
        <w:rPr>
          <w:rFonts w:ascii="Times New Roman" w:eastAsia="Times New Roman" w:hAnsi="Times New Roman" w:cs="Times New Roman"/>
        </w:rPr>
        <w:lastRenderedPageBreak/>
        <w:t>Byzantinism in the construction and justification of present realities – though within strictly controlled parameters that omitted its religious dimensions</w:t>
      </w:r>
      <w:r>
        <w:rPr>
          <w:rFonts w:ascii="Times New Roman" w:eastAsia="Times New Roman" w:hAnsi="Times New Roman" w:cs="Times New Roman"/>
          <w:sz w:val="16"/>
          <w:szCs w:val="16"/>
        </w:rPr>
        <w:t>.</w:t>
      </w:r>
      <w:r>
        <w:rPr>
          <w:rFonts w:ascii="Times New Roman" w:eastAsia="Times New Roman" w:hAnsi="Times New Roman" w:cs="Times New Roman"/>
          <w:sz w:val="16"/>
          <w:szCs w:val="16"/>
          <w:vertAlign w:val="superscript"/>
        </w:rPr>
        <w:endnoteReference w:id="48"/>
      </w:r>
      <w:r>
        <w:rPr>
          <w:rFonts w:ascii="Times New Roman" w:eastAsia="Times New Roman" w:hAnsi="Times New Roman" w:cs="Times New Roman"/>
        </w:rPr>
        <w:t xml:space="preserve"> Historical memory and myths prevailed, however, and everyday liturgical worship (music, architecture, painting), the presence of authentic Byzantine monuments in the local landscape in modern Slavonic countries and nation states of southeastern Europe influenced, and still decisively influences, the nature and dynamics of their ‘Byzantinisms’. Certainly, the exposure to various other cultural spheres (mainly the Roman Catholic), as well as the change of territorial and political status, influenced the character of these receptions. </w:t>
      </w:r>
    </w:p>
    <w:p w14:paraId="39FDF003"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Andrii </w:t>
      </w:r>
      <w:proofErr w:type="spellStart"/>
      <w:r>
        <w:rPr>
          <w:rFonts w:ascii="Times New Roman" w:eastAsia="Times New Roman" w:hAnsi="Times New Roman" w:cs="Times New Roman"/>
        </w:rPr>
        <w:t>Domanovskyi</w:t>
      </w:r>
      <w:proofErr w:type="spellEnd"/>
      <w:r>
        <w:rPr>
          <w:rFonts w:ascii="Times New Roman" w:eastAsia="Times New Roman" w:hAnsi="Times New Roman" w:cs="Times New Roman"/>
        </w:rPr>
        <w:t xml:space="preserve"> and Maryna </w:t>
      </w:r>
      <w:proofErr w:type="spellStart"/>
      <w:r>
        <w:rPr>
          <w:rFonts w:ascii="Times New Roman" w:eastAsia="Times New Roman" w:hAnsi="Times New Roman" w:cs="Times New Roman"/>
        </w:rPr>
        <w:t>Domanovska</w:t>
      </w:r>
      <w:proofErr w:type="spellEnd"/>
      <w:r>
        <w:rPr>
          <w:rFonts w:ascii="Times New Roman" w:eastAsia="Times New Roman" w:hAnsi="Times New Roman" w:cs="Times New Roman"/>
        </w:rPr>
        <w:t xml:space="preserve"> chart the complex Ukrainian response to Byzantium along two trajectories: a religious strand marked by profound ambivalence, informed by the survival of an Orthodoxy inherited from Byzantium, but also the unification of the Ukrainian Greek Catholic Church. Condemnation of Byzantine ‘apostasy’ has gradually shifted towards increased acceptance of Byzantine inheritance, as Ukrainian Orthodoxy has sought independence from the Moscow Patriarchate. The authors also explore the secular tradition, informed by</w:t>
      </w:r>
      <w:r w:rsidR="007F77D3">
        <w:rPr>
          <w:rFonts w:ascii="Times New Roman" w:eastAsia="Times New Roman" w:hAnsi="Times New Roman" w:cs="Times New Roman"/>
        </w:rPr>
        <w:t xml:space="preserve"> European Enlightenment thought</w:t>
      </w:r>
      <w:r>
        <w:rPr>
          <w:rFonts w:ascii="Times New Roman" w:eastAsia="Times New Roman" w:hAnsi="Times New Roman" w:cs="Times New Roman"/>
        </w:rPr>
        <w:t xml:space="preserve"> that has consistently viewed Byzantinism as synonymous with backwardness and Russian imperialism since the nineteenth century. Both trajectories have more recently converged on a tentative interest in reclaiming Ukraine's Byzantine inheritance from Russian appropriation.</w:t>
      </w:r>
    </w:p>
    <w:p w14:paraId="5DED82B2" w14:textId="16B8C27C" w:rsidR="00277D69" w:rsidRDefault="00277D69" w:rsidP="00277D69">
      <w:pPr>
        <w:spacing w:after="0" w:line="480" w:lineRule="auto"/>
        <w:ind w:firstLine="720"/>
        <w:jc w:val="both"/>
        <w:rPr>
          <w:rFonts w:ascii="Times New Roman" w:eastAsia="Times New Roman" w:hAnsi="Times New Roman" w:cs="Times New Roman"/>
          <w:color w:val="040C28"/>
        </w:rPr>
      </w:pPr>
      <w:r>
        <w:rPr>
          <w:rFonts w:ascii="Times New Roman" w:eastAsia="Times New Roman" w:hAnsi="Times New Roman" w:cs="Times New Roman"/>
          <w:color w:val="040C28"/>
        </w:rPr>
        <w:t xml:space="preserve">The use of Byzantine Orthodoxy in political future crafting continues in earnest today, not only in those regions that perceive a certain continuity from the empire. Sarah Riccardi Swartz discusses in this volume the crucial role that the ‘floating signifier’ of Byzantium still plays not only in the </w:t>
      </w:r>
      <w:proofErr w:type="spellStart"/>
      <w:r>
        <w:rPr>
          <w:rFonts w:ascii="Times New Roman" w:eastAsia="Times New Roman" w:hAnsi="Times New Roman" w:cs="Times New Roman"/>
          <w:color w:val="040C28"/>
        </w:rPr>
        <w:t>theo</w:t>
      </w:r>
      <w:proofErr w:type="spellEnd"/>
      <w:r>
        <w:rPr>
          <w:rFonts w:ascii="Times New Roman" w:eastAsia="Times New Roman" w:hAnsi="Times New Roman" w:cs="Times New Roman"/>
          <w:color w:val="040C28"/>
        </w:rPr>
        <w:t>-politics of Putin, but also for far-right groups in the United States. Byzantium is appropriated in support of antidemocratic visions for a corporati</w:t>
      </w:r>
      <w:r w:rsidR="000E02BD">
        <w:rPr>
          <w:rFonts w:ascii="Times New Roman" w:eastAsia="Times New Roman" w:hAnsi="Times New Roman" w:cs="Times New Roman"/>
          <w:color w:val="040C28"/>
        </w:rPr>
        <w:t>s</w:t>
      </w:r>
      <w:r>
        <w:rPr>
          <w:rFonts w:ascii="Times New Roman" w:eastAsia="Times New Roman" w:hAnsi="Times New Roman" w:cs="Times New Roman"/>
          <w:color w:val="040C28"/>
        </w:rPr>
        <w:t xml:space="preserve">ed form of </w:t>
      </w:r>
      <w:r>
        <w:rPr>
          <w:rFonts w:ascii="Times New Roman" w:eastAsia="Times New Roman" w:hAnsi="Times New Roman" w:cs="Times New Roman"/>
          <w:color w:val="040C28"/>
        </w:rPr>
        <w:lastRenderedPageBreak/>
        <w:t xml:space="preserve">caesaropapism by </w:t>
      </w:r>
      <w:r w:rsidR="007F77D3">
        <w:rPr>
          <w:rFonts w:ascii="Times New Roman" w:eastAsia="Times New Roman" w:hAnsi="Times New Roman" w:cs="Times New Roman"/>
          <w:color w:val="040C28"/>
        </w:rPr>
        <w:t>ascendant</w:t>
      </w:r>
      <w:r>
        <w:rPr>
          <w:rFonts w:ascii="Times New Roman" w:eastAsia="Times New Roman" w:hAnsi="Times New Roman" w:cs="Times New Roman"/>
          <w:color w:val="040C28"/>
        </w:rPr>
        <w:t xml:space="preserve"> technocrats, for example, who use it to critique American society and to support their vision for an American Caesar who will overturn forty years of destructive neoliberal ‘</w:t>
      </w:r>
      <w:proofErr w:type="spellStart"/>
      <w:r>
        <w:rPr>
          <w:rFonts w:ascii="Times New Roman" w:eastAsia="Times New Roman" w:hAnsi="Times New Roman" w:cs="Times New Roman"/>
          <w:color w:val="040C28"/>
        </w:rPr>
        <w:t>wokism</w:t>
      </w:r>
      <w:proofErr w:type="spellEnd"/>
      <w:r>
        <w:rPr>
          <w:rFonts w:ascii="Times New Roman" w:eastAsia="Times New Roman" w:hAnsi="Times New Roman" w:cs="Times New Roman"/>
          <w:color w:val="040C28"/>
        </w:rPr>
        <w:t xml:space="preserve">’. These groups find easy conversation partners in reactive Orthodox converts in the US who embrace not only the trappings of Byzantium, but also the Russian Orthodox Church’s positioning of themselves as the Third Rome. The latter becomes for these American converts a spiritual harbinger of their symphonic worldbuilding wherein governmental structures should expand a religio-political agenda. The pillars of Byzantine Orthodoxy and imperialism have continued to be deeply intertwined in many modern responses. </w:t>
      </w:r>
    </w:p>
    <w:p w14:paraId="7BBBDE2C" w14:textId="77777777" w:rsidR="007F77D3" w:rsidRDefault="007F77D3" w:rsidP="00277D69">
      <w:pPr>
        <w:spacing w:after="0" w:line="480" w:lineRule="auto"/>
        <w:ind w:firstLine="720"/>
        <w:jc w:val="both"/>
        <w:rPr>
          <w:rFonts w:ascii="Times New Roman" w:eastAsia="Times New Roman" w:hAnsi="Times New Roman" w:cs="Times New Roman"/>
        </w:rPr>
      </w:pPr>
    </w:p>
    <w:p w14:paraId="71473352" w14:textId="77777777" w:rsidR="00277D69" w:rsidRDefault="00277D69" w:rsidP="00277D69">
      <w:pPr>
        <w:spacing w:after="0" w:line="480" w:lineRule="auto"/>
        <w:rPr>
          <w:rFonts w:ascii="Times New Roman" w:eastAsia="Times New Roman" w:hAnsi="Times New Roman" w:cs="Times New Roman"/>
          <w:b/>
          <w:bCs/>
        </w:rPr>
      </w:pPr>
      <w:r>
        <w:rPr>
          <w:rFonts w:ascii="Times New Roman" w:eastAsia="Times New Roman" w:hAnsi="Times New Roman" w:cs="Times New Roman"/>
          <w:b/>
          <w:bCs/>
        </w:rPr>
        <w:t>Spiritual Revival and its Image</w:t>
      </w:r>
    </w:p>
    <w:p w14:paraId="5388BC03"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The distancing of the eastern half of the empire from its western half was deeply informed by the Orthodoxy of the former. Especially from the time of the Bollandists in the seventeenth century, the Orthodox ‘Greeks’ were framed as schismatic heretics who could not be called Romans because that was the name of the one true church.</w:t>
      </w:r>
      <w:r>
        <w:rPr>
          <w:rFonts w:ascii="Times New Roman" w:eastAsia="Times New Roman" w:hAnsi="Times New Roman" w:cs="Times New Roman"/>
          <w:vertAlign w:val="superscript"/>
        </w:rPr>
        <w:endnoteReference w:id="49"/>
      </w:r>
      <w:r>
        <w:rPr>
          <w:rFonts w:ascii="Times New Roman" w:eastAsia="Times New Roman" w:hAnsi="Times New Roman" w:cs="Times New Roman"/>
        </w:rPr>
        <w:t xml:space="preserve"> Indeed, it was the papacy that facilitated the transfer of the imperial title by means of the coronation of western leaders, and this contributed to the eventual schism. The lack </w:t>
      </w:r>
      <w:r w:rsidR="007F77D3">
        <w:rPr>
          <w:rFonts w:ascii="Times New Roman" w:eastAsia="Times New Roman" w:hAnsi="Times New Roman" w:cs="Times New Roman"/>
        </w:rPr>
        <w:t>of communion with the Catholic C</w:t>
      </w:r>
      <w:r>
        <w:rPr>
          <w:rFonts w:ascii="Times New Roman" w:eastAsia="Times New Roman" w:hAnsi="Times New Roman" w:cs="Times New Roman"/>
        </w:rPr>
        <w:t>hurch continued to be a complaint, as it was for many Ukrainian Christians. The aversion of European Protestants, in particular, to the inherently material and visual religious practices of the Byzantines was predictable. For both Catholics and Protestants alike, Orthodox religiosity was excessive, indulgent and thus feminine in essence.</w:t>
      </w:r>
      <w:r>
        <w:rPr>
          <w:rFonts w:ascii="Times New Roman" w:eastAsia="Times New Roman" w:hAnsi="Times New Roman" w:cs="Times New Roman"/>
          <w:vertAlign w:val="superscript"/>
        </w:rPr>
        <w:endnoteReference w:id="50"/>
      </w:r>
    </w:p>
    <w:p w14:paraId="3FA1963B"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In the same way that the multi-ethnic state of Byzantium was identified with ‘the Greek Empire’, bypassing its cosmopolitanism, Byzantium has also functioned as an Orthodox forebear and precedent for Orthodox dominion despite the pluralistic mosaic of religious beliefs and </w:t>
      </w:r>
      <w:r>
        <w:rPr>
          <w:rFonts w:ascii="Times New Roman" w:eastAsia="Times New Roman" w:hAnsi="Times New Roman" w:cs="Times New Roman"/>
        </w:rPr>
        <w:lastRenderedPageBreak/>
        <w:t>spiritualities practised within its borders and the composite nature of Orthodoxy thereafter. Orthodoxy has been, and still is, one of the most enduring pillars of Byzantium and constituent of Byzantinisms. In Orthodox diaspora communities since the fall of the empire, Byzantium has most often been understood as synonymous with Orthodoxy.</w:t>
      </w:r>
      <w:r>
        <w:rPr>
          <w:rFonts w:ascii="Times New Roman" w:eastAsia="Times New Roman" w:hAnsi="Times New Roman" w:cs="Times New Roman"/>
          <w:vertAlign w:val="superscript"/>
        </w:rPr>
        <w:endnoteReference w:id="51"/>
      </w:r>
      <w:r>
        <w:rPr>
          <w:rFonts w:ascii="Times New Roman" w:eastAsia="Times New Roman" w:hAnsi="Times New Roman" w:cs="Times New Roman"/>
        </w:rPr>
        <w:t xml:space="preserve">However, the denial of continuity between the eastern and western halves of the empire with regards to Christianity has not impeded, and has perhaps even facilitated, various later rehabilitations and uncontested claims to the ancient and pure religiosity and legacy of Byzantium.  </w:t>
      </w:r>
    </w:p>
    <w:p w14:paraId="350D38CA"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The installation of Byzantine-style icons by Russian artists Sergei Federov in 1994 and Archimandrite Zinon in 2019 in Westminster Abbey represents a fascinating ecclesiastical irony that highlights the enduring appeal of eastern Christian visual culture across denominational boundaries. In commissioning the icons, the Anglican communion embraced the same artistic tradition that Westminster Cathedral (1895–1903) nearby had employed a century earlier to assert Catholic legitimacy and ancient authenticity through its Neo-Byzantine architecture. In the case of the cathedral, the Byzantine was chosen to contrast with the Gothic style of the medieval abbey. While the 1994 icons of the Virgin </w:t>
      </w:r>
      <w:proofErr w:type="spellStart"/>
      <w:r>
        <w:rPr>
          <w:rFonts w:ascii="Times New Roman" w:eastAsia="Times New Roman" w:hAnsi="Times New Roman" w:cs="Times New Roman"/>
        </w:rPr>
        <w:t>Hodegetria</w:t>
      </w:r>
      <w:proofErr w:type="spellEnd"/>
      <w:r>
        <w:rPr>
          <w:rFonts w:ascii="Times New Roman" w:eastAsia="Times New Roman" w:hAnsi="Times New Roman" w:cs="Times New Roman"/>
        </w:rPr>
        <w:t xml:space="preserve"> and Christ that prominently flank the view towards the nave are traditional in theme, the more recent icon of St Edward the Confessor by Fr Zinon merges the ancient spirituality of the Byzantine style with the local Christian legacy in a mutually reinforcing synthesis that transforms England's founding saint into one of eternal significance. This juxtaposition creates a compelling ecclesiastical dialogue where Edward’s Anglo-Saxon sanctity is reinterpreted through the theological language of Byzantium, effectively bridging the temporal gap between medieval England and the eternal principles of eastern iconographic tradition. The icon’s placement within the shrine itself – the sacred heart of Westminster Abbey – elevates this convergence to a profound statement about the universal </w:t>
      </w:r>
      <w:r>
        <w:rPr>
          <w:rFonts w:ascii="Times New Roman" w:eastAsia="Times New Roman" w:hAnsi="Times New Roman" w:cs="Times New Roman"/>
        </w:rPr>
        <w:lastRenderedPageBreak/>
        <w:t xml:space="preserve">nature of Christian sanctity that transcends denominational boundaries and historical epochs. It speaks also to the sacramentalism of high Anglicanism. </w:t>
      </w:r>
    </w:p>
    <w:p w14:paraId="574871AD"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The presence of these Byzantine icons in Anglican Westminster Abbey and the architecture and mosaics of Catholic Westminster Cathedral belong to a long legacy of eastern Christian artistic forms transcending confessional boundaries. Both traditions claimed the spiritual authority and ancient aesthetic legitimacy that Byzantine culture represents – a remarkable case of competing churches finding common ground in their shared appreciation for the visual currency of Byzantium. Indeed, the perceived spiritual value of Byzantium and its icons in modernity after a lapse of time, the encroachment of secularism and the alienation of postmodernity within faith traditions, was literally embodied by Rowan Williams, who served as Archbishop of Canterbury from 2002 to 2012. Williams was not only a passionate advocate for icon veneration – delivering lectures on ‘Icons and the Practice of Prayer’ at the Royal Academy of Arts and writing extensively on praying with Eastern Orthodox icons – he also wore a huge medallion emblazoned with the </w:t>
      </w:r>
      <w:proofErr w:type="spellStart"/>
      <w:r>
        <w:rPr>
          <w:rFonts w:ascii="Times New Roman" w:eastAsia="Times New Roman" w:hAnsi="Times New Roman" w:cs="Times New Roman"/>
        </w:rPr>
        <w:t>Pantocrator</w:t>
      </w:r>
      <w:proofErr w:type="spellEnd"/>
      <w:r>
        <w:rPr>
          <w:rFonts w:ascii="Times New Roman" w:eastAsia="Times New Roman" w:hAnsi="Times New Roman" w:cs="Times New Roman"/>
        </w:rPr>
        <w:t xml:space="preserve"> mosaic (c.1100) from the dome of the monastery church at Daphni, Attica on occasion. </w:t>
      </w:r>
    </w:p>
    <w:p w14:paraId="113DE0F4"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Byzantium’s image was used positively and quite widely outside of Orthodoxy in calls for revival that could be spiritual, moral or social. It was connected in more secular revival movements, such as the Arts and Crafts, to the desire for social and moral regeneration in the face of modern alienation.</w:t>
      </w:r>
      <w:r>
        <w:rPr>
          <w:rFonts w:ascii="Times New Roman" w:eastAsia="Times New Roman" w:hAnsi="Times New Roman" w:cs="Times New Roman"/>
          <w:vertAlign w:val="superscript"/>
        </w:rPr>
        <w:endnoteReference w:id="52"/>
      </w:r>
      <w:r>
        <w:rPr>
          <w:rFonts w:ascii="Times New Roman" w:eastAsia="Times New Roman" w:hAnsi="Times New Roman" w:cs="Times New Roman"/>
        </w:rPr>
        <w:t xml:space="preserve">In non-religious contexts, the spiritual authority and visceral power of the icon continues to escape its historical specificity to critique present injustices; Peers discusses in this volume the work of contemporary African American artists in the U.S. who mobilise the Byzantine economy of the gaze as well as formal trappings of the icon in social and </w:t>
      </w:r>
      <w:r>
        <w:rPr>
          <w:rFonts w:ascii="Times New Roman" w:eastAsia="Times New Roman" w:hAnsi="Times New Roman" w:cs="Times New Roman"/>
        </w:rPr>
        <w:lastRenderedPageBreak/>
        <w:t xml:space="preserve">political critiques. Such images belie the original nature of Byzantine art and yet continue its powerful language of presence, authority and dignity. </w:t>
      </w:r>
    </w:p>
    <w:p w14:paraId="0DEBA1B9" w14:textId="090D70EC"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Conversely, Byzantium’s Orthodoxy and its image have also brought two of its ‘heirs’ remarkably close: Greece and Russia. The image of Orthodox Byzantium has undergone significant transformations in both Russian and Greek cultural history. In Russia, this evolution, based on inheriting the Second Rome (Byzantium) through the medieval principality of the ‘Princes of Vladimir’, extended from the mid-nineteenth century. Thinkers like Konstantin Leontiev (1831–91) sought to construct an ‘Eidetic’ Byzantium – an ideal synthesis of beauty, hierarchy and Orthodox spirituality – as a model for Russian statehood, church and culture. Yuri Pyatnitsky explores the earliest exhibitions of Byzantine art which were held in Saint Petersburg in 1859 and 1861. These exhibitions received imperial support in keeping with Russia’s self-understood status as the heir of Orthodox Byzantium. They were fuelled by the desire to connect to authentic Byzantine icons, primarily from Mount Athos, and driven forward by the scholarly endeavours of Pyotr Sevastyanov (1811</w:t>
      </w:r>
      <w:r w:rsidR="000E02BD">
        <w:rPr>
          <w:rFonts w:ascii="Times New Roman" w:eastAsia="Times New Roman" w:hAnsi="Times New Roman" w:cs="Times New Roman"/>
        </w:rPr>
        <w:t>–</w:t>
      </w:r>
      <w:r>
        <w:rPr>
          <w:rFonts w:ascii="Times New Roman" w:eastAsia="Times New Roman" w:hAnsi="Times New Roman" w:cs="Times New Roman"/>
        </w:rPr>
        <w:t>67). This trajectory continued up until 1917 and into the modern era with Putin’s revamped imperialist conception of Russia as the Third Rome, which has been expressed at times through his perceived authority to protect the country’s sacred icons.</w:t>
      </w:r>
      <w:r>
        <w:rPr>
          <w:rFonts w:ascii="Times New Roman" w:eastAsia="Times New Roman" w:hAnsi="Times New Roman" w:cs="Times New Roman"/>
          <w:vertAlign w:val="superscript"/>
        </w:rPr>
        <w:endnoteReference w:id="53"/>
      </w:r>
    </w:p>
    <w:p w14:paraId="23A7E8B6" w14:textId="34F20A6E" w:rsidR="00277D69" w:rsidRDefault="00277D69" w:rsidP="00277D69">
      <w:pPr>
        <w:pBdr>
          <w:top w:val="nil"/>
          <w:left w:val="nil"/>
          <w:bottom w:val="nil"/>
          <w:right w:val="nil"/>
          <w:between w:val="nil"/>
        </w:pBdr>
        <w:spacing w:after="0" w:line="480" w:lineRule="auto"/>
        <w:ind w:firstLine="720"/>
        <w:jc w:val="both"/>
        <w:rPr>
          <w:rFonts w:ascii="Times New Roman" w:eastAsia="Times New Roman" w:hAnsi="Times New Roman" w:cs="Times New Roman"/>
          <w:color w:val="040C28"/>
        </w:rPr>
      </w:pPr>
      <w:r>
        <w:rPr>
          <w:rFonts w:ascii="Times New Roman" w:eastAsia="Times New Roman" w:hAnsi="Times New Roman" w:cs="Times New Roman"/>
          <w:color w:val="040C28"/>
        </w:rPr>
        <w:t>‘Neo-Orthodoxy’ has existed as a specific intellectual and cultural phenomenon aside from imperialistic motivations in modern Greece. The term was coined in the 1980s primarily to describe the reappropriation of Byzantine Orthodoxy, which was considered more authentic and pure by theologians and within the religious endeavours of intellectuals</w:t>
      </w:r>
      <w:r w:rsidR="003F4005">
        <w:rPr>
          <w:rFonts w:ascii="Times New Roman" w:eastAsia="Times New Roman" w:hAnsi="Times New Roman" w:cs="Times New Roman"/>
          <w:color w:val="040C28"/>
        </w:rPr>
        <w:t>, primarily,</w:t>
      </w:r>
      <w:r>
        <w:rPr>
          <w:rFonts w:ascii="Times New Roman" w:eastAsia="Times New Roman" w:hAnsi="Times New Roman" w:cs="Times New Roman"/>
          <w:color w:val="040C28"/>
        </w:rPr>
        <w:t xml:space="preserve"> on the left. This was an unsystematic phenomenon that was not fully respected as a concept by those involved, many of whom rejected the idea of separation and newness over a deeply rooted </w:t>
      </w:r>
      <w:r>
        <w:rPr>
          <w:rFonts w:ascii="Times New Roman" w:eastAsia="Times New Roman" w:hAnsi="Times New Roman" w:cs="Times New Roman"/>
          <w:color w:val="040C28"/>
        </w:rPr>
        <w:lastRenderedPageBreak/>
        <w:t xml:space="preserve">connection to an authentic Orthodox tradition. Nonetheless, it can be </w:t>
      </w:r>
      <w:r w:rsidR="003F4005">
        <w:rPr>
          <w:rFonts w:ascii="Times New Roman" w:eastAsia="Times New Roman" w:hAnsi="Times New Roman" w:cs="Times New Roman"/>
          <w:color w:val="040C28"/>
        </w:rPr>
        <w:t>seen as belonging to a wider re</w:t>
      </w:r>
      <w:r>
        <w:rPr>
          <w:rFonts w:ascii="Times New Roman" w:eastAsia="Times New Roman" w:hAnsi="Times New Roman" w:cs="Times New Roman"/>
          <w:color w:val="040C28"/>
        </w:rPr>
        <w:t>appropriation of Orthodoxy which began in the mid-1950s and 1960s.</w:t>
      </w:r>
      <w:r>
        <w:rPr>
          <w:rFonts w:ascii="Times New Roman" w:eastAsia="Times New Roman" w:hAnsi="Times New Roman" w:cs="Times New Roman"/>
          <w:color w:val="040C28"/>
          <w:vertAlign w:val="superscript"/>
        </w:rPr>
        <w:endnoteReference w:id="54"/>
      </w:r>
      <w:r>
        <w:rPr>
          <w:rFonts w:ascii="Times New Roman" w:eastAsia="Times New Roman" w:hAnsi="Times New Roman" w:cs="Times New Roman"/>
          <w:color w:val="040C28"/>
        </w:rPr>
        <w:t xml:space="preserve"> From the 60s onwards, various Greek intellectuals, mainly theologians, explored how Byzantine Orthodoxy could revitalise Greek spirituality and culture through the ‘modernization’ of this ancient pillar of Greek identity. In this, they assimilated in their writings the teachings, work and aesthetic principles of Russian émigrés in Paris primarily. They drew particularly on theologians and authors such as Fr George Florovsky (1893–1979), Vladimir Lossky (1903–1958) and Leonid Ouspensky (1902–</w:t>
      </w:r>
      <w:r w:rsidR="003F4005">
        <w:rPr>
          <w:rFonts w:ascii="Times New Roman" w:eastAsia="Times New Roman" w:hAnsi="Times New Roman" w:cs="Times New Roman"/>
          <w:color w:val="040C28"/>
        </w:rPr>
        <w:t>87), who had, in their turn, re</w:t>
      </w:r>
      <w:r>
        <w:rPr>
          <w:rFonts w:ascii="Times New Roman" w:eastAsia="Times New Roman" w:hAnsi="Times New Roman" w:cs="Times New Roman"/>
          <w:color w:val="040C28"/>
        </w:rPr>
        <w:t>appropriated the spirit of Orthodoxy.</w:t>
      </w:r>
      <w:r>
        <w:rPr>
          <w:rFonts w:ascii="Times New Roman" w:eastAsia="Times New Roman" w:hAnsi="Times New Roman" w:cs="Times New Roman"/>
          <w:color w:val="040C28"/>
          <w:vertAlign w:val="superscript"/>
        </w:rPr>
        <w:endnoteReference w:id="55"/>
      </w:r>
    </w:p>
    <w:p w14:paraId="7B9751ED" w14:textId="4486E1C5" w:rsidR="00277D69" w:rsidRPr="00D06E14" w:rsidRDefault="00277D69" w:rsidP="00277D69">
      <w:pPr>
        <w:pBdr>
          <w:top w:val="nil"/>
          <w:left w:val="nil"/>
          <w:bottom w:val="nil"/>
          <w:right w:val="nil"/>
          <w:between w:val="nil"/>
        </w:pBdr>
        <w:spacing w:after="0" w:line="480" w:lineRule="auto"/>
        <w:ind w:firstLine="720"/>
        <w:jc w:val="both"/>
        <w:rPr>
          <w:rFonts w:ascii="Times New Roman" w:eastAsia="Times New Roman" w:hAnsi="Times New Roman" w:cs="Times New Roman"/>
          <w:color w:val="040C28"/>
        </w:rPr>
      </w:pPr>
      <w:r>
        <w:rPr>
          <w:rFonts w:ascii="Times New Roman" w:eastAsia="Times New Roman" w:hAnsi="Times New Roman" w:cs="Times New Roman"/>
          <w:color w:val="040C28"/>
        </w:rPr>
        <w:t>The root</w:t>
      </w:r>
      <w:r w:rsidR="003F4005">
        <w:rPr>
          <w:rFonts w:ascii="Times New Roman" w:eastAsia="Times New Roman" w:hAnsi="Times New Roman" w:cs="Times New Roman"/>
          <w:color w:val="040C28"/>
        </w:rPr>
        <w:t>s of Neo-Orthodox ideas</w:t>
      </w:r>
      <w:r>
        <w:rPr>
          <w:rFonts w:ascii="Times New Roman" w:eastAsia="Times New Roman" w:hAnsi="Times New Roman" w:cs="Times New Roman"/>
          <w:color w:val="040C28"/>
        </w:rPr>
        <w:t xml:space="preserve"> can be traced back to the so-called ‘Generation of the ‘30s’ – a group of Greek writers, poets, </w:t>
      </w:r>
      <w:r w:rsidR="003F4005">
        <w:rPr>
          <w:rFonts w:ascii="Times New Roman" w:eastAsia="Times New Roman" w:hAnsi="Times New Roman" w:cs="Times New Roman"/>
          <w:color w:val="040C28"/>
        </w:rPr>
        <w:t>artists, intellectuals, critics,</w:t>
      </w:r>
      <w:r>
        <w:rPr>
          <w:rFonts w:ascii="Times New Roman" w:eastAsia="Times New Roman" w:hAnsi="Times New Roman" w:cs="Times New Roman"/>
          <w:color w:val="040C28"/>
        </w:rPr>
        <w:t xml:space="preserve"> and scholars that emerged in the 1930s. The group introduced modernism to Greek art and literature, while maintaining dialogue with both the Greek past and contemporary European cultural developments. Key figures hailed from all areas of Greek intellectual and cultural life and their quests permeated various manifestations of both: for example, the rehabilitation of Christian theology of the icon and aesthetics influenced </w:t>
      </w:r>
      <w:r w:rsidR="003F4005">
        <w:rPr>
          <w:rFonts w:ascii="Times New Roman" w:eastAsia="Times New Roman" w:hAnsi="Times New Roman" w:cs="Times New Roman"/>
          <w:color w:val="040C28"/>
        </w:rPr>
        <w:t xml:space="preserve">later </w:t>
      </w:r>
      <w:r>
        <w:rPr>
          <w:rFonts w:ascii="Times New Roman" w:eastAsia="Times New Roman" w:hAnsi="Times New Roman" w:cs="Times New Roman"/>
          <w:color w:val="040C28"/>
        </w:rPr>
        <w:t xml:space="preserve">Neo-Byzantinism in the arts, particularly in icon-production. Artist and intellectual </w:t>
      </w:r>
      <w:proofErr w:type="spellStart"/>
      <w:r>
        <w:rPr>
          <w:rFonts w:ascii="Times New Roman" w:eastAsia="Times New Roman" w:hAnsi="Times New Roman" w:cs="Times New Roman"/>
          <w:color w:val="040C28"/>
        </w:rPr>
        <w:t>Photis</w:t>
      </w:r>
      <w:proofErr w:type="spellEnd"/>
      <w:r>
        <w:rPr>
          <w:rFonts w:ascii="Times New Roman" w:eastAsia="Times New Roman" w:hAnsi="Times New Roman" w:cs="Times New Roman"/>
          <w:color w:val="040C28"/>
        </w:rPr>
        <w:t xml:space="preserve"> Kontoglou (1895–1965) constitutes, perhaps, the most illuminating example of these attempted Neo-Byzantinisms. Breaking from both westernizing academic approaches – exemplified by the artistic idiom of the Nazarenes – and radical experimentations that incorporated European avant-garde elements like expressionism and fauvism into icon-painting, Kontoglou, in his theoretical writings and art, and with the fervour of a priest or preacher, sought to redefine Byzantine spirituality, mentality and creative ethos within contemporary Greek reality.</w:t>
      </w:r>
      <w:r>
        <w:rPr>
          <w:rFonts w:ascii="Times New Roman" w:eastAsia="Times New Roman" w:hAnsi="Times New Roman" w:cs="Times New Roman"/>
          <w:color w:val="040C28"/>
          <w:vertAlign w:val="superscript"/>
        </w:rPr>
        <w:endnoteReference w:id="56"/>
      </w:r>
      <w:r w:rsidR="000E02BD">
        <w:rPr>
          <w:rFonts w:ascii="Times New Roman" w:eastAsia="Times New Roman" w:hAnsi="Times New Roman" w:cs="Times New Roman"/>
          <w:color w:val="040C28"/>
        </w:rPr>
        <w:t xml:space="preserve"> </w:t>
      </w:r>
      <w:r w:rsidR="00086385">
        <w:rPr>
          <w:rFonts w:ascii="Times New Roman" w:eastAsia="Times New Roman" w:hAnsi="Times New Roman" w:cs="Times New Roman"/>
          <w:color w:val="040C28"/>
        </w:rPr>
        <w:t>The contribution of the reappropriation of Byzantine spirituality, through ‘Neo-Orthodoxy’, permeated all spheres of the modern Greek cultural life</w:t>
      </w:r>
      <w:r w:rsidR="00FB2768">
        <w:rPr>
          <w:rFonts w:ascii="Times New Roman" w:eastAsia="Times New Roman" w:hAnsi="Times New Roman" w:cs="Times New Roman"/>
          <w:color w:val="040C28"/>
        </w:rPr>
        <w:t xml:space="preserve">– philosophy </w:t>
      </w:r>
      <w:r w:rsidR="00FB2768">
        <w:rPr>
          <w:rFonts w:ascii="Times New Roman" w:eastAsia="Times New Roman" w:hAnsi="Times New Roman" w:cs="Times New Roman"/>
          <w:color w:val="040C28"/>
        </w:rPr>
        <w:lastRenderedPageBreak/>
        <w:t xml:space="preserve">and theology, music, the applied arts, literature and poetry – in often outstanding manifestations that remain to be </w:t>
      </w:r>
      <w:r w:rsidR="00D06E14">
        <w:rPr>
          <w:rFonts w:ascii="Times New Roman" w:eastAsia="Times New Roman" w:hAnsi="Times New Roman" w:cs="Times New Roman"/>
          <w:color w:val="040C28"/>
        </w:rPr>
        <w:t>properly revisited.</w:t>
      </w:r>
    </w:p>
    <w:p w14:paraId="772ED9B2" w14:textId="77777777" w:rsidR="00277D69" w:rsidRDefault="00277D69" w:rsidP="00277D69">
      <w:pPr>
        <w:pBdr>
          <w:top w:val="nil"/>
          <w:left w:val="nil"/>
          <w:bottom w:val="nil"/>
          <w:right w:val="nil"/>
          <w:between w:val="nil"/>
        </w:pBdr>
        <w:spacing w:after="0" w:line="480" w:lineRule="auto"/>
        <w:ind w:firstLine="720"/>
        <w:jc w:val="both"/>
        <w:rPr>
          <w:rFonts w:ascii="Times New Roman" w:eastAsia="Times New Roman" w:hAnsi="Times New Roman" w:cs="Times New Roman"/>
          <w:color w:val="040C28"/>
        </w:rPr>
      </w:pPr>
      <w:r>
        <w:rPr>
          <w:rFonts w:ascii="Times New Roman" w:eastAsia="Times New Roman" w:hAnsi="Times New Roman" w:cs="Times New Roman"/>
          <w:color w:val="040C28"/>
        </w:rPr>
        <w:t xml:space="preserve">The icon has loomed large in modern </w:t>
      </w:r>
      <w:proofErr w:type="spellStart"/>
      <w:r>
        <w:rPr>
          <w:rFonts w:ascii="Times New Roman" w:eastAsia="Times New Roman" w:hAnsi="Times New Roman" w:cs="Times New Roman"/>
          <w:color w:val="040C28"/>
        </w:rPr>
        <w:t>reimaginings</w:t>
      </w:r>
      <w:proofErr w:type="spellEnd"/>
      <w:r>
        <w:rPr>
          <w:rFonts w:ascii="Times New Roman" w:eastAsia="Times New Roman" w:hAnsi="Times New Roman" w:cs="Times New Roman"/>
          <w:color w:val="040C28"/>
        </w:rPr>
        <w:t xml:space="preserve"> of Orthodoxy, but so too has its absence. Byzantine iconoclasm has had an enduring, if poorly understood, influence on popular understandings of Byzantium and on the centrality of the image aside from </w:t>
      </w:r>
      <w:r w:rsidR="003F4005">
        <w:rPr>
          <w:rFonts w:ascii="Times New Roman" w:eastAsia="Times New Roman" w:hAnsi="Times New Roman" w:cs="Times New Roman"/>
          <w:color w:val="040C28"/>
        </w:rPr>
        <w:t xml:space="preserve">Orthodoxy. It is </w:t>
      </w:r>
      <w:r>
        <w:rPr>
          <w:rFonts w:ascii="Times New Roman" w:eastAsia="Times New Roman" w:hAnsi="Times New Roman" w:cs="Times New Roman"/>
          <w:color w:val="040C28"/>
        </w:rPr>
        <w:t>persistently but largely superficially connected as a concept to contemporary artistic practices around image destruction and generation as well as to modern critiques of established systems. Tracy Boldrick demonstrates how twenty-first-century exhibitions on iconoclasm invoke Byzantine precedent broadly, without engaging the specific religious and political complexities of its historical moment. Alternatively they do not engage with it at all, despite it forming one of the most sustained and generative instances of iconoclasm which embedded the icon so profoundly in Byzantine culture. Peers discusses Danish artist Per Kirkeby’s generative interaction with the Byzantine icon’s visual economy of the gaze and his identification with iconoclasm, which produces something with visual strategies clearly different from Byzantine art but which effected something of its transformational aura of effect and presence … “captured in abstraction”. The pillars of Byzantinisms have continuously reinforced each other in complex ways and from the nineteenth century onwards, Byzantium's influence as a creative, spiritual and intellectual force has transcended far beyond Orthodox contexts, inspiring diverse contemporary engagements across different cultural and secular spheres, very often embodied within the idea of the Neo-Byzantine or Byzantine revival.</w:t>
      </w:r>
    </w:p>
    <w:p w14:paraId="5B627161" w14:textId="77777777" w:rsidR="003F4005" w:rsidRDefault="003F4005" w:rsidP="00277D69">
      <w:pPr>
        <w:pBdr>
          <w:top w:val="nil"/>
          <w:left w:val="nil"/>
          <w:bottom w:val="nil"/>
          <w:right w:val="nil"/>
          <w:between w:val="nil"/>
        </w:pBdr>
        <w:spacing w:after="0" w:line="480" w:lineRule="auto"/>
        <w:ind w:firstLine="720"/>
        <w:jc w:val="both"/>
        <w:rPr>
          <w:rFonts w:ascii="Times New Roman" w:eastAsia="Times New Roman" w:hAnsi="Times New Roman" w:cs="Times New Roman"/>
          <w:color w:val="040C28"/>
        </w:rPr>
      </w:pPr>
    </w:p>
    <w:p w14:paraId="6AA48FD8" w14:textId="77777777" w:rsidR="00277D69" w:rsidRDefault="00277D69" w:rsidP="00277D69">
      <w:pPr>
        <w:spacing w:after="0" w:line="480" w:lineRule="auto"/>
        <w:rPr>
          <w:rFonts w:ascii="Times New Roman" w:eastAsia="Times New Roman" w:hAnsi="Times New Roman" w:cs="Times New Roman"/>
          <w:b/>
          <w:bCs/>
        </w:rPr>
      </w:pPr>
      <w:r>
        <w:rPr>
          <w:rFonts w:ascii="Times New Roman" w:eastAsia="Times New Roman" w:hAnsi="Times New Roman" w:cs="Times New Roman"/>
          <w:b/>
          <w:bCs/>
        </w:rPr>
        <w:t>‘Playing tricks with history’: The ‘Neo-Byzantine’ as a crea</w:t>
      </w:r>
      <w:r w:rsidR="003F4005">
        <w:rPr>
          <w:rFonts w:ascii="Times New Roman" w:eastAsia="Times New Roman" w:hAnsi="Times New Roman" w:cs="Times New Roman"/>
          <w:b/>
          <w:bCs/>
        </w:rPr>
        <w:t xml:space="preserve">tive, generative and disruptive </w:t>
      </w:r>
      <w:r>
        <w:rPr>
          <w:rFonts w:ascii="Times New Roman" w:eastAsia="Times New Roman" w:hAnsi="Times New Roman" w:cs="Times New Roman"/>
          <w:b/>
          <w:bCs/>
        </w:rPr>
        <w:t>force</w:t>
      </w:r>
    </w:p>
    <w:p w14:paraId="462F4A1A" w14:textId="77777777" w:rsidR="00277D69" w:rsidRDefault="00277D69" w:rsidP="00277D69">
      <w:pPr>
        <w:spacing w:after="0" w:line="480" w:lineRule="auto"/>
        <w:ind w:left="720"/>
        <w:jc w:val="both"/>
        <w:rPr>
          <w:rFonts w:ascii="Times New Roman" w:eastAsia="Times New Roman" w:hAnsi="Times New Roman" w:cs="Times New Roman"/>
          <w:i/>
          <w:iCs/>
        </w:rPr>
      </w:pPr>
      <w:r>
        <w:rPr>
          <w:rFonts w:ascii="Times New Roman" w:eastAsia="Times New Roman" w:hAnsi="Times New Roman" w:cs="Times New Roman"/>
          <w:i/>
          <w:iCs/>
        </w:rPr>
        <w:lastRenderedPageBreak/>
        <w:t xml:space="preserve">The Russian painters are those who, being abroad, seem to have better understood the lessons of the French painters. It would be useful to group some of these here…Ms </w:t>
      </w:r>
      <w:proofErr w:type="spellStart"/>
      <w:r>
        <w:rPr>
          <w:rFonts w:ascii="Times New Roman" w:eastAsia="Times New Roman" w:hAnsi="Times New Roman" w:cs="Times New Roman"/>
          <w:i/>
          <w:iCs/>
        </w:rPr>
        <w:t>Szeret</w:t>
      </w:r>
      <w:proofErr w:type="spellEnd"/>
      <w:r>
        <w:rPr>
          <w:rFonts w:ascii="Times New Roman" w:eastAsia="Times New Roman" w:hAnsi="Times New Roman" w:cs="Times New Roman"/>
          <w:i/>
          <w:iCs/>
        </w:rPr>
        <w:t xml:space="preserve"> and the last one the </w:t>
      </w:r>
      <w:r>
        <w:rPr>
          <w:rFonts w:ascii="Times New Roman" w:eastAsia="Times New Roman" w:hAnsi="Times New Roman" w:cs="Times New Roman"/>
          <w:b/>
          <w:bCs/>
          <w:i/>
          <w:iCs/>
        </w:rPr>
        <w:t xml:space="preserve">Neo-Byzantine </w:t>
      </w:r>
      <w:proofErr w:type="spellStart"/>
      <w:r>
        <w:rPr>
          <w:rFonts w:ascii="Times New Roman" w:eastAsia="Times New Roman" w:hAnsi="Times New Roman" w:cs="Times New Roman"/>
          <w:b/>
          <w:bCs/>
          <w:i/>
          <w:iCs/>
        </w:rPr>
        <w:t>Boichuk</w:t>
      </w:r>
      <w:proofErr w:type="spellEnd"/>
      <w:r>
        <w:rPr>
          <w:rFonts w:ascii="Times New Roman" w:eastAsia="Times New Roman" w:hAnsi="Times New Roman" w:cs="Times New Roman"/>
          <w:b/>
          <w:bCs/>
          <w:i/>
          <w:iCs/>
        </w:rPr>
        <w:t xml:space="preserve"> </w:t>
      </w:r>
      <w:r>
        <w:rPr>
          <w:rFonts w:ascii="Times New Roman" w:eastAsia="Times New Roman" w:hAnsi="Times New Roman" w:cs="Times New Roman"/>
          <w:i/>
          <w:iCs/>
        </w:rPr>
        <w:t xml:space="preserve">(Boitchouk) who filled last year’s </w:t>
      </w:r>
      <w:proofErr w:type="spellStart"/>
      <w:r>
        <w:rPr>
          <w:rFonts w:ascii="Times New Roman" w:eastAsia="Times New Roman" w:hAnsi="Times New Roman" w:cs="Times New Roman"/>
          <w:i/>
          <w:iCs/>
        </w:rPr>
        <w:t>Independants</w:t>
      </w:r>
      <w:proofErr w:type="spellEnd"/>
      <w:r>
        <w:rPr>
          <w:rFonts w:ascii="Times New Roman" w:eastAsia="Times New Roman" w:hAnsi="Times New Roman" w:cs="Times New Roman"/>
          <w:i/>
          <w:iCs/>
        </w:rPr>
        <w:t xml:space="preserve"> with his paintings and the paintings of his students, thus, perhaps teaching the French a useful lesson by reminding them that painters, no less than poets, can play tricks with history.</w:t>
      </w:r>
      <w:r>
        <w:rPr>
          <w:rFonts w:ascii="Times New Roman" w:eastAsia="Times New Roman" w:hAnsi="Times New Roman" w:cs="Times New Roman"/>
          <w:i/>
          <w:iCs/>
          <w:vertAlign w:val="superscript"/>
        </w:rPr>
        <w:endnoteReference w:id="57"/>
      </w:r>
    </w:p>
    <w:p w14:paraId="1F3AB238" w14:textId="77777777" w:rsidR="00277D69" w:rsidRDefault="00277D69" w:rsidP="00277D69">
      <w:pPr>
        <w:spacing w:after="0" w:line="480" w:lineRule="auto"/>
        <w:ind w:firstLine="720"/>
        <w:rPr>
          <w:rFonts w:ascii="Times New Roman" w:eastAsia="Times New Roman" w:hAnsi="Times New Roman" w:cs="Times New Roman"/>
        </w:rPr>
      </w:pPr>
    </w:p>
    <w:p w14:paraId="29D3E1F7" w14:textId="06D4D9FB" w:rsidR="00277D69" w:rsidRDefault="00277D69" w:rsidP="003F4005">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This is how Guillame Apollinaire (1880</w:t>
      </w:r>
      <w:r w:rsidR="000E02BD">
        <w:rPr>
          <w:rFonts w:ascii="Times New Roman" w:eastAsia="Times New Roman" w:hAnsi="Times New Roman" w:cs="Times New Roman"/>
        </w:rPr>
        <w:t>–</w:t>
      </w:r>
      <w:r>
        <w:rPr>
          <w:rFonts w:ascii="Times New Roman" w:eastAsia="Times New Roman" w:hAnsi="Times New Roman" w:cs="Times New Roman"/>
        </w:rPr>
        <w:t xml:space="preserve">1918) – the critic who defined many modern art movements, such as Cubism and Orphism – described his reaction to the exhibition of a group of Russian painters based in Paris at the </w:t>
      </w:r>
      <w:r>
        <w:rPr>
          <w:rFonts w:ascii="Times New Roman" w:eastAsia="Times New Roman" w:hAnsi="Times New Roman" w:cs="Times New Roman"/>
          <w:i/>
          <w:iCs/>
        </w:rPr>
        <w:t xml:space="preserve">Salon des </w:t>
      </w:r>
      <w:proofErr w:type="spellStart"/>
      <w:r>
        <w:rPr>
          <w:rFonts w:ascii="Times New Roman" w:eastAsia="Times New Roman" w:hAnsi="Times New Roman" w:cs="Times New Roman"/>
          <w:i/>
          <w:iCs/>
        </w:rPr>
        <w:t>Independants</w:t>
      </w:r>
      <w:proofErr w:type="spellEnd"/>
      <w:r>
        <w:rPr>
          <w:rFonts w:ascii="Times New Roman" w:eastAsia="Times New Roman" w:hAnsi="Times New Roman" w:cs="Times New Roman"/>
        </w:rPr>
        <w:t xml:space="preserve"> where they exhibited their work in 1910 and 1911. Until the beginning of the twentieth century, alternative terms had been used to describe historical monuments that demonstrated strong affinities with Byzantine architecture and thus revivalist responses. Mykhaylo Boichuk (1882–1937), the Ukrainian painter referred to by Apollinaire as ‘Neo-Byzantine’, had actually devised the term for himself well before moving to Paris. Boichuk, a monumental artist, restorer and founder of the eponymous style known as ‘</w:t>
      </w:r>
      <w:proofErr w:type="spellStart"/>
      <w:r>
        <w:rPr>
          <w:rFonts w:ascii="Times New Roman" w:eastAsia="Times New Roman" w:hAnsi="Times New Roman" w:cs="Times New Roman"/>
        </w:rPr>
        <w:t>Boychukism</w:t>
      </w:r>
      <w:proofErr w:type="spellEnd"/>
      <w:r>
        <w:rPr>
          <w:rFonts w:ascii="Times New Roman" w:eastAsia="Times New Roman" w:hAnsi="Times New Roman" w:cs="Times New Roman"/>
        </w:rPr>
        <w:t xml:space="preserve">’, was profoundly inspired by Byzantine art. He combined the Byzantine style with leading European modernistic trends and native Ukrainian folk art to develop a style of simplified monumental forms, bright colours and rhythmically integrated lines. In 1907, </w:t>
      </w:r>
      <w:proofErr w:type="spellStart"/>
      <w:r>
        <w:rPr>
          <w:rFonts w:ascii="Times New Roman" w:eastAsia="Times New Roman" w:hAnsi="Times New Roman" w:cs="Times New Roman"/>
        </w:rPr>
        <w:t>Boichuk</w:t>
      </w:r>
      <w:proofErr w:type="spellEnd"/>
      <w:r>
        <w:rPr>
          <w:rFonts w:ascii="Times New Roman" w:eastAsia="Times New Roman" w:hAnsi="Times New Roman" w:cs="Times New Roman"/>
        </w:rPr>
        <w:t xml:space="preserve"> moved to Paris and soon a group of artists who “were working taking Byzantine art as an example” was formed around him, the so-called ‘Neo-Byzantine’ school.</w:t>
      </w:r>
      <w:r>
        <w:rPr>
          <w:rFonts w:ascii="Times New Roman" w:eastAsia="Times New Roman" w:hAnsi="Times New Roman" w:cs="Times New Roman"/>
          <w:vertAlign w:val="superscript"/>
        </w:rPr>
        <w:endnoteReference w:id="58"/>
      </w:r>
      <w:r>
        <w:rPr>
          <w:rFonts w:ascii="Times New Roman" w:eastAsia="Times New Roman" w:hAnsi="Times New Roman" w:cs="Times New Roman"/>
        </w:rPr>
        <w:t xml:space="preserve"> His style was intended, as many iterations of the Neo-Byzantine were, to engage the local/national with a view to creating a truly global and inherently modern expression. The ‘Neo-Byzantines’ exhibited in </w:t>
      </w:r>
      <w:r>
        <w:rPr>
          <w:rFonts w:ascii="Times New Roman" w:eastAsia="Times New Roman" w:hAnsi="Times New Roman" w:cs="Times New Roman"/>
        </w:rPr>
        <w:lastRenderedPageBreak/>
        <w:t xml:space="preserve">the Parisian Salons of 1910 and 1911 with little success despite Apollinaire’s enthusiastic reaction. </w:t>
      </w:r>
    </w:p>
    <w:p w14:paraId="40908F7B" w14:textId="77777777" w:rsidR="00277D69" w:rsidRDefault="00277D69" w:rsidP="00277D69">
      <w:pPr>
        <w:spacing w:after="0" w:line="480" w:lineRule="auto"/>
        <w:ind w:firstLine="720"/>
        <w:jc w:val="both"/>
        <w:rPr>
          <w:rFonts w:ascii="Times New Roman" w:eastAsia="Times New Roman" w:hAnsi="Times New Roman" w:cs="Times New Roman"/>
          <w:highlight w:val="white"/>
        </w:rPr>
      </w:pPr>
      <w:r>
        <w:rPr>
          <w:rFonts w:ascii="Times New Roman" w:eastAsia="Times New Roman" w:hAnsi="Times New Roman" w:cs="Times New Roman"/>
        </w:rPr>
        <w:t>The nineteenth century’s construction of the concept of ‘Byzantium’ came in many ways through the visual, supported by its academic framing.</w:t>
      </w:r>
      <w:r>
        <w:rPr>
          <w:rFonts w:ascii="Times New Roman" w:eastAsia="Times New Roman" w:hAnsi="Times New Roman" w:cs="Times New Roman"/>
          <w:highlight w:val="white"/>
        </w:rPr>
        <w:t xml:space="preserve"> Giovanni Gaspari examines in this volume the reception of Byzantine mosaic cycles in Italy, which were so pivotal to the image of Byzantium in the west and in modern art. He charts how their reception was fragmented and contested until the end of the nineteenth century, when their systematic treatment within Byzantine Studies mitigated the partial/misleading impression of Byzantium and its art that they generated. The mosaics were thus made available for burgeoning Byzantinisms informed by the image. The creative, generative potentialities of Byzantium have more than anywhere else been effected through art and architecture, because, as Peers notes, Byzantine works still exist as “objects in the world” in this way with ontological qualities exceeding their original contexts: thus “Byzantine art continues into the present as a durational, experiential, generative set of paradigms.” As such, there is not one narrative to tell about the role and “gravitational pull” of Byzantine art in modernity. Rather it continues to generate new lives and paradigms for present purposes, scaffolding our own world building.</w:t>
      </w:r>
    </w:p>
    <w:p w14:paraId="04DD37DB" w14:textId="77777777" w:rsidR="00277D69" w:rsidRDefault="00277D69" w:rsidP="00277D69">
      <w:pPr>
        <w:spacing w:after="0" w:line="480" w:lineRule="auto"/>
        <w:ind w:firstLine="720"/>
        <w:rPr>
          <w:rFonts w:ascii="Times New Roman" w:eastAsia="Times New Roman" w:hAnsi="Times New Roman" w:cs="Times New Roman"/>
          <w:highlight w:val="white"/>
        </w:rPr>
      </w:pPr>
    </w:p>
    <w:p w14:paraId="35B47BB0" w14:textId="5BA0C193" w:rsidR="00277D69" w:rsidRDefault="00277D69" w:rsidP="00277D69">
      <w:pPr>
        <w:spacing w:after="0" w:line="480" w:lineRule="auto"/>
        <w:ind w:firstLine="720"/>
        <w:jc w:val="both"/>
        <w:rPr>
          <w:rFonts w:ascii="Times New Roman" w:eastAsia="Times New Roman" w:hAnsi="Times New Roman" w:cs="Times New Roman"/>
          <w:highlight w:val="white"/>
        </w:rPr>
      </w:pPr>
      <w:r>
        <w:rPr>
          <w:rFonts w:ascii="Times New Roman" w:eastAsia="Times New Roman" w:hAnsi="Times New Roman" w:cs="Times New Roman"/>
        </w:rPr>
        <w:t>The experimental visual recreation of key parameters of what Byzantium was – its spirit and culture – was necessarily and indelibly influenced, above all factors, by modernity. Modernistic utopias and realities fuelled nineteenth-century reimaginations of the Byzantine with one of the most outstanding examples being that of the French avant-gardes, especially Henri Matisse (1869</w:t>
      </w:r>
      <w:r w:rsidR="000E02BD">
        <w:rPr>
          <w:rFonts w:ascii="Times New Roman" w:eastAsia="Times New Roman" w:hAnsi="Times New Roman" w:cs="Times New Roman"/>
        </w:rPr>
        <w:t>–</w:t>
      </w:r>
      <w:r>
        <w:rPr>
          <w:rFonts w:ascii="Times New Roman" w:eastAsia="Times New Roman" w:hAnsi="Times New Roman" w:cs="Times New Roman"/>
        </w:rPr>
        <w:t>1954).</w:t>
      </w:r>
      <w:r>
        <w:rPr>
          <w:rFonts w:ascii="Times New Roman" w:eastAsia="Times New Roman" w:hAnsi="Times New Roman" w:cs="Times New Roman"/>
          <w:vertAlign w:val="superscript"/>
        </w:rPr>
        <w:endnoteReference w:id="59"/>
      </w:r>
      <w:r>
        <w:rPr>
          <w:rFonts w:ascii="Times New Roman" w:eastAsia="Times New Roman" w:hAnsi="Times New Roman" w:cs="Times New Roman"/>
          <w:highlight w:val="white"/>
        </w:rPr>
        <w:t xml:space="preserve">Charles Barber, in this volume, discusses the complex intertwining of Byzantine art and Modernism which has largely conditioned our reception of Byzantine art today </w:t>
      </w:r>
      <w:r>
        <w:rPr>
          <w:rFonts w:ascii="Times New Roman" w:eastAsia="Times New Roman" w:hAnsi="Times New Roman" w:cs="Times New Roman"/>
          <w:highlight w:val="white"/>
        </w:rPr>
        <w:lastRenderedPageBreak/>
        <w:t xml:space="preserve">and the attribution to it of qualities, such as abstraction, that would have seemed strange to Byzantine audiences. Conversely, the icon has been the “conversation partner” of Modernism, providing a hallowed precedent for abstraction and resistance to staid naturalism, a dialogue that was essentially formalist, but one which had the potential to ascribe a powerful transcendence to modern work, strengthening socio-political visual arguments in places. </w:t>
      </w:r>
    </w:p>
    <w:p w14:paraId="67F9F271" w14:textId="77777777" w:rsidR="003F4005" w:rsidRDefault="003F4005" w:rsidP="00277D69">
      <w:pPr>
        <w:spacing w:after="0" w:line="480" w:lineRule="auto"/>
        <w:jc w:val="both"/>
        <w:rPr>
          <w:rFonts w:ascii="Times New Roman" w:eastAsia="Times New Roman" w:hAnsi="Times New Roman" w:cs="Times New Roman"/>
          <w:highlight w:val="white"/>
        </w:rPr>
      </w:pPr>
    </w:p>
    <w:p w14:paraId="7AD6BB47" w14:textId="77777777" w:rsidR="00277D69" w:rsidRPr="003F4005" w:rsidRDefault="00277D69" w:rsidP="003F4005">
      <w:pPr>
        <w:spacing w:after="0" w:line="480" w:lineRule="auto"/>
        <w:jc w:val="both"/>
        <w:rPr>
          <w:rFonts w:ascii="Times New Roman" w:eastAsia="Times New Roman" w:hAnsi="Times New Roman" w:cs="Times New Roman"/>
          <w:i/>
          <w:iCs/>
          <w:highlight w:val="white"/>
        </w:rPr>
      </w:pPr>
      <w:r>
        <w:rPr>
          <w:rFonts w:ascii="Times New Roman" w:eastAsia="Times New Roman" w:hAnsi="Times New Roman" w:cs="Times New Roman"/>
          <w:i/>
          <w:iCs/>
          <w:highlight w:val="white"/>
        </w:rPr>
        <w:t>Subversive Byzantium and Visual Culture</w:t>
      </w:r>
    </w:p>
    <w:p w14:paraId="1ADB9805" w14:textId="3D493801" w:rsidR="00277D69" w:rsidRDefault="00277D69" w:rsidP="003F4005">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highlight w:val="white"/>
        </w:rPr>
        <w:t xml:space="preserve">The visual power of the Byzantine has become most generative in recent years in relation to the subaltern, as a voice that is powerfully visceral, eternalising and sits apart from the mainstream. </w:t>
      </w:r>
      <w:r>
        <w:rPr>
          <w:rFonts w:ascii="Times New Roman" w:eastAsia="Times New Roman" w:hAnsi="Times New Roman" w:cs="Times New Roman"/>
        </w:rPr>
        <w:t>Aside from providing a celebrated imperial model and tool supporting a colonialist worldview,</w:t>
      </w:r>
      <w:r>
        <w:rPr>
          <w:rFonts w:ascii="Times New Roman" w:eastAsia="Times New Roman" w:hAnsi="Times New Roman" w:cs="Times New Roman"/>
          <w:vertAlign w:val="superscript"/>
        </w:rPr>
        <w:endnoteReference w:id="60"/>
      </w:r>
      <w:r>
        <w:rPr>
          <w:rFonts w:ascii="Times New Roman" w:eastAsia="Times New Roman" w:hAnsi="Times New Roman" w:cs="Times New Roman"/>
        </w:rPr>
        <w:t xml:space="preserve"> Byzantium has simultaneously been in more recent times a proxy used in the service of decolonization; subaltern Byzantium continues to be used to critique the hegemonic ‘West’.</w:t>
      </w:r>
      <w:r>
        <w:rPr>
          <w:rFonts w:ascii="Times New Roman" w:eastAsia="Times New Roman" w:hAnsi="Times New Roman" w:cs="Times New Roman"/>
          <w:vertAlign w:val="superscript"/>
        </w:rPr>
        <w:endnoteReference w:id="61"/>
      </w:r>
      <w:r>
        <w:rPr>
          <w:rFonts w:ascii="Times New Roman" w:eastAsia="Times New Roman" w:hAnsi="Times New Roman" w:cs="Times New Roman"/>
        </w:rPr>
        <w:t xml:space="preserve"> A recent book edited by Benjamin Anderson and Mirela Ivanova deals with this complex inheritance, conceptuali</w:t>
      </w:r>
      <w:r w:rsidR="000E02BD">
        <w:rPr>
          <w:rFonts w:ascii="Times New Roman" w:eastAsia="Times New Roman" w:hAnsi="Times New Roman" w:cs="Times New Roman"/>
        </w:rPr>
        <w:t>s</w:t>
      </w:r>
      <w:r>
        <w:rPr>
          <w:rFonts w:ascii="Times New Roman" w:eastAsia="Times New Roman" w:hAnsi="Times New Roman" w:cs="Times New Roman"/>
        </w:rPr>
        <w:t>ing Byzantium within a dual framework of coloniality, wherein the Byzantine Empire functioned simultaneously as a colonizing force in relation to its eastern territories and as a colonized subject within western Orientalist discourse.</w:t>
      </w:r>
      <w:r>
        <w:rPr>
          <w:rFonts w:ascii="Times New Roman" w:eastAsia="Times New Roman" w:hAnsi="Times New Roman" w:cs="Times New Roman"/>
          <w:vertAlign w:val="superscript"/>
        </w:rPr>
        <w:endnoteReference w:id="62"/>
      </w:r>
      <w:r>
        <w:rPr>
          <w:rFonts w:ascii="Times New Roman" w:eastAsia="Times New Roman" w:hAnsi="Times New Roman" w:cs="Times New Roman"/>
        </w:rPr>
        <w:t xml:space="preserve"> What was once attractive as a proxy for criticizing hegemonic structures in Enlightenment Europe has now also become exposed as the victim of Eurocentric colonization itself, an Orientalist foil in western thought. More recently this distorting mirror has become a model, particularly in the United States, “for the expression of social alterity – what in academic discourse has been termed “the subaltern.”</w:t>
      </w:r>
      <w:r>
        <w:rPr>
          <w:rFonts w:ascii="Times New Roman" w:eastAsia="Times New Roman" w:hAnsi="Times New Roman" w:cs="Times New Roman"/>
          <w:vertAlign w:val="superscript"/>
        </w:rPr>
        <w:endnoteReference w:id="63"/>
      </w:r>
      <w:r>
        <w:rPr>
          <w:rFonts w:ascii="Times New Roman" w:eastAsia="Times New Roman" w:hAnsi="Times New Roman" w:cs="Times New Roman"/>
        </w:rPr>
        <w:t>Maria Mavroudi has examined how Byzantine culture has been adopted and transformed by marginalized communities and resistance movements, illustrating how Byzantine traditions can serve as a resource for “subaltern Byzanti</w:t>
      </w:r>
      <w:r w:rsidR="000E02BD">
        <w:rPr>
          <w:rFonts w:ascii="Times New Roman" w:eastAsia="Times New Roman" w:hAnsi="Times New Roman" w:cs="Times New Roman"/>
        </w:rPr>
        <w:t>n</w:t>
      </w:r>
      <w:r>
        <w:rPr>
          <w:rFonts w:ascii="Times New Roman" w:eastAsia="Times New Roman" w:hAnsi="Times New Roman" w:cs="Times New Roman"/>
        </w:rPr>
        <w:t xml:space="preserve">ism” – a way for oppressed or colonized </w:t>
      </w:r>
      <w:r>
        <w:rPr>
          <w:rFonts w:ascii="Times New Roman" w:eastAsia="Times New Roman" w:hAnsi="Times New Roman" w:cs="Times New Roman"/>
        </w:rPr>
        <w:lastRenderedPageBreak/>
        <w:t xml:space="preserve">groups to reclaim and repurpose Byzantine cultural elements for their own empowerment and identity formation. Alicia Walker, in her essay for this volume, explores a case of such cultural patrimony. Focusing on the artist Romare Bearden (1911–88), whose work focuses on African American experience, she examines the use of visual symbols drawn from the repertoire of Byzantine art, such as the ‘Mother and Child’ iconography. The artist attempts to explore his personal and collective experience through the use of one of the most representative iconographic types from the artistic production of the Byzantines with universal appeal. </w:t>
      </w:r>
    </w:p>
    <w:p w14:paraId="7563A9CA" w14:textId="77777777" w:rsidR="00277D69" w:rsidRDefault="00277D69" w:rsidP="00277D69">
      <w:pPr>
        <w:spacing w:after="0" w:line="480" w:lineRule="auto"/>
        <w:ind w:firstLine="720"/>
        <w:jc w:val="both"/>
        <w:rPr>
          <w:rFonts w:ascii="Times New Roman" w:eastAsia="Times New Roman" w:hAnsi="Times New Roman" w:cs="Times New Roman"/>
          <w:highlight w:val="white"/>
        </w:rPr>
      </w:pPr>
      <w:r>
        <w:rPr>
          <w:rFonts w:ascii="Times New Roman" w:eastAsia="Times New Roman" w:hAnsi="Times New Roman" w:cs="Times New Roman"/>
        </w:rPr>
        <w:t>This subversive utopian and socially critical use of Byzantium had emerged earlier, however, with John Ruskin (1819–1900) and the Arts and Crafts movement.</w:t>
      </w:r>
      <w:r>
        <w:rPr>
          <w:rFonts w:ascii="Times New Roman" w:eastAsia="Times New Roman" w:hAnsi="Times New Roman" w:cs="Times New Roman"/>
          <w:vertAlign w:val="superscript"/>
        </w:rPr>
        <w:endnoteReference w:id="64"/>
      </w:r>
      <w:r>
        <w:rPr>
          <w:rFonts w:ascii="Times New Roman" w:eastAsia="Times New Roman" w:hAnsi="Times New Roman" w:cs="Times New Roman"/>
        </w:rPr>
        <w:t xml:space="preserve"> The first to link revival and modern art directly were the intellectuals of the British Arts and Crafts movement, who brought Byzantium to the heart of their broader ideological, political socialist and artistic concerns. Byzantium became for them a utopian societal model in the face of modern alienation and this was expressed through visual culture that drew on Byzantine craftsmanship. William Lethaby (1857–1931), leading architect and theorist of the movement, argued that “modern examples of Gothic and Classical architecture are erected on enormous foundations of nonsense”</w:t>
      </w:r>
      <w:r>
        <w:rPr>
          <w:rFonts w:ascii="Times New Roman" w:eastAsia="Times New Roman" w:hAnsi="Times New Roman" w:cs="Times New Roman"/>
          <w:vertAlign w:val="superscript"/>
        </w:rPr>
        <w:endnoteReference w:id="65"/>
      </w:r>
      <w:r>
        <w:rPr>
          <w:rFonts w:ascii="Times New Roman" w:eastAsia="Times New Roman" w:hAnsi="Times New Roman" w:cs="Times New Roman"/>
        </w:rPr>
        <w:t>, and that “modernism conceived as a style is only invented archaeology”, emphasising at the same time that “it will not be real until it is unconscious”.</w:t>
      </w:r>
      <w:r>
        <w:rPr>
          <w:rFonts w:ascii="Times New Roman" w:eastAsia="Times New Roman" w:hAnsi="Times New Roman" w:cs="Times New Roman"/>
          <w:vertAlign w:val="superscript"/>
        </w:rPr>
        <w:endnoteReference w:id="66"/>
      </w:r>
      <w:r>
        <w:rPr>
          <w:rFonts w:ascii="Times New Roman" w:eastAsia="Times New Roman" w:hAnsi="Times New Roman" w:cs="Times New Roman"/>
        </w:rPr>
        <w:t xml:space="preserve"> Radical approaches like this, opened the path for the Arts and Crafts followers to critically rehabilitate in their projects the teachings and ethos of the Byzantines, or at least their interpretations of them, offering one of the most consistent modern manifestations of ‘Neo-Byzantinism’. </w:t>
      </w:r>
    </w:p>
    <w:p w14:paraId="0B75B082"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At the heart of the modern (and post-modern) receptions of Byzantium is an enduring paradox between the ongoing negation of Byzantium in European history and its persistent magnetism for the European imagination. This has </w:t>
      </w:r>
      <w:r w:rsidR="003F4005">
        <w:rPr>
          <w:rFonts w:ascii="Times New Roman" w:eastAsia="Times New Roman" w:hAnsi="Times New Roman" w:cs="Times New Roman"/>
        </w:rPr>
        <w:t>fuelled</w:t>
      </w:r>
      <w:r>
        <w:rPr>
          <w:rFonts w:ascii="Times New Roman" w:eastAsia="Times New Roman" w:hAnsi="Times New Roman" w:cs="Times New Roman"/>
        </w:rPr>
        <w:t xml:space="preserve"> and continues to fuel the arts in </w:t>
      </w:r>
      <w:r>
        <w:rPr>
          <w:rFonts w:ascii="Times New Roman" w:eastAsia="Times New Roman" w:hAnsi="Times New Roman" w:cs="Times New Roman"/>
        </w:rPr>
        <w:lastRenderedPageBreak/>
        <w:t>particular,</w:t>
      </w:r>
      <w:r>
        <w:rPr>
          <w:rFonts w:ascii="Times New Roman" w:eastAsia="Times New Roman" w:hAnsi="Times New Roman" w:cs="Times New Roman"/>
          <w:vertAlign w:val="superscript"/>
        </w:rPr>
        <w:endnoteReference w:id="67"/>
      </w:r>
      <w:r>
        <w:rPr>
          <w:rFonts w:ascii="Times New Roman" w:eastAsia="Times New Roman" w:hAnsi="Times New Roman" w:cs="Times New Roman"/>
        </w:rPr>
        <w:t xml:space="preserve"> especially when an unconventional ‘voice’ is needed that sits apart from the mainstream. Thus, running alongside responses premised on ideas of inheritance and continuity which have tended towards a perceived fidelity to Byzantine outputs, to a certain extent, have been those further removed that have been more ostensibly hybrid and at ease with taking liberties with Byzantium in engaging with its visual, literary and architectural culture. Byzantium’s inherent ‘elasticity’ has meant that the shape it can take can differ widely depending on context and the purposes at play. Its elasticity often increases with ‘distance’.</w:t>
      </w:r>
      <w:r>
        <w:rPr>
          <w:rFonts w:ascii="Times New Roman" w:eastAsia="Times New Roman" w:hAnsi="Times New Roman" w:cs="Times New Roman"/>
          <w:vertAlign w:val="superscript"/>
        </w:rPr>
        <w:endnoteReference w:id="68"/>
      </w:r>
    </w:p>
    <w:p w14:paraId="3D012419" w14:textId="77777777" w:rsidR="003F4005" w:rsidRDefault="003F4005" w:rsidP="00277D69">
      <w:pPr>
        <w:spacing w:after="0" w:line="480" w:lineRule="auto"/>
        <w:ind w:firstLine="720"/>
        <w:jc w:val="both"/>
        <w:rPr>
          <w:rFonts w:ascii="Times New Roman" w:eastAsia="Times New Roman" w:hAnsi="Times New Roman" w:cs="Times New Roman"/>
        </w:rPr>
      </w:pPr>
    </w:p>
    <w:p w14:paraId="6FD2A7C0" w14:textId="77777777" w:rsidR="00277D69" w:rsidRPr="003F4005" w:rsidRDefault="00277D69" w:rsidP="003F4005">
      <w:pPr>
        <w:spacing w:after="0" w:line="480" w:lineRule="auto"/>
        <w:jc w:val="both"/>
        <w:rPr>
          <w:rFonts w:ascii="Times New Roman" w:eastAsia="Times New Roman" w:hAnsi="Times New Roman" w:cs="Times New Roman"/>
          <w:i/>
          <w:iCs/>
        </w:rPr>
      </w:pPr>
      <w:r>
        <w:rPr>
          <w:rFonts w:ascii="Times New Roman" w:eastAsia="Times New Roman" w:hAnsi="Times New Roman" w:cs="Times New Roman"/>
          <w:i/>
          <w:iCs/>
        </w:rPr>
        <w:t>Byzantine Revival in Architecture</w:t>
      </w:r>
    </w:p>
    <w:p w14:paraId="7F7A5453" w14:textId="77777777" w:rsidR="00277D69" w:rsidRPr="003F4005" w:rsidRDefault="00277D69" w:rsidP="003F4005">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Context was everything: architectural Byzantinisms used as a colonial tool in one context could be used by minorities in another to reassert their identity and aspirations in response to the dominant majority.</w:t>
      </w:r>
      <w:r>
        <w:rPr>
          <w:rFonts w:ascii="Times New Roman" w:eastAsia="Times New Roman" w:hAnsi="Times New Roman" w:cs="Times New Roman"/>
          <w:vertAlign w:val="superscript"/>
        </w:rPr>
        <w:endnoteReference w:id="69"/>
      </w:r>
      <w:r>
        <w:rPr>
          <w:rFonts w:ascii="Times New Roman" w:eastAsia="Times New Roman" w:hAnsi="Times New Roman" w:cs="Times New Roman"/>
        </w:rPr>
        <w:t xml:space="preserve"> Byzantine Revival offered an alternative to both classical and Gothic revival styles, allowing religious minorities to assert distinct identities from Dublin to the United States of America, where in both cases it was mixed with other styles to create something inherently local and useful.</w:t>
      </w:r>
      <w:r>
        <w:rPr>
          <w:rFonts w:ascii="Times New Roman" w:eastAsia="Times New Roman" w:hAnsi="Times New Roman" w:cs="Times New Roman"/>
          <w:vertAlign w:val="superscript"/>
        </w:rPr>
        <w:endnoteReference w:id="70"/>
      </w:r>
      <w:r>
        <w:rPr>
          <w:rFonts w:ascii="Times New Roman" w:eastAsia="Times New Roman" w:hAnsi="Times New Roman" w:cs="Times New Roman"/>
        </w:rPr>
        <w:t xml:space="preserve"> The irony is that while Byzantine Revival architecture often represented resistance to one form of power (Protestant hegemony, western secularization, or cultural homogenization), it could simultaneously serve as a tool of imperial expansion and cultural domination in other contexts.</w:t>
      </w:r>
      <w:r>
        <w:rPr>
          <w:rFonts w:ascii="Times New Roman" w:eastAsia="Times New Roman" w:hAnsi="Times New Roman" w:cs="Times New Roman"/>
          <w:vertAlign w:val="superscript"/>
        </w:rPr>
        <w:endnoteReference w:id="71"/>
      </w:r>
      <w:r>
        <w:rPr>
          <w:rFonts w:ascii="Times New Roman" w:eastAsia="Times New Roman" w:hAnsi="Times New Roman" w:cs="Times New Roman"/>
        </w:rPr>
        <w:t xml:space="preserve"> The same architectural vocabulary that empowered Catholics in Britain was used to suppress local traditions in the Russian Empire’s borderlands. Herein lies the fundamental paradoxical nature of the modern response to Byzantium: diverse, conflicting, nebulous and above all a response to the present more so than the past. </w:t>
      </w:r>
    </w:p>
    <w:p w14:paraId="130203CB"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Challenging often simplistic reductions of Neo-Byzantine architecture to Hagia Sophia, Kostis </w:t>
      </w:r>
      <w:proofErr w:type="spellStart"/>
      <w:r>
        <w:rPr>
          <w:rFonts w:ascii="Times New Roman" w:eastAsia="Times New Roman" w:hAnsi="Times New Roman" w:cs="Times New Roman"/>
        </w:rPr>
        <w:t>Kourelis</w:t>
      </w:r>
      <w:proofErr w:type="spellEnd"/>
      <w:r>
        <w:rPr>
          <w:rFonts w:ascii="Times New Roman" w:eastAsia="Times New Roman" w:hAnsi="Times New Roman" w:cs="Times New Roman"/>
        </w:rPr>
        <w:t xml:space="preserve"> explores how, in a distant, fragmented and pluralist new setting, Greek diaspora </w:t>
      </w:r>
      <w:r>
        <w:rPr>
          <w:rFonts w:ascii="Times New Roman" w:eastAsia="Times New Roman" w:hAnsi="Times New Roman" w:cs="Times New Roman"/>
        </w:rPr>
        <w:lastRenderedPageBreak/>
        <w:t xml:space="preserve">communities in the U.S. played with Byzantine heritage in far more creative ways, exploiting Byzantium’s inherent pluralism to tell different stories at different times. Michael Muehlbauer explores the diaspora experience of the Greek Orthodox population who built the Cathedral of </w:t>
      </w:r>
      <w:proofErr w:type="spellStart"/>
      <w:r>
        <w:rPr>
          <w:rFonts w:ascii="Times New Roman" w:eastAsia="Times New Roman" w:hAnsi="Times New Roman" w:cs="Times New Roman"/>
        </w:rPr>
        <w:t>Hagios</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Froumentios</w:t>
      </w:r>
      <w:proofErr w:type="spellEnd"/>
      <w:r>
        <w:rPr>
          <w:rFonts w:ascii="Times New Roman" w:eastAsia="Times New Roman" w:hAnsi="Times New Roman" w:cs="Times New Roman"/>
        </w:rPr>
        <w:t xml:space="preserve"> c. 1929 in Addis Ababa, Ethiopia. A far cry from any submissive emulation of Hagia Sophia, the church’s architecture cited early Byzantine architectures. It drew particularly on the limestone churches of pre-Islamic Syria-Palestine, as well as incorporating subtler evocations of Ethiopia’s historic past, to reference the role of Byzantium in the conversion of ancient Ethiopia (Aksum) to Christianity in the fourth century by St Frumentius of Tyre, to whom the church is dedicated. The Greek immigrant community thus integrated themselves into Ethiopia’s national history, vis-à-vis Byzantium. The church forms a reminder of the diversity of Byzantine architecture itself and of Byzantine response. Robert Nelson charts the wider confessional picture beyond Orthodoxy, whereby Byzantine architecture was used by diverse religious groups for their own purposes. In particular, after World War I, American and English Jewish congregations adopted this style for reasons unrelated to the motivations of Christian churches, pertaining instead to Palestine and the Eastern origins of Judaism. </w:t>
      </w:r>
    </w:p>
    <w:p w14:paraId="4F583E2A"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The Neo-Byzantine was inherently dynamic and available across regions and religions from Russia, where it referenced Byzantium more directly to create a sense of ontological continuity, to Ireland, where it cast a new utopian vision for subjugated Catholics, as discussed by Niamh Bhalla in this volume. Aleksandar Kadijević and Dragan Damjanović explore its manifestations in Serbian and Croatian architecture where varied historical inheritances intersected with confessional considerations and eventually the tenets of modernism. Thomas Kaffenberger also presents dynamic new research on the personal rather than community-based use of late antique and Byzantine architectural references in German mausolea. Such references </w:t>
      </w:r>
      <w:r>
        <w:rPr>
          <w:rFonts w:ascii="Times New Roman" w:eastAsia="Times New Roman" w:hAnsi="Times New Roman" w:cs="Times New Roman"/>
        </w:rPr>
        <w:lastRenderedPageBreak/>
        <w:t>were often connected to the individual ideals of the building’s patron or architect. These personal monuments, though influenced by the wider development of Neo-Byzantine architecture in Europe, demonstrate the availability of the style across various strata of society as an inherently versatile aesthetic and ideological choice for individuals.</w:t>
      </w:r>
    </w:p>
    <w:p w14:paraId="0755ACAD" w14:textId="77777777" w:rsidR="00671F1A" w:rsidRDefault="00671F1A" w:rsidP="00277D69">
      <w:pPr>
        <w:spacing w:after="0" w:line="480" w:lineRule="auto"/>
        <w:ind w:firstLine="720"/>
        <w:jc w:val="both"/>
        <w:rPr>
          <w:rFonts w:ascii="Times New Roman" w:eastAsia="Times New Roman" w:hAnsi="Times New Roman" w:cs="Times New Roman"/>
        </w:rPr>
      </w:pPr>
    </w:p>
    <w:p w14:paraId="7CCE0D09" w14:textId="77777777" w:rsidR="00277D69" w:rsidRDefault="00277D69"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i/>
          <w:iCs/>
        </w:rPr>
        <w:t>Literary Byzantium</w:t>
      </w:r>
    </w:p>
    <w:p w14:paraId="07D70836" w14:textId="77777777" w:rsidR="00277D69" w:rsidRDefault="00277D69" w:rsidP="00671F1A">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The concept of Byzantium has proved generative, even when loosely attached to any sense of debt to the historical past, or when access to the past has been limited, or when it becomes more overtly revival than survival. It has </w:t>
      </w:r>
      <w:r w:rsidR="00671F1A">
        <w:rPr>
          <w:rFonts w:ascii="Times New Roman" w:eastAsia="Times New Roman" w:hAnsi="Times New Roman" w:cs="Times New Roman"/>
        </w:rPr>
        <w:t>fuelled</w:t>
      </w:r>
      <w:r>
        <w:rPr>
          <w:rFonts w:ascii="Times New Roman" w:eastAsia="Times New Roman" w:hAnsi="Times New Roman" w:cs="Times New Roman"/>
        </w:rPr>
        <w:t xml:space="preserve"> both the popular and the poetic imagination from King Ludwig II of Bavaria’s fascination with Byzantine architectural forms which he incorporated in his hybrid architectural fantasies shaped to meet contemporary needs, to the use of Byzantine imagery to evoke mysterious, spiritual beauty by Symbolist poets like Stéphane Mallarmé and Paul Verlaine, to Irish poet W. B. Yeats’s famous and oft-quoted engagement with Byzantium to express, process and transcend current realities.</w:t>
      </w:r>
      <w:r>
        <w:rPr>
          <w:rFonts w:ascii="Times New Roman" w:eastAsia="Times New Roman" w:hAnsi="Times New Roman" w:cs="Times New Roman"/>
          <w:vertAlign w:val="superscript"/>
        </w:rPr>
        <w:endnoteReference w:id="72"/>
      </w:r>
      <w:r>
        <w:rPr>
          <w:rFonts w:ascii="Times New Roman" w:eastAsia="Times New Roman" w:hAnsi="Times New Roman" w:cs="Times New Roman"/>
        </w:rPr>
        <w:t xml:space="preserve"> Mark Byron, in this volume, demonstrates how major poets of modernity have drawn on the cultural patrimony of Byzantium in contrasting ways wedded to varying extents to the historical entity – from Yeats’s visionary sensuality and idealism to Ezra Pound’s materialist documentation, Constantine Cavafy's personal cultural reclamation, and Osip Mandelstam’s synthesis of temporal and spiritual divisions. Within their poems Byzantium provides both a symbolic foundation and historical material for addressing contemporary spiritual, political and artistic concerns.</w:t>
      </w:r>
    </w:p>
    <w:p w14:paraId="5F62AF7F" w14:textId="77777777" w:rsidR="00277D69" w:rsidRDefault="00277D69" w:rsidP="00671F1A">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 At the same time that Byzantium was being leveraged as a religious, political and linguistic inheritance, and crafted as a neutral specimen for scholarly endeavour in western </w:t>
      </w:r>
      <w:r>
        <w:rPr>
          <w:rFonts w:ascii="Times New Roman" w:eastAsia="Times New Roman" w:hAnsi="Times New Roman" w:cs="Times New Roman"/>
        </w:rPr>
        <w:lastRenderedPageBreak/>
        <w:t>Europe and further afield,</w:t>
      </w:r>
      <w:r>
        <w:rPr>
          <w:rFonts w:ascii="Times New Roman" w:eastAsia="Times New Roman" w:hAnsi="Times New Roman" w:cs="Times New Roman"/>
          <w:vertAlign w:val="superscript"/>
        </w:rPr>
        <w:endnoteReference w:id="73"/>
      </w:r>
      <w:r>
        <w:rPr>
          <w:rFonts w:ascii="Times New Roman" w:eastAsia="Times New Roman" w:hAnsi="Times New Roman" w:cs="Times New Roman"/>
        </w:rPr>
        <w:t xml:space="preserve"> it became and continues to be an exotic Orientalising element of performative culture, and/or a powerful aesthetic used for religious and socio-political critique. While Byzantine studies were being developed as an academic discipline in the nineteenth century, through the efforts of figures like Bury, Finlay, Charles Diehl (1829–1944) and Karl Krumbacher (1856–1909), Byzantium was simultaneously crafted as a concept through performative culture. ‘</w:t>
      </w:r>
      <w:proofErr w:type="spellStart"/>
      <w:r>
        <w:rPr>
          <w:rFonts w:ascii="Times New Roman" w:eastAsia="Times New Roman" w:hAnsi="Times New Roman" w:cs="Times New Roman"/>
        </w:rPr>
        <w:t>Byzantinomania</w:t>
      </w:r>
      <w:proofErr w:type="spellEnd"/>
      <w:r>
        <w:rPr>
          <w:rFonts w:ascii="Times New Roman" w:eastAsia="Times New Roman" w:hAnsi="Times New Roman" w:cs="Times New Roman"/>
        </w:rPr>
        <w:t xml:space="preserve">’ flourished in France aligned to the Decadent movement as a sensual critique of western rationalism – a lauded paradigm of sumptuous artifice over naturalism. Its visual identity was prized for its inherent characteristics and symbolic potential. Joris-Karl Huysmans, in </w:t>
      </w:r>
      <w:r>
        <w:rPr>
          <w:rFonts w:ascii="Times New Roman" w:eastAsia="Times New Roman" w:hAnsi="Times New Roman" w:cs="Times New Roman"/>
          <w:i/>
          <w:iCs/>
        </w:rPr>
        <w:t xml:space="preserve">À </w:t>
      </w:r>
      <w:proofErr w:type="spellStart"/>
      <w:r>
        <w:rPr>
          <w:rFonts w:ascii="Times New Roman" w:eastAsia="Times New Roman" w:hAnsi="Times New Roman" w:cs="Times New Roman"/>
          <w:i/>
          <w:iCs/>
        </w:rPr>
        <w:t>rebours</w:t>
      </w:r>
      <w:proofErr w:type="spellEnd"/>
      <w:r>
        <w:rPr>
          <w:rFonts w:ascii="Times New Roman" w:eastAsia="Times New Roman" w:hAnsi="Times New Roman" w:cs="Times New Roman"/>
          <w:i/>
          <w:iCs/>
        </w:rPr>
        <w:t>,</w:t>
      </w:r>
      <w:r>
        <w:rPr>
          <w:rFonts w:ascii="Times New Roman" w:eastAsia="Times New Roman" w:hAnsi="Times New Roman" w:cs="Times New Roman"/>
        </w:rPr>
        <w:t xml:space="preserve"> included Byzantine art objects among Des </w:t>
      </w:r>
      <w:proofErr w:type="spellStart"/>
      <w:r>
        <w:rPr>
          <w:rFonts w:ascii="Times New Roman" w:eastAsia="Times New Roman" w:hAnsi="Times New Roman" w:cs="Times New Roman"/>
        </w:rPr>
        <w:t>Esseintes</w:t>
      </w:r>
      <w:proofErr w:type="spellEnd"/>
      <w:r>
        <w:rPr>
          <w:rFonts w:ascii="Times New Roman" w:eastAsia="Times New Roman" w:hAnsi="Times New Roman" w:cs="Times New Roman"/>
        </w:rPr>
        <w:t xml:space="preserve">’ aesthetic treasures, and Oscar Wilde (influenced by French Decadents) used Byzantine imagery in works like </w:t>
      </w:r>
      <w:r>
        <w:rPr>
          <w:rFonts w:ascii="Times New Roman" w:eastAsia="Times New Roman" w:hAnsi="Times New Roman" w:cs="Times New Roman"/>
          <w:i/>
          <w:iCs/>
        </w:rPr>
        <w:t xml:space="preserve">Salomé. </w:t>
      </w:r>
      <w:r>
        <w:rPr>
          <w:rFonts w:ascii="Times New Roman" w:eastAsia="Times New Roman" w:hAnsi="Times New Roman" w:cs="Times New Roman"/>
        </w:rPr>
        <w:t>Byzantium particularly inspired modern playwrights, who used its trappings to engage with issues of contemporary politics.</w:t>
      </w:r>
      <w:r>
        <w:rPr>
          <w:rFonts w:ascii="Times New Roman" w:eastAsia="Times New Roman" w:hAnsi="Times New Roman" w:cs="Times New Roman"/>
          <w:vertAlign w:val="superscript"/>
        </w:rPr>
        <w:endnoteReference w:id="74"/>
      </w:r>
      <w:r>
        <w:rPr>
          <w:rFonts w:ascii="Times New Roman" w:eastAsia="Times New Roman" w:hAnsi="Times New Roman" w:cs="Times New Roman"/>
        </w:rPr>
        <w:t xml:space="preserve"> Andrew Walker-White explores in this Handbook the play </w:t>
      </w:r>
      <w:r>
        <w:rPr>
          <w:rFonts w:ascii="Times New Roman" w:eastAsia="Times New Roman" w:hAnsi="Times New Roman" w:cs="Times New Roman"/>
          <w:i/>
          <w:iCs/>
        </w:rPr>
        <w:t xml:space="preserve">Emperor and Galilean </w:t>
      </w:r>
      <w:r>
        <w:rPr>
          <w:rFonts w:ascii="Times New Roman" w:eastAsia="Times New Roman" w:hAnsi="Times New Roman" w:cs="Times New Roman"/>
        </w:rPr>
        <w:t xml:space="preserve">by Norwegian playwright Henrik Ibsen (1828–1906) which is inspired by the life and career of Julian the Apostate (331–63). He discusses it as a deeply erudite and historically informed “psychological reflection on the personalities and controversies” that determined the transitional early Byzantine period. References and influences in it stem from Julian’s own work to Byzantine patristics, as well as the thought of major philosophers, such as Hegel, Kant, Schopenhauer and Kierkegaard, in a breathtaking intertextuality that takes aim at the intellectual and spiritual decay in his own context. </w:t>
      </w:r>
    </w:p>
    <w:p w14:paraId="67F37799" w14:textId="77777777" w:rsidR="00277D69" w:rsidRDefault="00277D69" w:rsidP="00671F1A">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Some of the most inventive twentieth-century ‘Neo-Byzantinisms’ have thus come through textual receptions of Byzantium. These are reviewed by </w:t>
      </w:r>
      <w:proofErr w:type="spellStart"/>
      <w:r>
        <w:rPr>
          <w:rFonts w:ascii="Times New Roman" w:eastAsia="Times New Roman" w:hAnsi="Times New Roman" w:cs="Times New Roman"/>
        </w:rPr>
        <w:t>Pzremyslaw</w:t>
      </w:r>
      <w:proofErr w:type="spellEnd"/>
      <w:r>
        <w:rPr>
          <w:rFonts w:ascii="Times New Roman" w:eastAsia="Times New Roman" w:hAnsi="Times New Roman" w:cs="Times New Roman"/>
        </w:rPr>
        <w:t xml:space="preserve"> Marciniak in his longer main essay in this volume which surveys the diverse panorama of </w:t>
      </w:r>
      <w:proofErr w:type="spellStart"/>
      <w:r>
        <w:rPr>
          <w:rFonts w:ascii="Times New Roman" w:eastAsia="Times New Roman" w:hAnsi="Times New Roman" w:cs="Times New Roman"/>
        </w:rPr>
        <w:t>reimaginings</w:t>
      </w:r>
      <w:proofErr w:type="spellEnd"/>
      <w:r>
        <w:rPr>
          <w:rFonts w:ascii="Times New Roman" w:eastAsia="Times New Roman" w:hAnsi="Times New Roman" w:cs="Times New Roman"/>
        </w:rPr>
        <w:t xml:space="preserve"> across narratives, poetry, fiction, novels and graphic narratives. Marciniak highlights both stereotypical </w:t>
      </w:r>
      <w:r>
        <w:rPr>
          <w:rFonts w:ascii="Times New Roman" w:eastAsia="Times New Roman" w:hAnsi="Times New Roman" w:cs="Times New Roman"/>
        </w:rPr>
        <w:lastRenderedPageBreak/>
        <w:t xml:space="preserve">and more innovative reappropriations of Byzantium across these texts which also illustrate the shift from modernism to post-modernity and contemporary aesthetics. The ways in which Byzantium has been portrayed in English-language fiction from 1832, the year when the first novel with Byzantine interest was published, until 2021 is explored by Liz James. The examination reveals a predictable variety of approaches to the history, spirituality and culture of the Byzantines that reflect the diversified nature, scope and intentions of (Neo-) Byzantinisms. James ultimately concludes that English-language fiction has moved at a “glacial pace” and continues to portray Byzantium through an essentially nineteenth-century lens. For the most part, these texts perpetuate orientalist stereotypes of decadence, corruption, and exotic otherness, with contemporary novels merely adding graphic sexuality to the familiar tropes of priestly intrigue and imperial degeneracy. </w:t>
      </w:r>
    </w:p>
    <w:p w14:paraId="024007F8" w14:textId="77777777" w:rsidR="00277D69" w:rsidRDefault="00277D69" w:rsidP="00671F1A">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Julien Benda (1867–1956) with his book </w:t>
      </w:r>
      <w:r>
        <w:rPr>
          <w:rFonts w:ascii="Times New Roman" w:eastAsia="Times New Roman" w:hAnsi="Times New Roman" w:cs="Times New Roman"/>
          <w:i/>
          <w:iCs/>
        </w:rPr>
        <w:t xml:space="preserve">La France byzantine </w:t>
      </w:r>
      <w:proofErr w:type="spellStart"/>
      <w:r>
        <w:rPr>
          <w:rFonts w:ascii="Times New Roman" w:eastAsia="Times New Roman" w:hAnsi="Times New Roman" w:cs="Times New Roman"/>
          <w:i/>
          <w:iCs/>
        </w:rPr>
        <w:t>ou</w:t>
      </w:r>
      <w:proofErr w:type="spellEnd"/>
      <w:r>
        <w:rPr>
          <w:rFonts w:ascii="Times New Roman" w:eastAsia="Times New Roman" w:hAnsi="Times New Roman" w:cs="Times New Roman"/>
          <w:i/>
          <w:iCs/>
        </w:rPr>
        <w:t xml:space="preserve"> le triomphe de la literature pure: Mallarmé, Gide, Valéry, Alain, Giraudoux, </w:t>
      </w:r>
      <w:proofErr w:type="spellStart"/>
      <w:r>
        <w:rPr>
          <w:rFonts w:ascii="Times New Roman" w:eastAsia="Times New Roman" w:hAnsi="Times New Roman" w:cs="Times New Roman"/>
          <w:i/>
          <w:iCs/>
        </w:rPr>
        <w:t>Suarès</w:t>
      </w:r>
      <w:proofErr w:type="spellEnd"/>
      <w:r>
        <w:rPr>
          <w:rFonts w:ascii="Times New Roman" w:eastAsia="Times New Roman" w:hAnsi="Times New Roman" w:cs="Times New Roman"/>
          <w:i/>
          <w:iCs/>
        </w:rPr>
        <w:t xml:space="preserve">, les </w:t>
      </w:r>
      <w:proofErr w:type="spellStart"/>
      <w:r>
        <w:rPr>
          <w:rFonts w:ascii="Times New Roman" w:eastAsia="Times New Roman" w:hAnsi="Times New Roman" w:cs="Times New Roman"/>
          <w:i/>
          <w:iCs/>
        </w:rPr>
        <w:t>Surréalistes</w:t>
      </w:r>
      <w:proofErr w:type="spellEnd"/>
      <w:r>
        <w:rPr>
          <w:rFonts w:ascii="Times New Roman" w:eastAsia="Times New Roman" w:hAnsi="Times New Roman" w:cs="Times New Roman"/>
        </w:rPr>
        <w:t xml:space="preserve"> brought an ‘inventive’ use of Byzantinism as interpretive category/lens to the field of literature studies.</w:t>
      </w:r>
      <w:r>
        <w:rPr>
          <w:rFonts w:ascii="Times New Roman" w:eastAsia="Times New Roman" w:hAnsi="Times New Roman" w:cs="Times New Roman"/>
          <w:vertAlign w:val="superscript"/>
        </w:rPr>
        <w:endnoteReference w:id="75"/>
      </w:r>
      <w:r>
        <w:rPr>
          <w:rFonts w:ascii="Times New Roman" w:eastAsia="Times New Roman" w:hAnsi="Times New Roman" w:cs="Times New Roman"/>
        </w:rPr>
        <w:t xml:space="preserve"> Benda employs the term to signify a universal literature not of ideas but of the image, that, both in prose and poetry, sets itself against any kind of intellectualism, promoting beauty over rationality as the main path that leads to the truth. Benda’s ‘Byzantinism’ involves a series of distinctive characteristics that link the term to twentieth-century modernism and define the work of major literary figures. Predominant among these are an ecstatic treatment of language that favours a certain subjective mysticism, fragmentation and hermeticism as opposed to logical coherence, and the clear and objective articulation of ideas </w:t>
      </w:r>
      <w:r>
        <w:rPr>
          <w:rFonts w:ascii="Times New Roman" w:eastAsia="Times New Roman" w:hAnsi="Times New Roman" w:cs="Times New Roman"/>
          <w:sz w:val="20"/>
          <w:szCs w:val="20"/>
        </w:rPr>
        <w:t>–</w:t>
      </w:r>
      <w:r>
        <w:rPr>
          <w:rFonts w:ascii="Times New Roman" w:eastAsia="Times New Roman" w:hAnsi="Times New Roman" w:cs="Times New Roman"/>
        </w:rPr>
        <w:t xml:space="preserve"> the prioritisation of reason in the Kantian tradition.</w:t>
      </w:r>
      <w:r>
        <w:rPr>
          <w:rFonts w:ascii="Times New Roman" w:eastAsia="Times New Roman" w:hAnsi="Times New Roman" w:cs="Times New Roman"/>
          <w:vertAlign w:val="superscript"/>
        </w:rPr>
        <w:endnoteReference w:id="76"/>
      </w:r>
      <w:r>
        <w:rPr>
          <w:rFonts w:ascii="Times New Roman" w:eastAsia="Times New Roman" w:hAnsi="Times New Roman" w:cs="Times New Roman"/>
        </w:rPr>
        <w:t xml:space="preserve"> Latent political purposes have been traced within Benda’s ‘Byzantinism’, however: he was soon accused of coining the term to justify France’s defeat in WWII, </w:t>
      </w:r>
      <w:r>
        <w:rPr>
          <w:rFonts w:ascii="Times New Roman" w:eastAsia="Times New Roman" w:hAnsi="Times New Roman" w:cs="Times New Roman"/>
        </w:rPr>
        <w:lastRenderedPageBreak/>
        <w:t xml:space="preserve">scapegoating French intellectual and literary culture for France’s military and political failures. By arguing that modern French literature’s focus on ‘pure’ aestheticism, ambiguity, and withdrawal from practical concerns had somehow weakened France's moral and intellectual fibre (a quintessentially </w:t>
      </w:r>
      <w:proofErr w:type="spellStart"/>
      <w:r>
        <w:rPr>
          <w:rFonts w:ascii="Times New Roman" w:eastAsia="Times New Roman" w:hAnsi="Times New Roman" w:cs="Times New Roman"/>
        </w:rPr>
        <w:t>Gibbonian</w:t>
      </w:r>
      <w:proofErr w:type="spellEnd"/>
      <w:r>
        <w:rPr>
          <w:rFonts w:ascii="Times New Roman" w:eastAsia="Times New Roman" w:hAnsi="Times New Roman" w:cs="Times New Roman"/>
        </w:rPr>
        <w:t xml:space="preserve"> argument), critics saw him as deflecting blame from the more concrete political and military causes of the defeat onto cultural and literary figures who had little direct responsibility for France’s collapse in 1940. Benda’s Byzantinism constitutes yet another subjective use (or mis-use) of the perceived ‘spirit’ of Byzantium for political purposes.</w:t>
      </w:r>
    </w:p>
    <w:p w14:paraId="6D7E7155" w14:textId="3CF64D1D"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Benda’s Byzantinism has, however, since been applied to other major authors of modernity, such as Argentinian writer and poet Jorge Louis Borges (1899–1986). Borges’ Byzantinism consisted, according to his critics, of creating a ‘universal’ literature with very little connection to Argentinian or Latin American literature, alluding to Byzantine universality.</w:t>
      </w:r>
      <w:r>
        <w:rPr>
          <w:rFonts w:ascii="Times New Roman" w:eastAsia="Times New Roman" w:hAnsi="Times New Roman" w:cs="Times New Roman"/>
          <w:vertAlign w:val="superscript"/>
        </w:rPr>
        <w:endnoteReference w:id="77"/>
      </w:r>
      <w:r>
        <w:rPr>
          <w:rFonts w:ascii="Times New Roman" w:eastAsia="Times New Roman" w:hAnsi="Times New Roman" w:cs="Times New Roman"/>
        </w:rPr>
        <w:t xml:space="preserve"> Within literature too, the Byzantine has thus been utilised as an interpretative shorthand to comment upon art, artifice and transformative aesthetic experience, both positively and negatively. ‘The Byzantines’ who attend the biblical Susanna, arriving and fleeing again in the face of complex sensuality “with a noise like tambourines”, serve as complex foils within Wallace Stevens’ poem </w:t>
      </w:r>
      <w:r>
        <w:rPr>
          <w:rFonts w:ascii="Times New Roman" w:eastAsia="Times New Roman" w:hAnsi="Times New Roman" w:cs="Times New Roman"/>
          <w:i/>
          <w:iCs/>
        </w:rPr>
        <w:t xml:space="preserve">Peter Quince at the Clavier </w:t>
      </w:r>
      <w:r>
        <w:rPr>
          <w:rFonts w:ascii="Times New Roman" w:eastAsia="Times New Roman" w:hAnsi="Times New Roman" w:cs="Times New Roman"/>
        </w:rPr>
        <w:t>with its exploration of art, beauty and sensuality. Their courtly refinement and ceremony are superficial and performative, unable to engage with profound artistic and spiritual experience; their flight</w:t>
      </w:r>
      <w:r w:rsidR="000E02BD">
        <w:rPr>
          <w:rFonts w:ascii="Times New Roman" w:eastAsia="Times New Roman" w:hAnsi="Times New Roman" w:cs="Times New Roman"/>
        </w:rPr>
        <w:t xml:space="preserve"> </w:t>
      </w:r>
      <w:r>
        <w:rPr>
          <w:rFonts w:ascii="Times New Roman" w:eastAsia="Times New Roman" w:hAnsi="Times New Roman" w:cs="Times New Roman"/>
        </w:rPr>
        <w:t>represents an aesthetic response that remains trapped in social convention rather than achieving the transformative fusion of sensuality, consciousness, and artistic creation that the poem celebrates.</w:t>
      </w:r>
    </w:p>
    <w:p w14:paraId="26CECB95" w14:textId="77777777" w:rsidR="00277D69" w:rsidRDefault="00277D69" w:rsidP="00277D69">
      <w:pPr>
        <w:spacing w:after="0" w:line="480" w:lineRule="auto"/>
        <w:ind w:firstLine="720"/>
        <w:jc w:val="both"/>
        <w:rPr>
          <w:rFonts w:ascii="Times New Roman" w:eastAsia="Times New Roman" w:hAnsi="Times New Roman" w:cs="Times New Roman"/>
        </w:rPr>
      </w:pPr>
    </w:p>
    <w:p w14:paraId="6664EDB7" w14:textId="77777777" w:rsidR="00277D69" w:rsidRPr="00671F1A" w:rsidRDefault="00277D69" w:rsidP="00671F1A">
      <w:pPr>
        <w:spacing w:after="0" w:line="480" w:lineRule="auto"/>
        <w:jc w:val="both"/>
        <w:rPr>
          <w:rFonts w:ascii="Times New Roman" w:eastAsia="Times New Roman" w:hAnsi="Times New Roman" w:cs="Times New Roman"/>
          <w:i/>
          <w:iCs/>
        </w:rPr>
      </w:pPr>
      <w:r>
        <w:rPr>
          <w:rFonts w:ascii="Times New Roman" w:eastAsia="Times New Roman" w:hAnsi="Times New Roman" w:cs="Times New Roman"/>
          <w:i/>
          <w:iCs/>
        </w:rPr>
        <w:t>Postmodernism and Popular Culture</w:t>
      </w:r>
    </w:p>
    <w:p w14:paraId="49007679" w14:textId="77777777" w:rsidR="00277D69" w:rsidRDefault="00277D69" w:rsidP="00671F1A">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lastRenderedPageBreak/>
        <w:t>Such creative assimilations of Byzantium in the twentieth and twenty-first centuries have been informed and underpinned by postmodernism as well as modernism.</w:t>
      </w:r>
      <w:r>
        <w:rPr>
          <w:rFonts w:ascii="Times New Roman" w:eastAsia="Times New Roman" w:hAnsi="Times New Roman" w:cs="Times New Roman"/>
          <w:vertAlign w:val="superscript"/>
        </w:rPr>
        <w:endnoteReference w:id="78"/>
      </w:r>
      <w:r>
        <w:rPr>
          <w:rFonts w:ascii="Times New Roman" w:eastAsia="Times New Roman" w:hAnsi="Times New Roman" w:cs="Times New Roman"/>
        </w:rPr>
        <w:t xml:space="preserve"> Postmodernism, based by definition on realities constituted by discourse, opened the field to an array of experiences, perceptions and, ultimately, manifestations of Byzantium in almost all domains of intellectual and cultural life. The relevance and value of the latter are predominantly subjective since they are determined by the individual, social, political and cultural context of the creator and/or viewer. The lack of an objective framework allows Byzantium – or fundamental elements crystallized through historical perceptions as ‘Byzantine’ – to be used (or misused), perhaps more than any other historical era, for “playing tricks with history”.  </w:t>
      </w:r>
    </w:p>
    <w:p w14:paraId="31CDD680" w14:textId="77777777" w:rsidR="00277D69" w:rsidRDefault="00277D69" w:rsidP="00671F1A">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It is often said, however, that ‘popular culture’ has done more for Byzantine studies than anything else.</w:t>
      </w:r>
      <w:r>
        <w:rPr>
          <w:rFonts w:ascii="Times New Roman" w:eastAsia="Times New Roman" w:hAnsi="Times New Roman" w:cs="Times New Roman"/>
          <w:vertAlign w:val="superscript"/>
        </w:rPr>
        <w:endnoteReference w:id="79"/>
      </w:r>
      <w:r>
        <w:rPr>
          <w:rFonts w:ascii="Times New Roman" w:eastAsia="Times New Roman" w:hAnsi="Times New Roman" w:cs="Times New Roman"/>
        </w:rPr>
        <w:t xml:space="preserve">The last section in this volume discusses some of the most versatile manifestations and performative uses of Byzantine culture in modernity. Jenny Albani explores the embrace of Byzantium in twentieth and early twenty-first century jewellery fashions in Greece and abroad. Pioneer designers and luxury fashion houses assimilated Byzantine patterns, symbols and techniques in their creations, celebrating the forms and spirit of Byzantium. Jennifer Ball examines haute couture. Focusing on designs by Karl Lagerfeld (1933–2029), Gianni Versace (1947–97), Domenico Dolce (b. 1958) and Stefano Gabbana (b. 1962), Ball explores the parameters of their attraction to Byzantine visual idioms with particular emphasis, besides the use of luxury materials and elaborate techniques, on the inherently performative qualities of their creations. Marco Fasolio, on the other hand, deals with video games. His examination of a wide range of video gaming products leads to the conclusion that the majority of these display a highly fictionalised and often Orientalising version of Byzantium and its people that nonetheless engage with basic tropes pertaining to the historical empire; its Greek language, the reclamation of its </w:t>
      </w:r>
      <w:r>
        <w:rPr>
          <w:rFonts w:ascii="Times New Roman" w:eastAsia="Times New Roman" w:hAnsi="Times New Roman" w:cs="Times New Roman"/>
        </w:rPr>
        <w:lastRenderedPageBreak/>
        <w:t xml:space="preserve">lost Roman territories and its Orthodoxy. </w:t>
      </w:r>
      <w:sdt>
        <w:sdtPr>
          <w:tag w:val="goog_rdk_0"/>
          <w:id w:val="-1519696708"/>
        </w:sdtPr>
        <w:sdtContent/>
      </w:sdt>
      <w:r>
        <w:rPr>
          <w:rFonts w:ascii="Times New Roman" w:eastAsia="Times New Roman" w:hAnsi="Times New Roman" w:cs="Times New Roman"/>
        </w:rPr>
        <w:t xml:space="preserve">While some contemporary uses project forward creatively based on loose inspiration from one or more aspects of Byzantium, many demonstrate a deep and profoundly creative engagement with Byzantine culture. For example, Alexios </w:t>
      </w:r>
      <w:proofErr w:type="spellStart"/>
      <w:r>
        <w:rPr>
          <w:rFonts w:ascii="Times New Roman" w:eastAsia="Times New Roman" w:hAnsi="Times New Roman" w:cs="Times New Roman"/>
        </w:rPr>
        <w:t>Mainas</w:t>
      </w:r>
      <w:proofErr w:type="spellEnd"/>
      <w:r>
        <w:rPr>
          <w:rFonts w:ascii="Times New Roman" w:eastAsia="Times New Roman" w:hAnsi="Times New Roman" w:cs="Times New Roman"/>
        </w:rPr>
        <w:t xml:space="preserve"> analyses Andrei Tarkovsky's </w:t>
      </w:r>
      <w:r>
        <w:rPr>
          <w:rFonts w:ascii="Times New Roman" w:eastAsia="Times New Roman" w:hAnsi="Times New Roman" w:cs="Times New Roman"/>
          <w:i/>
          <w:iCs/>
        </w:rPr>
        <w:t>Andrei Rublev</w:t>
      </w:r>
      <w:r>
        <w:rPr>
          <w:rFonts w:ascii="Times New Roman" w:eastAsia="Times New Roman" w:hAnsi="Times New Roman" w:cs="Times New Roman"/>
        </w:rPr>
        <w:t xml:space="preserve"> (1966) as a cinematic manifesto that draws on Plotinian and Byzantine aesthetics to explore artistic creation as a means of imbuing life with meaning through the parallel stories of bell-casting, icon painting, and filmmaking itself.</w:t>
      </w:r>
    </w:p>
    <w:p w14:paraId="40AABE79" w14:textId="77777777" w:rsidR="00277D69" w:rsidRDefault="00277D69" w:rsidP="00277D69">
      <w:pPr>
        <w:spacing w:after="0" w:line="480" w:lineRule="auto"/>
        <w:ind w:firstLine="720"/>
        <w:rPr>
          <w:rFonts w:ascii="Times New Roman" w:eastAsia="Times New Roman" w:hAnsi="Times New Roman" w:cs="Times New Roman"/>
        </w:rPr>
      </w:pPr>
    </w:p>
    <w:p w14:paraId="7159F6DB" w14:textId="77777777" w:rsidR="00277D69" w:rsidRPr="00671F1A" w:rsidRDefault="00277D69" w:rsidP="00277D69">
      <w:pPr>
        <w:spacing w:after="0" w:line="480" w:lineRule="auto"/>
        <w:rPr>
          <w:rFonts w:ascii="Times New Roman" w:eastAsia="Times New Roman" w:hAnsi="Times New Roman" w:cs="Times New Roman"/>
          <w:i/>
          <w:iCs/>
        </w:rPr>
      </w:pPr>
      <w:r>
        <w:rPr>
          <w:rFonts w:ascii="Times New Roman" w:eastAsia="Times New Roman" w:hAnsi="Times New Roman" w:cs="Times New Roman"/>
          <w:i/>
          <w:iCs/>
        </w:rPr>
        <w:t>Displaying Byzantium</w:t>
      </w:r>
    </w:p>
    <w:p w14:paraId="236013AA"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The display of its visual and architectural culture has perhaps determined its shape in general knowledge more than any other aspect of Byzantium, with such exhibitions occupying a liminal zone that bridges academia and popular culture. Antony Eastmond charts with alacrity in this handbook the discrepancy between Byzantium’s lamented, compounded marginalization in academia with its illustrious and indelibly political history of exhibition through which “Byzantium has punched way above its weight”, attracting millions of visitors in at least fifty major loan exhibitions since 1945. The varied curatorial framings of Byzantium since 1945 share only that they are inescapably political and that Byzantium has continued relevance as a powerful political and cultural symbol. In some cases, Byzantium has been used to convey the western mega museum’s own ability “to bedazzle”, with the Byzantine exhibition becoming a “proxy for neo-imperial clout”. We are fortunate in this volume to have a retrospective personal account of the curator’s personal journey of leading on such international loan exhibitions. Maria Vassilaki charts the politics of such endeavours and consequently the diplomacy and agility required, the balance between academic research and a compelling performance, and most of all the rewards of the impact realized in shifting cultural narratives.</w:t>
      </w:r>
    </w:p>
    <w:p w14:paraId="37DF2E02"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lastRenderedPageBreak/>
        <w:t xml:space="preserve">Prior to such international loan exhibitions, pavilions at the international world fairs first deployed Byzantine design as statements of emergent national identity, reaching significant public audiences with ideas about Byzantium. Panayotis </w:t>
      </w:r>
      <w:proofErr w:type="spellStart"/>
      <w:r>
        <w:rPr>
          <w:rFonts w:ascii="Times New Roman" w:eastAsia="Times New Roman" w:hAnsi="Times New Roman" w:cs="Times New Roman"/>
        </w:rPr>
        <w:t>Tournikiotis</w:t>
      </w:r>
      <w:proofErr w:type="spellEnd"/>
      <w:r>
        <w:rPr>
          <w:rFonts w:ascii="Times New Roman" w:eastAsia="Times New Roman" w:hAnsi="Times New Roman" w:cs="Times New Roman"/>
        </w:rPr>
        <w:t xml:space="preserve"> examines in this volume the Greek pavilion at the Universal Exhibition of Paris in 1900, which bridged ancient heritage with modernity. He compares it to the definitive 1931 Paris loan exhibition of Byzantine art at the </w:t>
      </w:r>
      <w:proofErr w:type="spellStart"/>
      <w:r>
        <w:rPr>
          <w:rFonts w:ascii="Times New Roman" w:eastAsia="Times New Roman" w:hAnsi="Times New Roman" w:cs="Times New Roman"/>
          <w:i/>
          <w:iCs/>
        </w:rPr>
        <w:t>Musée</w:t>
      </w:r>
      <w:proofErr w:type="spellEnd"/>
      <w:r>
        <w:rPr>
          <w:rFonts w:ascii="Times New Roman" w:eastAsia="Times New Roman" w:hAnsi="Times New Roman" w:cs="Times New Roman"/>
          <w:i/>
          <w:iCs/>
        </w:rPr>
        <w:t xml:space="preserve"> des arts décoratifs</w:t>
      </w:r>
      <w:r>
        <w:rPr>
          <w:rFonts w:ascii="Times New Roman" w:eastAsia="Times New Roman" w:hAnsi="Times New Roman" w:cs="Times New Roman"/>
        </w:rPr>
        <w:t xml:space="preserve"> to reveal tensions between France’s embrace of a historical, but inherently modernist, Byzantium and the flat reception of both in Greece, where Byzantine art and architecture already served as a historical link in the narrative of modern Greek identity.</w:t>
      </w:r>
    </w:p>
    <w:p w14:paraId="07F4E6FC"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More recent exhibitions challenging these models have been decentred expressions of everyday material culture going beyond the empire’s borders, influenced to va</w:t>
      </w:r>
      <w:r w:rsidR="00671F1A">
        <w:rPr>
          <w:rFonts w:ascii="Times New Roman" w:eastAsia="Times New Roman" w:hAnsi="Times New Roman" w:cs="Times New Roman"/>
        </w:rPr>
        <w:t xml:space="preserve">rying degrees by </w:t>
      </w:r>
      <w:proofErr w:type="spellStart"/>
      <w:r w:rsidR="00671F1A">
        <w:rPr>
          <w:rFonts w:ascii="Times New Roman" w:eastAsia="Times New Roman" w:hAnsi="Times New Roman" w:cs="Times New Roman"/>
        </w:rPr>
        <w:t>decolonialism</w:t>
      </w:r>
      <w:proofErr w:type="spellEnd"/>
      <w:r w:rsidR="00671F1A">
        <w:rPr>
          <w:rFonts w:ascii="Times New Roman" w:eastAsia="Times New Roman" w:hAnsi="Times New Roman" w:cs="Times New Roman"/>
        </w:rPr>
        <w:t xml:space="preserve">. </w:t>
      </w:r>
      <w:r>
        <w:rPr>
          <w:rFonts w:ascii="Times New Roman" w:eastAsia="Times New Roman" w:hAnsi="Times New Roman" w:cs="Times New Roman"/>
        </w:rPr>
        <w:t xml:space="preserve">Complex decisions about participation reflect both ancient legacies and contemporary tensions. Eastmond explores the politics of inheritance in exhibitions that have become stages for competing claims of Byzantine inheritance in countries with historical connection to the Empire. Russia, Greece and Turkey have all used Byzantine art at various points to assert historical succession rights tied to contemporary politics (reflected equally in their choosing at times not to engage in this politics of inheritance), with the latter two leveraging these connections to support European integration arguments. Non-participation proves equally revealing. For some, such as Georgia, Orthodoxy – its enduring connection to Byzantium – in fact limits willingness to transport living icons. Georgian spirituality and its image were also inherently connected to national identity, and </w:t>
      </w:r>
      <w:r>
        <w:rPr>
          <w:rFonts w:ascii="Times New Roman" w:eastAsia="Times New Roman" w:hAnsi="Times New Roman" w:cs="Times New Roman"/>
          <w:color w:val="0D0D0D"/>
          <w:highlight w:val="white"/>
        </w:rPr>
        <w:t xml:space="preserve">Irene </w:t>
      </w:r>
      <w:proofErr w:type="spellStart"/>
      <w:r>
        <w:rPr>
          <w:rFonts w:ascii="Times New Roman" w:eastAsia="Times New Roman" w:hAnsi="Times New Roman" w:cs="Times New Roman"/>
          <w:color w:val="0D0D0D"/>
          <w:highlight w:val="white"/>
        </w:rPr>
        <w:t>Giviashvili</w:t>
      </w:r>
      <w:proofErr w:type="spellEnd"/>
      <w:r>
        <w:rPr>
          <w:rFonts w:ascii="Times New Roman" w:eastAsia="Times New Roman" w:hAnsi="Times New Roman" w:cs="Times New Roman"/>
          <w:color w:val="0D0D0D"/>
          <w:highlight w:val="white"/>
        </w:rPr>
        <w:t xml:space="preserve"> </w:t>
      </w:r>
      <w:r>
        <w:rPr>
          <w:rFonts w:ascii="Times New Roman" w:eastAsia="Times New Roman" w:hAnsi="Times New Roman" w:cs="Times New Roman"/>
        </w:rPr>
        <w:t xml:space="preserve">and Anna Mgaloblishvili discuss nineteenth- and early twentieth-century Georgian altar screens as a crucial architectural medium through which national identity and spiritual continuity were constructed and displayed by strategically reviving and reinterpreting medieval forms. Byzantium, it seems, </w:t>
      </w:r>
      <w:r>
        <w:rPr>
          <w:rFonts w:ascii="Times New Roman" w:eastAsia="Times New Roman" w:hAnsi="Times New Roman" w:cs="Times New Roman"/>
        </w:rPr>
        <w:lastRenderedPageBreak/>
        <w:t>still matters to the construction of modern nations, seen more than anywhere in the politics of display.</w:t>
      </w:r>
    </w:p>
    <w:p w14:paraId="594E065F" w14:textId="77777777" w:rsidR="00277D69" w:rsidRDefault="00277D69" w:rsidP="00277D69">
      <w:pPr>
        <w:spacing w:after="0" w:line="480" w:lineRule="auto"/>
        <w:rPr>
          <w:rFonts w:ascii="Times New Roman" w:eastAsia="Times New Roman" w:hAnsi="Times New Roman" w:cs="Times New Roman"/>
        </w:rPr>
      </w:pPr>
    </w:p>
    <w:p w14:paraId="21574687" w14:textId="77777777" w:rsidR="00277D69" w:rsidRPr="00671F1A" w:rsidRDefault="00277D69" w:rsidP="00277D69">
      <w:pPr>
        <w:spacing w:after="0" w:line="480" w:lineRule="auto"/>
        <w:rPr>
          <w:rFonts w:ascii="Times New Roman" w:eastAsia="Times New Roman" w:hAnsi="Times New Roman" w:cs="Times New Roman"/>
          <w:b/>
          <w:bCs/>
        </w:rPr>
      </w:pPr>
      <w:r>
        <w:rPr>
          <w:rFonts w:ascii="Times New Roman" w:eastAsia="Times New Roman" w:hAnsi="Times New Roman" w:cs="Times New Roman"/>
          <w:b/>
          <w:bCs/>
        </w:rPr>
        <w:t>Global Byzantium – World Culture and Byzantine Studies</w:t>
      </w:r>
    </w:p>
    <w:p w14:paraId="2C395E9E" w14:textId="77777777" w:rsidR="00277D69" w:rsidRDefault="00277D69"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In the year 2000 the Oxford History of Art Series, by Oxford University Press, devoted a monograph to Byzantine Art authored by Robin Cormack. The book was part of the World Art Series along with studies dedicated to African American Art, the Art of China, Native North American Art and Aegean Art and Architecture. In 1964, however, the grand historic exhibition ‘Byzantine Art – A European Art’ had been organised in Athens, at the much celebrated Zappeion Hall, under the auspices of the then Prime Minister of the Greek Government. This exhibition, which set forth the era of grand Byzantine shows in Europe and the US, promoted Byzantium as the decisive European facet of Greek culture and was timed around the Greek bid to enter the European Economic Community.</w:t>
      </w:r>
      <w:r>
        <w:rPr>
          <w:rFonts w:ascii="Times New Roman" w:eastAsia="Times New Roman" w:hAnsi="Times New Roman" w:cs="Times New Roman"/>
          <w:vertAlign w:val="superscript"/>
        </w:rPr>
        <w:endnoteReference w:id="80"/>
      </w:r>
      <w:r>
        <w:rPr>
          <w:rFonts w:ascii="Times New Roman" w:eastAsia="Times New Roman" w:hAnsi="Times New Roman" w:cs="Times New Roman"/>
        </w:rPr>
        <w:t xml:space="preserve"> However, as it seems, it didn’t meet its purposes: thirty-six years later Byzantium did not ‘tick the appropriate boxes’ to be listed at least by Oxford University Press, under the umbrella of European Art. </w:t>
      </w:r>
    </w:p>
    <w:p w14:paraId="2FEFA85E" w14:textId="77777777" w:rsidR="003C03AC" w:rsidRDefault="00277D69" w:rsidP="00277D69">
      <w:pPr>
        <w:spacing w:after="0" w:line="480" w:lineRule="auto"/>
        <w:jc w:val="both"/>
        <w:rPr>
          <w:rFonts w:ascii="Times New Roman" w:eastAsia="Times New Roman" w:hAnsi="Times New Roman" w:cs="Times New Roman"/>
        </w:rPr>
      </w:pPr>
      <w:bookmarkStart w:id="0" w:name="_heading=h.r6c2bznegkcw" w:colFirst="0" w:colLast="0"/>
      <w:bookmarkEnd w:id="0"/>
      <w:r>
        <w:rPr>
          <w:rFonts w:ascii="Times New Roman" w:eastAsia="Times New Roman" w:hAnsi="Times New Roman" w:cs="Times New Roman"/>
        </w:rPr>
        <w:tab/>
        <w:t>The place of Byzantium and Byzantine Studies in academia, at the university or in the museum, and in educational and research agendas remains obscure. The birth of the academic discipline of ‘Byzantine Studies’ in the nineteenth century has been argued to have allowed for distance from the concept of both a Greek or Roman Empire and for the creation of a sanitized ideological space.</w:t>
      </w:r>
      <w:r>
        <w:rPr>
          <w:rFonts w:ascii="Times New Roman" w:eastAsia="Times New Roman" w:hAnsi="Times New Roman" w:cs="Times New Roman"/>
          <w:vertAlign w:val="superscript"/>
        </w:rPr>
        <w:endnoteReference w:id="81"/>
      </w:r>
      <w:r>
        <w:rPr>
          <w:rFonts w:ascii="Times New Roman" w:eastAsia="Times New Roman" w:hAnsi="Times New Roman" w:cs="Times New Roman"/>
        </w:rPr>
        <w:t>However, interest in Byzantine Studies is demonstrably greater in cases where the presence (and support) of a strong and active Greek community are predominant, implicitly emphasising the ‘Greekness’ and Orthodox character of Byzantium.</w:t>
      </w:r>
      <w:r>
        <w:rPr>
          <w:rFonts w:ascii="Times New Roman" w:eastAsia="Times New Roman" w:hAnsi="Times New Roman" w:cs="Times New Roman"/>
          <w:vertAlign w:val="superscript"/>
        </w:rPr>
        <w:endnoteReference w:id="82"/>
      </w:r>
      <w:r>
        <w:rPr>
          <w:rFonts w:ascii="Times New Roman" w:eastAsia="Times New Roman" w:hAnsi="Times New Roman" w:cs="Times New Roman"/>
        </w:rPr>
        <w:t xml:space="preserve"> I</w:t>
      </w:r>
      <w:r w:rsidR="00290AD8">
        <w:rPr>
          <w:rFonts w:ascii="Times New Roman" w:eastAsia="Times New Roman" w:hAnsi="Times New Roman" w:cs="Times New Roman"/>
        </w:rPr>
        <w:t xml:space="preserve">t is clear that we should not ask for semantic clarity when dealing with Byzantium and its culture, however, </w:t>
      </w:r>
      <w:r w:rsidR="00290AD8">
        <w:rPr>
          <w:rFonts w:ascii="Times New Roman" w:eastAsia="Times New Roman" w:hAnsi="Times New Roman" w:cs="Times New Roman"/>
        </w:rPr>
        <w:lastRenderedPageBreak/>
        <w:t xml:space="preserve">since, one thing, at least, is certain about it: the lack of a firm, consistently applied corresponding signified. </w:t>
      </w:r>
    </w:p>
    <w:p w14:paraId="181AF73E" w14:textId="77777777" w:rsidR="003C03AC" w:rsidRDefault="00290AD8"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Academic studies have since the nineteenth century provided the foundations and scaffolding for much of the revival and reinterpretation of Byzantium across art and architecture, politics, literature and more. They have provided improved historical accuracy and access to rich sources of inspiration that have influenced nation building and various artistic movements, contributing to the development of modern aesthetics. All of the studies in this volume that deal with the development of Byzantine Studies across the world, both past and present, focus on the contribution of significant individuals, the building of critical mass and eventual securing of institutional support. But for each scholar and institution, the work has been related to the needs of their contexts. Ivan Foletti focuses particularly on Nikodim Kondakov (1844–1925), one of the first professional Byzantinists, a figure that largely shaped the development of Byzantine Studies globally yet was indelibly connected to the political making of Byzantium in Russia. Byzantine studies have also been clearly affected by the vicissitudes of modern nation building in Russia. Lora Gerd traces how Russian Byzantine Studies flourished from the 1840s onwards, aligned with the perception of Russia as the heir of Byzantium, becoming a leading European school by the 1910s. The school collapsed under Communist persecution in the 1930s before reviving in the late 1940s under strict ideological constraints that excluded religious topics, while nurturing a new generation of scholars who would flourish after 1991. </w:t>
      </w:r>
    </w:p>
    <w:p w14:paraId="5D8BB7E0" w14:textId="77777777" w:rsidR="003C03AC" w:rsidRDefault="00290AD8"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Christine Amadou explores the formal institutionalization of Byzantine Studies in Scandinavia during the 1980s, which thrives to this day. This development emerged from over a century of informal engagement in both popular culture and adjacent scholarly disciplines, </w:t>
      </w:r>
      <w:proofErr w:type="spellStart"/>
      <w:r>
        <w:rPr>
          <w:rFonts w:ascii="Times New Roman" w:eastAsia="Times New Roman" w:hAnsi="Times New Roman" w:cs="Times New Roman"/>
        </w:rPr>
        <w:t>centered</w:t>
      </w:r>
      <w:proofErr w:type="spellEnd"/>
      <w:r>
        <w:rPr>
          <w:rFonts w:ascii="Times New Roman" w:eastAsia="Times New Roman" w:hAnsi="Times New Roman" w:cs="Times New Roman"/>
        </w:rPr>
        <w:t xml:space="preserve"> particularly on medieval Scandinavian-Byzantine contact, most notably through the </w:t>
      </w:r>
      <w:r>
        <w:rPr>
          <w:rFonts w:ascii="Times New Roman" w:eastAsia="Times New Roman" w:hAnsi="Times New Roman" w:cs="Times New Roman"/>
        </w:rPr>
        <w:lastRenderedPageBreak/>
        <w:t>Varangian Guard – the elite Byzantine military unit composed largely of Norse warriors who served the emperors in Constantinople from the tenth to fourteenth centuries. Amadou demonstrates how these historical connections were implicated in Scandinavian nation-building projects, as emerging Nordic states sought to construct distinctive historical and thus national identities. Markéta Kulhánková examines the pioneering work of the Czech classicist and Byzantinist Karel Muller (1875–1955) who translated and promoted Byzantine vernacular literature in early-nineteenth-century Czechia – efforts barely recognised in his lifetime or since, but which have provided part of the bedrock needed for the foundations of the discipline.</w:t>
      </w:r>
    </w:p>
    <w:p w14:paraId="5419E89C" w14:textId="4FF927B4" w:rsidR="003C03AC" w:rsidRDefault="00290AD8"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University collections have undoubtedly played a huge role, and continue to do so, in</w:t>
      </w:r>
      <w:r w:rsidR="00671F1A">
        <w:rPr>
          <w:rFonts w:ascii="Times New Roman" w:eastAsia="Times New Roman" w:hAnsi="Times New Roman" w:cs="Times New Roman"/>
        </w:rPr>
        <w:t xml:space="preserve"> Byzantine reception. Jolivet Lé</w:t>
      </w:r>
      <w:r>
        <w:rPr>
          <w:rFonts w:ascii="Times New Roman" w:eastAsia="Times New Roman" w:hAnsi="Times New Roman" w:cs="Times New Roman"/>
        </w:rPr>
        <w:t xml:space="preserve">vy explores the contribution of Gabriel Millet (1867–1953) to the reception of Byzantine art through his photographic collection assembled at the </w:t>
      </w:r>
      <w:r>
        <w:rPr>
          <w:rFonts w:ascii="Times New Roman" w:eastAsia="Times New Roman" w:hAnsi="Times New Roman" w:cs="Times New Roman"/>
          <w:i/>
          <w:iCs/>
        </w:rPr>
        <w:t xml:space="preserve">École pratique des </w:t>
      </w:r>
      <w:proofErr w:type="spellStart"/>
      <w:r>
        <w:rPr>
          <w:rFonts w:ascii="Times New Roman" w:eastAsia="Times New Roman" w:hAnsi="Times New Roman" w:cs="Times New Roman"/>
          <w:i/>
          <w:iCs/>
        </w:rPr>
        <w:t>hautes</w:t>
      </w:r>
      <w:proofErr w:type="spellEnd"/>
      <w:r>
        <w:rPr>
          <w:rFonts w:ascii="Times New Roman" w:eastAsia="Times New Roman" w:hAnsi="Times New Roman" w:cs="Times New Roman"/>
          <w:i/>
          <w:iCs/>
        </w:rPr>
        <w:t xml:space="preserve"> études</w:t>
      </w:r>
      <w:r>
        <w:rPr>
          <w:rFonts w:ascii="Times New Roman" w:eastAsia="Times New Roman" w:hAnsi="Times New Roman" w:cs="Times New Roman"/>
        </w:rPr>
        <w:t xml:space="preserve"> (EPHE) along with his publications.</w:t>
      </w:r>
      <w:r w:rsidR="000E02BD">
        <w:rPr>
          <w:rFonts w:ascii="Times New Roman" w:eastAsia="Times New Roman" w:hAnsi="Times New Roman" w:cs="Times New Roman"/>
        </w:rPr>
        <w:t xml:space="preserve"> </w:t>
      </w:r>
      <w:r>
        <w:rPr>
          <w:rFonts w:ascii="Times New Roman" w:eastAsia="Times New Roman" w:hAnsi="Times New Roman" w:cs="Times New Roman"/>
        </w:rPr>
        <w:t xml:space="preserve">Although the renewed response to Byzantine art in the late nineteenth and early twentieth centuries was largely driven by admiration for its stylistic properties that spoke to modernist sensibilities, Millet rejected an aesthetic approach in favour of a rigorous archaeological and iconographic method, grounded in texts and history. Through his meticulous and methodical documentation and innovative teaching methods, Millet significantly contributed to the study and appreciation of Byzantine art and architecture, influencing scholars and students worldwide in ways that continue to resonate. </w:t>
      </w:r>
    </w:p>
    <w:p w14:paraId="00FD9985" w14:textId="36A3369B" w:rsidR="003C03AC" w:rsidRDefault="00290AD8"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The influx of émigré European scholars during World War II saw a significant transfer of Byzantine studies across the Atlantic. Elizabeth Dospel Williams charts the wartime formation of Dumbarton Oaks to demonstrate how contemporary events and concern with a shifting world order shaped the field's institutional foundations. This contextual influence continues: the Byzantine Studies Association of North America has progressed the diversification of subject </w:t>
      </w:r>
      <w:r>
        <w:rPr>
          <w:rFonts w:ascii="Times New Roman" w:eastAsia="Times New Roman" w:hAnsi="Times New Roman" w:cs="Times New Roman"/>
        </w:rPr>
        <w:lastRenderedPageBreak/>
        <w:t xml:space="preserve">matter, methodologies and </w:t>
      </w:r>
      <w:r w:rsidR="000E02BD">
        <w:rPr>
          <w:rFonts w:ascii="Times New Roman" w:eastAsia="Times New Roman" w:hAnsi="Times New Roman" w:cs="Times New Roman"/>
        </w:rPr>
        <w:t>subspecialisations</w:t>
      </w:r>
      <w:r>
        <w:rPr>
          <w:rFonts w:ascii="Times New Roman" w:eastAsia="Times New Roman" w:hAnsi="Times New Roman" w:cs="Times New Roman"/>
        </w:rPr>
        <w:t xml:space="preserve"> for a field now spanning Europe to Central Asia, while supporting an increasingly diverse body of researchers in defiance of older imperialist models of Byzantium and Byzantine Studies. </w:t>
      </w:r>
    </w:p>
    <w:p w14:paraId="1BF72590" w14:textId="77777777" w:rsidR="003C03AC" w:rsidRDefault="00290AD8" w:rsidP="00671F1A">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While the historiography of Byzantine Studies has predominantly focused on their nineteenth-century European and North American origins and developments, two compelling case studies in this Handbook illuminate the field’s ongoing global expansion in modern academia. Chen </w:t>
      </w:r>
      <w:proofErr w:type="spellStart"/>
      <w:r>
        <w:rPr>
          <w:rFonts w:ascii="Times New Roman" w:eastAsia="Times New Roman" w:hAnsi="Times New Roman" w:cs="Times New Roman"/>
        </w:rPr>
        <w:t>Zhiqian</w:t>
      </w:r>
      <w:proofErr w:type="spellEnd"/>
      <w:r>
        <w:rPr>
          <w:rFonts w:ascii="Times New Roman" w:eastAsia="Times New Roman" w:hAnsi="Times New Roman" w:cs="Times New Roman"/>
        </w:rPr>
        <w:t xml:space="preserve"> examines their development in China from the 1980s, while Pablo Cavallero traces the flourishing of Byzantine historical, theological and philological studies and initiatives in Argentina, particularly from the mid-twentieth century onwards, culminating in the admission of the Argentine Centre of Byzantine Studies (</w:t>
      </w:r>
      <w:proofErr w:type="spellStart"/>
      <w:r>
        <w:rPr>
          <w:rFonts w:ascii="Times New Roman" w:eastAsia="Times New Roman" w:hAnsi="Times New Roman" w:cs="Times New Roman"/>
        </w:rPr>
        <w:t>CAEBiz</w:t>
      </w:r>
      <w:proofErr w:type="spellEnd"/>
      <w:r>
        <w:rPr>
          <w:rFonts w:ascii="Times New Roman" w:eastAsia="Times New Roman" w:hAnsi="Times New Roman" w:cs="Times New Roman"/>
        </w:rPr>
        <w:t xml:space="preserve">) into the International Association of Byzantine Studies (AIEB) in 2016. Established in 1948, shortly after WWII as an outgrowth of various international Byzantine Studies congresses, the Association has grown to encompass approximately 28 national committees spanning continents from Europe and North America to Asia, Oceania, and Latin America. The AIEB has actively shaped the field’s development through its International Congresses – 24 of which have been convened to date, driving forward research priorities and methodological approaches. Alongside this welcome diversification, a complex dynamic and tension continues between organisational expansion and intellectual decolonisation. The geographical rotation of congresses continues to determine how Byzantine civilization is interpreted and received, speaking to complex geopolitical legacies and national narratives. </w:t>
      </w:r>
    </w:p>
    <w:p w14:paraId="7368B929" w14:textId="77777777" w:rsidR="003C03AC" w:rsidRDefault="00290AD8" w:rsidP="00277D69">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Despite the disputed place of Byzantium in current academia and research agendas, generous institutional protection is now provided for the surviving Byzantine heritage as a valuable world culture. </w:t>
      </w:r>
      <w:proofErr w:type="spellStart"/>
      <w:r>
        <w:rPr>
          <w:rFonts w:ascii="Times New Roman" w:eastAsia="Times New Roman" w:hAnsi="Times New Roman" w:cs="Times New Roman"/>
        </w:rPr>
        <w:t>Vassilki</w:t>
      </w:r>
      <w:proofErr w:type="spellEnd"/>
      <w:r>
        <w:rPr>
          <w:rFonts w:ascii="Times New Roman" w:eastAsia="Times New Roman" w:hAnsi="Times New Roman" w:cs="Times New Roman"/>
        </w:rPr>
        <w:t xml:space="preserve"> Dimitropoulou discusses the evolution of Byzantium’s presence </w:t>
      </w:r>
      <w:r>
        <w:rPr>
          <w:rFonts w:ascii="Times New Roman" w:eastAsia="Times New Roman" w:hAnsi="Times New Roman" w:cs="Times New Roman"/>
        </w:rPr>
        <w:lastRenderedPageBreak/>
        <w:t>in the UNESCO World Heritage List that has been considerably enriched over time and now includes major, as well as lesser known, Byzantine monuments. In addition, traditions and living experiences, such as the Byzantine chant, have been included in the UNESCO catalogues of Intangible Cultural Heritage that constitute a priority for the Institution. Byzantium’s value, although contradictory and nebulous, is now international and seems not to be going anywhere.</w:t>
      </w:r>
    </w:p>
    <w:p w14:paraId="139459EA" w14:textId="77777777" w:rsidR="003C03AC" w:rsidRDefault="003C03AC" w:rsidP="00277D69">
      <w:pPr>
        <w:spacing w:after="0" w:line="480" w:lineRule="auto"/>
        <w:ind w:firstLine="720"/>
        <w:jc w:val="both"/>
        <w:rPr>
          <w:rFonts w:ascii="Times New Roman" w:eastAsia="Times New Roman" w:hAnsi="Times New Roman" w:cs="Times New Roman"/>
        </w:rPr>
      </w:pPr>
    </w:p>
    <w:p w14:paraId="3D4A1331" w14:textId="77777777" w:rsidR="003C03AC" w:rsidRPr="00671F1A" w:rsidRDefault="00671F1A" w:rsidP="00277D69">
      <w:pPr>
        <w:pStyle w:val="Heading1"/>
        <w:keepNext w:val="0"/>
        <w:keepLines w:val="0"/>
        <w:spacing w:before="0" w:after="0" w:line="480" w:lineRule="auto"/>
        <w:jc w:val="both"/>
        <w:rPr>
          <w:rFonts w:ascii="Times New Roman" w:eastAsia="Times New Roman" w:hAnsi="Times New Roman" w:cs="Times New Roman"/>
          <w:bCs/>
          <w:color w:val="000000"/>
          <w:sz w:val="24"/>
          <w:szCs w:val="30"/>
        </w:rPr>
      </w:pPr>
      <w:bookmarkStart w:id="1" w:name="_heading=h.at5jgc4gztrc" w:colFirst="0" w:colLast="0"/>
      <w:bookmarkEnd w:id="1"/>
      <w:r w:rsidRPr="00671F1A">
        <w:rPr>
          <w:rFonts w:ascii="Times New Roman" w:eastAsia="Times New Roman" w:hAnsi="Times New Roman" w:cs="Times New Roman"/>
          <w:bCs/>
          <w:color w:val="000000"/>
          <w:sz w:val="24"/>
          <w:szCs w:val="30"/>
        </w:rPr>
        <w:t>BIBLIOGRAPHY</w:t>
      </w:r>
    </w:p>
    <w:p w14:paraId="5DCF0695" w14:textId="77777777" w:rsidR="003C03AC" w:rsidRDefault="00290AD8" w:rsidP="00277D69">
      <w:pPr>
        <w:spacing w:after="0" w:line="480" w:lineRule="auto"/>
        <w:jc w:val="both"/>
        <w:rPr>
          <w:rFonts w:ascii="Times New Roman" w:eastAsia="Times New Roman" w:hAnsi="Times New Roman" w:cs="Times New Roman"/>
        </w:rPr>
      </w:pPr>
      <w:proofErr w:type="spellStart"/>
      <w:r>
        <w:rPr>
          <w:rFonts w:ascii="Times New Roman" w:eastAsia="Times New Roman" w:hAnsi="Times New Roman" w:cs="Times New Roman"/>
        </w:rPr>
        <w:t>Ahrweiler</w:t>
      </w:r>
      <w:proofErr w:type="spellEnd"/>
      <w:r>
        <w:rPr>
          <w:rFonts w:ascii="Times New Roman" w:eastAsia="Times New Roman" w:hAnsi="Times New Roman" w:cs="Times New Roman"/>
        </w:rPr>
        <w:t xml:space="preserve">, H. (2003) 'Preface'. In </w:t>
      </w:r>
      <w:proofErr w:type="spellStart"/>
      <w:r>
        <w:rPr>
          <w:rFonts w:ascii="Times New Roman" w:eastAsia="Times New Roman" w:hAnsi="Times New Roman" w:cs="Times New Roman"/>
        </w:rPr>
        <w:t>Auzépy</w:t>
      </w:r>
      <w:proofErr w:type="spellEnd"/>
      <w:r>
        <w:rPr>
          <w:rFonts w:ascii="Times New Roman" w:eastAsia="Times New Roman" w:hAnsi="Times New Roman" w:cs="Times New Roman"/>
        </w:rPr>
        <w:t xml:space="preserve"> 2003, 5–6.</w:t>
      </w:r>
    </w:p>
    <w:p w14:paraId="6A3C5C6A" w14:textId="77777777" w:rsidR="00671F1A" w:rsidRDefault="00671F1A" w:rsidP="00277D69">
      <w:pPr>
        <w:spacing w:after="0" w:line="480" w:lineRule="auto"/>
        <w:jc w:val="both"/>
        <w:rPr>
          <w:rFonts w:ascii="Times New Roman" w:eastAsia="Times New Roman" w:hAnsi="Times New Roman" w:cs="Times New Roman"/>
        </w:rPr>
      </w:pPr>
    </w:p>
    <w:p w14:paraId="28B249FE" w14:textId="77777777" w:rsidR="003C03AC" w:rsidRDefault="00290AD8" w:rsidP="00277D69">
      <w:pPr>
        <w:spacing w:after="0" w:line="480" w:lineRule="auto"/>
        <w:jc w:val="both"/>
        <w:rPr>
          <w:rFonts w:ascii="Times New Roman" w:eastAsia="Times New Roman" w:hAnsi="Times New Roman" w:cs="Times New Roman"/>
        </w:rPr>
      </w:pPr>
      <w:proofErr w:type="spellStart"/>
      <w:r>
        <w:rPr>
          <w:rFonts w:ascii="Times New Roman" w:eastAsia="Times New Roman" w:hAnsi="Times New Roman" w:cs="Times New Roman"/>
        </w:rPr>
        <w:t>Alshanskaya</w:t>
      </w:r>
      <w:proofErr w:type="spellEnd"/>
      <w:r>
        <w:rPr>
          <w:rFonts w:ascii="Times New Roman" w:eastAsia="Times New Roman" w:hAnsi="Times New Roman" w:cs="Times New Roman"/>
        </w:rPr>
        <w:t xml:space="preserve">, A., Gietzen, A. and </w:t>
      </w:r>
      <w:proofErr w:type="spellStart"/>
      <w:r>
        <w:rPr>
          <w:rFonts w:ascii="Times New Roman" w:eastAsia="Times New Roman" w:hAnsi="Times New Roman" w:cs="Times New Roman"/>
        </w:rPr>
        <w:t>Hadjiafxenti</w:t>
      </w:r>
      <w:proofErr w:type="spellEnd"/>
      <w:r>
        <w:rPr>
          <w:rFonts w:ascii="Times New Roman" w:eastAsia="Times New Roman" w:hAnsi="Times New Roman" w:cs="Times New Roman"/>
        </w:rPr>
        <w:t xml:space="preserve">, C. (eds.) (2018) </w:t>
      </w:r>
      <w:r>
        <w:rPr>
          <w:rFonts w:ascii="Times New Roman" w:eastAsia="Times New Roman" w:hAnsi="Times New Roman" w:cs="Times New Roman"/>
          <w:i/>
          <w:iCs/>
        </w:rPr>
        <w:t>Imagining Byzantium: Perceptions, patterns, problems</w:t>
      </w:r>
      <w:r>
        <w:rPr>
          <w:rFonts w:ascii="Times New Roman" w:eastAsia="Times New Roman" w:hAnsi="Times New Roman" w:cs="Times New Roman"/>
        </w:rPr>
        <w:t>. Mainz.</w:t>
      </w:r>
    </w:p>
    <w:p w14:paraId="5ACD55EF" w14:textId="77777777" w:rsidR="00671F1A" w:rsidRDefault="00671F1A" w:rsidP="00277D69">
      <w:pPr>
        <w:spacing w:after="0" w:line="480" w:lineRule="auto"/>
        <w:jc w:val="both"/>
        <w:rPr>
          <w:rFonts w:ascii="Times New Roman" w:eastAsia="Times New Roman" w:hAnsi="Times New Roman" w:cs="Times New Roman"/>
        </w:rPr>
      </w:pPr>
    </w:p>
    <w:p w14:paraId="1266A8AA"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Anderson, B. and Ivanova, M. (eds.) (2023) </w:t>
      </w:r>
      <w:r>
        <w:rPr>
          <w:rFonts w:ascii="Times New Roman" w:eastAsia="Times New Roman" w:hAnsi="Times New Roman" w:cs="Times New Roman"/>
          <w:i/>
          <w:iCs/>
        </w:rPr>
        <w:t>Is Byzantine studies a colonialist discipline? Toward a critical historiography</w:t>
      </w:r>
      <w:r>
        <w:rPr>
          <w:rFonts w:ascii="Times New Roman" w:eastAsia="Times New Roman" w:hAnsi="Times New Roman" w:cs="Times New Roman"/>
        </w:rPr>
        <w:t>. University Park, PA.</w:t>
      </w:r>
    </w:p>
    <w:p w14:paraId="07613862" w14:textId="77777777" w:rsidR="00671F1A" w:rsidRDefault="00671F1A" w:rsidP="00277D69">
      <w:pPr>
        <w:spacing w:after="0" w:line="480" w:lineRule="auto"/>
        <w:jc w:val="both"/>
        <w:rPr>
          <w:rFonts w:ascii="Times New Roman" w:eastAsia="Times New Roman" w:hAnsi="Times New Roman" w:cs="Times New Roman"/>
        </w:rPr>
      </w:pPr>
    </w:p>
    <w:p w14:paraId="37BCCB0A" w14:textId="77777777" w:rsidR="00E07BDB" w:rsidRDefault="00290AD8" w:rsidP="00277D69">
      <w:pPr>
        <w:spacing w:after="0" w:line="480" w:lineRule="auto"/>
        <w:jc w:val="both"/>
        <w:rPr>
          <w:rFonts w:ascii="Times New Roman" w:eastAsia="Times New Roman" w:hAnsi="Times New Roman" w:cs="Times New Roman"/>
          <w:lang w:val="el-GR"/>
        </w:rPr>
      </w:pPr>
      <w:r>
        <w:rPr>
          <w:rFonts w:ascii="Times New Roman" w:eastAsia="Times New Roman" w:hAnsi="Times New Roman" w:cs="Times New Roman"/>
        </w:rPr>
        <w:t xml:space="preserve">Angelov, D. (2003) 'Byzantinism: The imaginary and real heritage of Byzantium in Southeastern Europe'. In D. Keridis, E. Elias-Bursac and N. </w:t>
      </w:r>
      <w:proofErr w:type="spellStart"/>
      <w:r>
        <w:rPr>
          <w:rFonts w:ascii="Times New Roman" w:eastAsia="Times New Roman" w:hAnsi="Times New Roman" w:cs="Times New Roman"/>
        </w:rPr>
        <w:t>Yatromanolakis</w:t>
      </w:r>
      <w:proofErr w:type="spellEnd"/>
      <w:r>
        <w:rPr>
          <w:rFonts w:ascii="Times New Roman" w:eastAsia="Times New Roman" w:hAnsi="Times New Roman" w:cs="Times New Roman"/>
        </w:rPr>
        <w:t xml:space="preserve"> (eds.) </w:t>
      </w:r>
      <w:r>
        <w:rPr>
          <w:rFonts w:ascii="Times New Roman" w:eastAsia="Times New Roman" w:hAnsi="Times New Roman" w:cs="Times New Roman"/>
          <w:i/>
          <w:iCs/>
        </w:rPr>
        <w:t>New approaches to Balkan studies</w:t>
      </w:r>
      <w:r>
        <w:rPr>
          <w:rFonts w:ascii="Times New Roman" w:eastAsia="Times New Roman" w:hAnsi="Times New Roman" w:cs="Times New Roman"/>
        </w:rPr>
        <w:t>, 3–23. Dulles, VA.</w:t>
      </w:r>
    </w:p>
    <w:p w14:paraId="60C60464" w14:textId="77777777" w:rsidR="00E07BDB" w:rsidRDefault="00E07BDB" w:rsidP="00277D69">
      <w:pPr>
        <w:spacing w:after="0" w:line="480" w:lineRule="auto"/>
        <w:jc w:val="both"/>
        <w:rPr>
          <w:rFonts w:ascii="Times New Roman" w:eastAsia="Times New Roman" w:hAnsi="Times New Roman" w:cs="Times New Roman"/>
          <w:lang w:val="el-GR"/>
        </w:rPr>
      </w:pPr>
    </w:p>
    <w:p w14:paraId="27A34E4A" w14:textId="77777777" w:rsidR="003C03AC" w:rsidRPr="000E02BD" w:rsidRDefault="00290AD8" w:rsidP="00277D69">
      <w:pPr>
        <w:spacing w:after="0" w:line="480" w:lineRule="auto"/>
        <w:jc w:val="both"/>
        <w:rPr>
          <w:rFonts w:ascii="Times New Roman" w:eastAsia="Times New Roman" w:hAnsi="Times New Roman" w:cs="Times New Roman"/>
          <w:lang w:val="fr-FR"/>
        </w:rPr>
      </w:pPr>
      <w:r>
        <w:rPr>
          <w:rFonts w:ascii="Times New Roman" w:eastAsia="Times New Roman" w:hAnsi="Times New Roman" w:cs="Times New Roman"/>
        </w:rPr>
        <w:t xml:space="preserve">Angelov, D. (2019) </w:t>
      </w:r>
      <w:r>
        <w:rPr>
          <w:rFonts w:ascii="Times New Roman" w:eastAsia="Times New Roman" w:hAnsi="Times New Roman" w:cs="Times New Roman"/>
          <w:i/>
          <w:iCs/>
        </w:rPr>
        <w:t>The Byzantine Hellene: The life of Emperor Theodore Laskaris and Byzantium in the thirteenth century</w:t>
      </w:r>
      <w:r>
        <w:rPr>
          <w:rFonts w:ascii="Times New Roman" w:eastAsia="Times New Roman" w:hAnsi="Times New Roman" w:cs="Times New Roman"/>
        </w:rPr>
        <w:t xml:space="preserve">. </w:t>
      </w:r>
      <w:r w:rsidRPr="000E02BD">
        <w:rPr>
          <w:rFonts w:ascii="Times New Roman" w:eastAsia="Times New Roman" w:hAnsi="Times New Roman" w:cs="Times New Roman"/>
          <w:lang w:val="fr-FR"/>
        </w:rPr>
        <w:t>Cambridge.</w:t>
      </w:r>
    </w:p>
    <w:p w14:paraId="3EFF3E2E" w14:textId="77777777" w:rsidR="00671F1A" w:rsidRPr="000E02BD" w:rsidRDefault="00671F1A" w:rsidP="00277D69">
      <w:pPr>
        <w:spacing w:after="0" w:line="480" w:lineRule="auto"/>
        <w:jc w:val="both"/>
        <w:rPr>
          <w:rFonts w:ascii="Times New Roman" w:eastAsia="Times New Roman" w:hAnsi="Times New Roman" w:cs="Times New Roman"/>
          <w:lang w:val="fr-FR"/>
        </w:rPr>
      </w:pPr>
    </w:p>
    <w:p w14:paraId="6101479F" w14:textId="77777777" w:rsidR="003C03AC" w:rsidRDefault="00290AD8" w:rsidP="00277D69">
      <w:pPr>
        <w:spacing w:after="0" w:line="480" w:lineRule="auto"/>
        <w:jc w:val="both"/>
        <w:rPr>
          <w:rFonts w:ascii="Times New Roman" w:eastAsia="Times New Roman" w:hAnsi="Times New Roman" w:cs="Times New Roman"/>
        </w:rPr>
      </w:pPr>
      <w:proofErr w:type="spellStart"/>
      <w:r w:rsidRPr="000E02BD">
        <w:rPr>
          <w:rFonts w:ascii="Times New Roman" w:eastAsia="Times New Roman" w:hAnsi="Times New Roman" w:cs="Times New Roman"/>
          <w:lang w:val="fr-FR"/>
        </w:rPr>
        <w:lastRenderedPageBreak/>
        <w:t>Arabatzis</w:t>
      </w:r>
      <w:proofErr w:type="spellEnd"/>
      <w:r w:rsidRPr="000E02BD">
        <w:rPr>
          <w:rFonts w:ascii="Times New Roman" w:eastAsia="Times New Roman" w:hAnsi="Times New Roman" w:cs="Times New Roman"/>
          <w:lang w:val="fr-FR"/>
        </w:rPr>
        <w:t xml:space="preserve">, G. (2017) 'Byzantinisme et rationalité: Julien Benda et Constantin Tsatsos'. </w:t>
      </w:r>
      <w:r>
        <w:rPr>
          <w:rFonts w:ascii="Times New Roman" w:eastAsia="Times New Roman" w:hAnsi="Times New Roman" w:cs="Times New Roman"/>
          <w:i/>
          <w:iCs/>
        </w:rPr>
        <w:t>Peitho/</w:t>
      </w:r>
      <w:proofErr w:type="spellStart"/>
      <w:r>
        <w:rPr>
          <w:rFonts w:ascii="Times New Roman" w:eastAsia="Times New Roman" w:hAnsi="Times New Roman" w:cs="Times New Roman"/>
          <w:i/>
          <w:iCs/>
        </w:rPr>
        <w:t>Examina</w:t>
      </w:r>
      <w:proofErr w:type="spellEnd"/>
      <w:r>
        <w:rPr>
          <w:rFonts w:ascii="Times New Roman" w:eastAsia="Times New Roman" w:hAnsi="Times New Roman" w:cs="Times New Roman"/>
          <w:i/>
          <w:iCs/>
        </w:rPr>
        <w:t xml:space="preserve"> Antiqua</w:t>
      </w:r>
      <w:r>
        <w:rPr>
          <w:rFonts w:ascii="Times New Roman" w:eastAsia="Times New Roman" w:hAnsi="Times New Roman" w:cs="Times New Roman"/>
        </w:rPr>
        <w:t xml:space="preserve"> 1 (8): 423–5.</w:t>
      </w:r>
    </w:p>
    <w:p w14:paraId="09258199" w14:textId="77777777" w:rsidR="00671F1A" w:rsidRDefault="00671F1A" w:rsidP="00277D69">
      <w:pPr>
        <w:spacing w:after="0" w:line="480" w:lineRule="auto"/>
        <w:jc w:val="both"/>
        <w:rPr>
          <w:rFonts w:ascii="Times New Roman" w:eastAsia="Times New Roman" w:hAnsi="Times New Roman" w:cs="Times New Roman"/>
        </w:rPr>
      </w:pPr>
    </w:p>
    <w:p w14:paraId="7EE96E18"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Aschenbrenner, N. and Ransohoff, J. (eds.) (2022) </w:t>
      </w:r>
      <w:r>
        <w:rPr>
          <w:rFonts w:ascii="Times New Roman" w:eastAsia="Times New Roman" w:hAnsi="Times New Roman" w:cs="Times New Roman"/>
          <w:i/>
          <w:iCs/>
        </w:rPr>
        <w:t>The Invention of Byzantium in Early Modern Europe</w:t>
      </w:r>
      <w:r>
        <w:rPr>
          <w:rFonts w:ascii="Times New Roman" w:eastAsia="Times New Roman" w:hAnsi="Times New Roman" w:cs="Times New Roman"/>
        </w:rPr>
        <w:t>. Washington, DC.</w:t>
      </w:r>
    </w:p>
    <w:p w14:paraId="5C3192AB" w14:textId="77777777" w:rsidR="00671F1A" w:rsidRDefault="00671F1A" w:rsidP="00277D69">
      <w:pPr>
        <w:spacing w:after="0" w:line="480" w:lineRule="auto"/>
        <w:jc w:val="both"/>
        <w:rPr>
          <w:rFonts w:ascii="Times New Roman" w:eastAsia="Times New Roman" w:hAnsi="Times New Roman" w:cs="Times New Roman"/>
        </w:rPr>
      </w:pPr>
    </w:p>
    <w:p w14:paraId="74D47F03" w14:textId="77777777" w:rsidR="003C03AC" w:rsidRPr="000E02BD" w:rsidRDefault="00290AD8" w:rsidP="00277D69">
      <w:pPr>
        <w:spacing w:after="0" w:line="480" w:lineRule="auto"/>
        <w:jc w:val="both"/>
        <w:rPr>
          <w:rFonts w:ascii="Times New Roman" w:eastAsia="Times New Roman" w:hAnsi="Times New Roman" w:cs="Times New Roman"/>
          <w:lang w:val="fr-FR"/>
        </w:rPr>
      </w:pPr>
      <w:r>
        <w:rPr>
          <w:rFonts w:ascii="Times New Roman" w:eastAsia="Times New Roman" w:hAnsi="Times New Roman" w:cs="Times New Roman"/>
        </w:rPr>
        <w:t xml:space="preserve">Aschenbrenner, N. and Ransohoff, J. (2023) 'Hieronymus Wolf's silver tongue: Early Byzantine scholarship at the intersection of slavery, colonialism, and the crusades'. In B. Anderson and M. Ivanova (eds.) </w:t>
      </w:r>
      <w:r>
        <w:rPr>
          <w:rFonts w:ascii="Times New Roman" w:eastAsia="Times New Roman" w:hAnsi="Times New Roman" w:cs="Times New Roman"/>
          <w:i/>
          <w:iCs/>
        </w:rPr>
        <w:t>Is Byzantine studies a colonialist discipline? Toward a critical historiography</w:t>
      </w:r>
      <w:r>
        <w:rPr>
          <w:rFonts w:ascii="Times New Roman" w:eastAsia="Times New Roman" w:hAnsi="Times New Roman" w:cs="Times New Roman"/>
        </w:rPr>
        <w:t xml:space="preserve">, 73–89. </w:t>
      </w:r>
      <w:proofErr w:type="spellStart"/>
      <w:r w:rsidRPr="000E02BD">
        <w:rPr>
          <w:rFonts w:ascii="Times New Roman" w:eastAsia="Times New Roman" w:hAnsi="Times New Roman" w:cs="Times New Roman"/>
          <w:lang w:val="fr-FR"/>
        </w:rPr>
        <w:t>University</w:t>
      </w:r>
      <w:proofErr w:type="spellEnd"/>
      <w:r w:rsidRPr="000E02BD">
        <w:rPr>
          <w:rFonts w:ascii="Times New Roman" w:eastAsia="Times New Roman" w:hAnsi="Times New Roman" w:cs="Times New Roman"/>
          <w:lang w:val="fr-FR"/>
        </w:rPr>
        <w:t xml:space="preserve"> Park, PA.</w:t>
      </w:r>
    </w:p>
    <w:p w14:paraId="17198E94" w14:textId="77777777" w:rsidR="00671F1A" w:rsidRPr="000E02BD" w:rsidRDefault="00671F1A" w:rsidP="00277D69">
      <w:pPr>
        <w:spacing w:after="0" w:line="480" w:lineRule="auto"/>
        <w:jc w:val="both"/>
        <w:rPr>
          <w:rFonts w:ascii="Times New Roman" w:eastAsia="Times New Roman" w:hAnsi="Times New Roman" w:cs="Times New Roman"/>
          <w:lang w:val="fr-FR"/>
        </w:rPr>
      </w:pPr>
    </w:p>
    <w:p w14:paraId="4A7F7A3D" w14:textId="77777777" w:rsidR="003C03AC" w:rsidRPr="000E02BD" w:rsidRDefault="00290AD8" w:rsidP="00277D69">
      <w:pPr>
        <w:spacing w:after="0" w:line="480" w:lineRule="auto"/>
        <w:jc w:val="both"/>
        <w:rPr>
          <w:rFonts w:ascii="Times New Roman" w:eastAsia="Times New Roman" w:hAnsi="Times New Roman" w:cs="Times New Roman"/>
          <w:lang w:val="fr-FR"/>
        </w:rPr>
      </w:pPr>
      <w:proofErr w:type="spellStart"/>
      <w:r w:rsidRPr="000E02BD">
        <w:rPr>
          <w:rFonts w:ascii="Times New Roman" w:eastAsia="Times New Roman" w:hAnsi="Times New Roman" w:cs="Times New Roman"/>
          <w:lang w:val="fr-FR"/>
        </w:rPr>
        <w:t>Auzépy</w:t>
      </w:r>
      <w:proofErr w:type="spellEnd"/>
      <w:r w:rsidRPr="000E02BD">
        <w:rPr>
          <w:rFonts w:ascii="Times New Roman" w:eastAsia="Times New Roman" w:hAnsi="Times New Roman" w:cs="Times New Roman"/>
          <w:lang w:val="fr-FR"/>
        </w:rPr>
        <w:t>, M.-F. (</w:t>
      </w:r>
      <w:proofErr w:type="spellStart"/>
      <w:r w:rsidRPr="000E02BD">
        <w:rPr>
          <w:rFonts w:ascii="Times New Roman" w:eastAsia="Times New Roman" w:hAnsi="Times New Roman" w:cs="Times New Roman"/>
          <w:lang w:val="fr-FR"/>
        </w:rPr>
        <w:t>ed</w:t>
      </w:r>
      <w:proofErr w:type="spellEnd"/>
      <w:r w:rsidRPr="000E02BD">
        <w:rPr>
          <w:rFonts w:ascii="Times New Roman" w:eastAsia="Times New Roman" w:hAnsi="Times New Roman" w:cs="Times New Roman"/>
          <w:lang w:val="fr-FR"/>
        </w:rPr>
        <w:t xml:space="preserve">.) (2003) </w:t>
      </w:r>
      <w:r w:rsidRPr="000E02BD">
        <w:rPr>
          <w:rFonts w:ascii="Times New Roman" w:eastAsia="Times New Roman" w:hAnsi="Times New Roman" w:cs="Times New Roman"/>
          <w:i/>
          <w:iCs/>
          <w:lang w:val="fr-FR"/>
        </w:rPr>
        <w:t>Byzance en Europe</w:t>
      </w:r>
      <w:r w:rsidRPr="000E02BD">
        <w:rPr>
          <w:rFonts w:ascii="Times New Roman" w:eastAsia="Times New Roman" w:hAnsi="Times New Roman" w:cs="Times New Roman"/>
          <w:lang w:val="fr-FR"/>
        </w:rPr>
        <w:t>. Saint-Denis.</w:t>
      </w:r>
    </w:p>
    <w:p w14:paraId="17815206" w14:textId="77777777" w:rsidR="00671F1A" w:rsidRPr="000E02BD" w:rsidRDefault="00671F1A" w:rsidP="00277D69">
      <w:pPr>
        <w:spacing w:after="0" w:line="480" w:lineRule="auto"/>
        <w:jc w:val="both"/>
        <w:rPr>
          <w:rFonts w:ascii="Times New Roman" w:eastAsia="Times New Roman" w:hAnsi="Times New Roman" w:cs="Times New Roman"/>
          <w:lang w:val="fr-FR"/>
        </w:rPr>
      </w:pPr>
    </w:p>
    <w:p w14:paraId="57347E2E" w14:textId="77777777" w:rsidR="003C03AC" w:rsidRPr="000E02BD" w:rsidRDefault="00290AD8" w:rsidP="00277D69">
      <w:pPr>
        <w:spacing w:after="0" w:line="480" w:lineRule="auto"/>
        <w:jc w:val="both"/>
        <w:rPr>
          <w:rFonts w:ascii="Times New Roman" w:eastAsia="Times New Roman" w:hAnsi="Times New Roman" w:cs="Times New Roman"/>
          <w:lang w:val="fr-FR"/>
        </w:rPr>
      </w:pPr>
      <w:r w:rsidRPr="000E02BD">
        <w:rPr>
          <w:rFonts w:ascii="Times New Roman" w:eastAsia="Times New Roman" w:hAnsi="Times New Roman" w:cs="Times New Roman"/>
          <w:lang w:val="fr-FR"/>
        </w:rPr>
        <w:t xml:space="preserve">Benda, J. (1945) </w:t>
      </w:r>
      <w:r w:rsidRPr="000E02BD">
        <w:rPr>
          <w:rFonts w:ascii="Times New Roman" w:eastAsia="Times New Roman" w:hAnsi="Times New Roman" w:cs="Times New Roman"/>
          <w:i/>
          <w:iCs/>
          <w:lang w:val="fr-FR"/>
        </w:rPr>
        <w:t xml:space="preserve">La France byzantine ou le triomphe de la </w:t>
      </w:r>
      <w:proofErr w:type="spellStart"/>
      <w:r w:rsidRPr="000E02BD">
        <w:rPr>
          <w:rFonts w:ascii="Times New Roman" w:eastAsia="Times New Roman" w:hAnsi="Times New Roman" w:cs="Times New Roman"/>
          <w:i/>
          <w:iCs/>
          <w:lang w:val="fr-FR"/>
        </w:rPr>
        <w:t>literature</w:t>
      </w:r>
      <w:proofErr w:type="spellEnd"/>
      <w:r w:rsidRPr="000E02BD">
        <w:rPr>
          <w:rFonts w:ascii="Times New Roman" w:eastAsia="Times New Roman" w:hAnsi="Times New Roman" w:cs="Times New Roman"/>
          <w:i/>
          <w:iCs/>
          <w:lang w:val="fr-FR"/>
        </w:rPr>
        <w:t xml:space="preserve"> pure: Mallarmé, Gide, Valéry, Alain, Giraudoux, Suarès, les Surréalistes</w:t>
      </w:r>
      <w:r w:rsidRPr="000E02BD">
        <w:rPr>
          <w:rFonts w:ascii="Times New Roman" w:eastAsia="Times New Roman" w:hAnsi="Times New Roman" w:cs="Times New Roman"/>
          <w:lang w:val="fr-FR"/>
        </w:rPr>
        <w:t>. Paris.</w:t>
      </w:r>
    </w:p>
    <w:p w14:paraId="13D987ED" w14:textId="77777777" w:rsidR="00671F1A" w:rsidRPr="000E02BD" w:rsidRDefault="00671F1A" w:rsidP="00277D69">
      <w:pPr>
        <w:spacing w:after="0" w:line="480" w:lineRule="auto"/>
        <w:jc w:val="both"/>
        <w:rPr>
          <w:rFonts w:ascii="Times New Roman" w:eastAsia="Times New Roman" w:hAnsi="Times New Roman" w:cs="Times New Roman"/>
          <w:lang w:val="fr-FR"/>
        </w:rPr>
      </w:pPr>
    </w:p>
    <w:p w14:paraId="1B404114" w14:textId="77777777" w:rsidR="003C03AC" w:rsidRDefault="00290AD8" w:rsidP="00277D69">
      <w:pPr>
        <w:spacing w:after="0" w:line="480" w:lineRule="auto"/>
        <w:jc w:val="both"/>
        <w:rPr>
          <w:rFonts w:ascii="Times New Roman" w:eastAsia="Times New Roman" w:hAnsi="Times New Roman" w:cs="Times New Roman"/>
        </w:rPr>
      </w:pPr>
      <w:r w:rsidRPr="000E02BD">
        <w:rPr>
          <w:rFonts w:ascii="Times New Roman" w:eastAsia="Times New Roman" w:hAnsi="Times New Roman" w:cs="Times New Roman"/>
          <w:lang w:val="fr-FR"/>
        </w:rPr>
        <w:t xml:space="preserve">Berger, A. (2003) 'Les projets byzantins de Louis II de Bavière'. </w:t>
      </w:r>
      <w:r>
        <w:rPr>
          <w:rFonts w:ascii="Times New Roman" w:eastAsia="Times New Roman" w:hAnsi="Times New Roman" w:cs="Times New Roman"/>
        </w:rPr>
        <w:t xml:space="preserve">In </w:t>
      </w:r>
      <w:proofErr w:type="spellStart"/>
      <w:r>
        <w:rPr>
          <w:rFonts w:ascii="Times New Roman" w:eastAsia="Times New Roman" w:hAnsi="Times New Roman" w:cs="Times New Roman"/>
        </w:rPr>
        <w:t>Auzépy</w:t>
      </w:r>
      <w:proofErr w:type="spellEnd"/>
      <w:r>
        <w:rPr>
          <w:rFonts w:ascii="Times New Roman" w:eastAsia="Times New Roman" w:hAnsi="Times New Roman" w:cs="Times New Roman"/>
        </w:rPr>
        <w:t xml:space="preserve"> 2003, 75–86.</w:t>
      </w:r>
    </w:p>
    <w:p w14:paraId="0B0D55AA" w14:textId="77777777" w:rsidR="00671F1A" w:rsidRDefault="00671F1A" w:rsidP="00277D69">
      <w:pPr>
        <w:spacing w:after="0" w:line="480" w:lineRule="auto"/>
        <w:jc w:val="both"/>
        <w:rPr>
          <w:rFonts w:ascii="Times New Roman" w:eastAsia="Times New Roman" w:hAnsi="Times New Roman" w:cs="Times New Roman"/>
        </w:rPr>
      </w:pPr>
    </w:p>
    <w:p w14:paraId="199C137B"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Bodin, H. (2014) '"Into golden dusk": Orthodox icons as objects of late modern and postmodern desire'. In Nilsson and Stephenson 2014, 173–94.</w:t>
      </w:r>
    </w:p>
    <w:p w14:paraId="13A41C6B" w14:textId="77777777" w:rsidR="00671F1A" w:rsidRDefault="00671F1A" w:rsidP="00277D69">
      <w:pPr>
        <w:spacing w:after="0" w:line="480" w:lineRule="auto"/>
        <w:jc w:val="both"/>
        <w:rPr>
          <w:rFonts w:ascii="Times New Roman" w:eastAsia="Times New Roman" w:hAnsi="Times New Roman" w:cs="Times New Roman"/>
        </w:rPr>
      </w:pPr>
    </w:p>
    <w:p w14:paraId="19E2FA55"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lastRenderedPageBreak/>
        <w:t>Boeck, E. (2021) 'Marking the Roman past(s) come alive: Manuel Chrysoloras, Cyriac of Ancona and Andrea Mantegna's Triumphs of Caesar'. In Aschenbrenner and Ransohoff 2021, 45–72.</w:t>
      </w:r>
    </w:p>
    <w:p w14:paraId="33AA50F7" w14:textId="77777777" w:rsidR="00671F1A" w:rsidRDefault="00671F1A" w:rsidP="00277D69">
      <w:pPr>
        <w:spacing w:after="0" w:line="480" w:lineRule="auto"/>
        <w:jc w:val="both"/>
        <w:rPr>
          <w:rFonts w:ascii="Times New Roman" w:eastAsia="Times New Roman" w:hAnsi="Times New Roman" w:cs="Times New Roman"/>
        </w:rPr>
      </w:pPr>
    </w:p>
    <w:p w14:paraId="27F0F584"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Bolman, E. S., Johnson, S. F. and Tannous, J. (eds.) (2024) </w:t>
      </w:r>
      <w:r>
        <w:rPr>
          <w:rFonts w:ascii="Times New Roman" w:eastAsia="Times New Roman" w:hAnsi="Times New Roman" w:cs="Times New Roman"/>
          <w:i/>
          <w:iCs/>
        </w:rPr>
        <w:t>Worlds of Byzantium: Religion, culture, and empire in the Medieval Near East</w:t>
      </w:r>
      <w:r>
        <w:rPr>
          <w:rFonts w:ascii="Times New Roman" w:eastAsia="Times New Roman" w:hAnsi="Times New Roman" w:cs="Times New Roman"/>
        </w:rPr>
        <w:t>. New Haven, CT.</w:t>
      </w:r>
    </w:p>
    <w:p w14:paraId="62077E00" w14:textId="77777777" w:rsidR="00671F1A" w:rsidRDefault="00671F1A" w:rsidP="00277D69">
      <w:pPr>
        <w:spacing w:after="0" w:line="480" w:lineRule="auto"/>
        <w:jc w:val="both"/>
        <w:rPr>
          <w:rFonts w:ascii="Times New Roman" w:eastAsia="Times New Roman" w:hAnsi="Times New Roman" w:cs="Times New Roman"/>
        </w:rPr>
      </w:pPr>
    </w:p>
    <w:p w14:paraId="5479B6EA"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Bullen, J. B. (2003) </w:t>
      </w:r>
      <w:r>
        <w:rPr>
          <w:rFonts w:ascii="Times New Roman" w:eastAsia="Times New Roman" w:hAnsi="Times New Roman" w:cs="Times New Roman"/>
          <w:i/>
          <w:iCs/>
        </w:rPr>
        <w:t>Byzantium rediscovered</w:t>
      </w:r>
      <w:r>
        <w:rPr>
          <w:rFonts w:ascii="Times New Roman" w:eastAsia="Times New Roman" w:hAnsi="Times New Roman" w:cs="Times New Roman"/>
        </w:rPr>
        <w:t>. London.</w:t>
      </w:r>
    </w:p>
    <w:p w14:paraId="5C6B24F2" w14:textId="77777777" w:rsidR="00671F1A" w:rsidRDefault="00671F1A" w:rsidP="00277D69">
      <w:pPr>
        <w:spacing w:after="0" w:line="480" w:lineRule="auto"/>
        <w:jc w:val="both"/>
        <w:rPr>
          <w:rFonts w:ascii="Times New Roman" w:eastAsia="Times New Roman" w:hAnsi="Times New Roman" w:cs="Times New Roman"/>
        </w:rPr>
      </w:pPr>
    </w:p>
    <w:p w14:paraId="15752E02"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Bury, J. B. (1923) </w:t>
      </w:r>
      <w:r>
        <w:rPr>
          <w:rFonts w:ascii="Times New Roman" w:eastAsia="Times New Roman" w:hAnsi="Times New Roman" w:cs="Times New Roman"/>
          <w:i/>
          <w:iCs/>
        </w:rPr>
        <w:t>History of the later Roman Empire: From the death of Theodosius I to the death of Justinian (A.D. 395 to A.D. 565)</w:t>
      </w:r>
      <w:r>
        <w:rPr>
          <w:rFonts w:ascii="Times New Roman" w:eastAsia="Times New Roman" w:hAnsi="Times New Roman" w:cs="Times New Roman"/>
        </w:rPr>
        <w:t>. London.</w:t>
      </w:r>
    </w:p>
    <w:p w14:paraId="4B72D140" w14:textId="77777777" w:rsidR="00671F1A" w:rsidRDefault="00671F1A" w:rsidP="00277D69">
      <w:pPr>
        <w:spacing w:after="0" w:line="480" w:lineRule="auto"/>
        <w:jc w:val="both"/>
        <w:rPr>
          <w:rFonts w:ascii="Times New Roman" w:eastAsia="Times New Roman" w:hAnsi="Times New Roman" w:cs="Times New Roman"/>
        </w:rPr>
      </w:pPr>
    </w:p>
    <w:p w14:paraId="0ED26BE1"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Cameron, A. (1992) </w:t>
      </w:r>
      <w:r>
        <w:rPr>
          <w:rFonts w:ascii="Times New Roman" w:eastAsia="Times New Roman" w:hAnsi="Times New Roman" w:cs="Times New Roman"/>
          <w:i/>
          <w:iCs/>
        </w:rPr>
        <w:t>The use and abuse of Byzantium: An essay on reception</w:t>
      </w:r>
      <w:r>
        <w:rPr>
          <w:rFonts w:ascii="Times New Roman" w:eastAsia="Times New Roman" w:hAnsi="Times New Roman" w:cs="Times New Roman"/>
        </w:rPr>
        <w:t>. London.</w:t>
      </w:r>
    </w:p>
    <w:p w14:paraId="3981523B" w14:textId="77777777" w:rsidR="00671F1A" w:rsidRDefault="00671F1A" w:rsidP="00277D69">
      <w:pPr>
        <w:spacing w:after="0" w:line="480" w:lineRule="auto"/>
        <w:jc w:val="both"/>
        <w:rPr>
          <w:rFonts w:ascii="Times New Roman" w:eastAsia="Times New Roman" w:hAnsi="Times New Roman" w:cs="Times New Roman"/>
        </w:rPr>
      </w:pPr>
    </w:p>
    <w:p w14:paraId="313C83D1"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Cameron, A. (2008) 'The absence of Byzantium'. </w:t>
      </w:r>
      <w:r>
        <w:rPr>
          <w:rFonts w:ascii="Times New Roman" w:eastAsia="Times New Roman" w:hAnsi="Times New Roman" w:cs="Times New Roman"/>
          <w:i/>
          <w:iCs/>
        </w:rPr>
        <w:t>Nea Hestia</w:t>
      </w:r>
      <w:r>
        <w:rPr>
          <w:rFonts w:ascii="Times New Roman" w:eastAsia="Times New Roman" w:hAnsi="Times New Roman" w:cs="Times New Roman"/>
        </w:rPr>
        <w:t xml:space="preserve"> 163: 4–59.</w:t>
      </w:r>
    </w:p>
    <w:p w14:paraId="7999AF5B" w14:textId="77777777" w:rsidR="00671F1A" w:rsidRDefault="00671F1A" w:rsidP="00277D69">
      <w:pPr>
        <w:spacing w:after="0" w:line="480" w:lineRule="auto"/>
        <w:jc w:val="both"/>
        <w:rPr>
          <w:rFonts w:ascii="Times New Roman" w:eastAsia="Times New Roman" w:hAnsi="Times New Roman" w:cs="Times New Roman"/>
        </w:rPr>
      </w:pPr>
    </w:p>
    <w:p w14:paraId="17E92C60"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Cameron, A. (2014) </w:t>
      </w:r>
      <w:r>
        <w:rPr>
          <w:rFonts w:ascii="Times New Roman" w:eastAsia="Times New Roman" w:hAnsi="Times New Roman" w:cs="Times New Roman"/>
          <w:i/>
          <w:iCs/>
        </w:rPr>
        <w:t>Byzantine Matters</w:t>
      </w:r>
      <w:r>
        <w:rPr>
          <w:rFonts w:ascii="Times New Roman" w:eastAsia="Times New Roman" w:hAnsi="Times New Roman" w:cs="Times New Roman"/>
        </w:rPr>
        <w:t>. Princeton, NJ.</w:t>
      </w:r>
    </w:p>
    <w:p w14:paraId="67580B28" w14:textId="77777777" w:rsidR="00671F1A" w:rsidRDefault="00671F1A" w:rsidP="00277D69">
      <w:pPr>
        <w:spacing w:after="0" w:line="480" w:lineRule="auto"/>
        <w:jc w:val="both"/>
        <w:rPr>
          <w:rFonts w:ascii="Times New Roman" w:eastAsia="Times New Roman" w:hAnsi="Times New Roman" w:cs="Times New Roman"/>
        </w:rPr>
      </w:pPr>
    </w:p>
    <w:p w14:paraId="37B0E4C9"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Christodoulou, D. (2010) 'Byzantium in nineteenth-century Greek historiography'. In Stephenson 2010, 445–61.</w:t>
      </w:r>
    </w:p>
    <w:p w14:paraId="1845B209" w14:textId="77777777" w:rsidR="00671F1A" w:rsidRDefault="00671F1A" w:rsidP="00277D69">
      <w:pPr>
        <w:spacing w:after="0" w:line="480" w:lineRule="auto"/>
        <w:jc w:val="both"/>
        <w:rPr>
          <w:rFonts w:ascii="Times New Roman" w:eastAsia="Times New Roman" w:hAnsi="Times New Roman" w:cs="Times New Roman"/>
        </w:rPr>
      </w:pPr>
    </w:p>
    <w:p w14:paraId="44CBD3E4"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Clucas, L. (ed.) (1988) </w:t>
      </w:r>
      <w:r>
        <w:rPr>
          <w:rFonts w:ascii="Times New Roman" w:eastAsia="Times New Roman" w:hAnsi="Times New Roman" w:cs="Times New Roman"/>
          <w:i/>
          <w:iCs/>
        </w:rPr>
        <w:t>The Byzantine legacy in Eastern Europe</w:t>
      </w:r>
      <w:r>
        <w:rPr>
          <w:rFonts w:ascii="Times New Roman" w:eastAsia="Times New Roman" w:hAnsi="Times New Roman" w:cs="Times New Roman"/>
        </w:rPr>
        <w:t>. New York.</w:t>
      </w:r>
    </w:p>
    <w:p w14:paraId="5A8CBCC0" w14:textId="77777777" w:rsidR="00671F1A" w:rsidRDefault="00671F1A" w:rsidP="00277D69">
      <w:pPr>
        <w:spacing w:after="0" w:line="480" w:lineRule="auto"/>
        <w:jc w:val="both"/>
        <w:rPr>
          <w:rFonts w:ascii="Times New Roman" w:eastAsia="Times New Roman" w:hAnsi="Times New Roman" w:cs="Times New Roman"/>
        </w:rPr>
      </w:pPr>
    </w:p>
    <w:p w14:paraId="6431F34E"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Cormack, R. (2000) </w:t>
      </w:r>
      <w:r>
        <w:rPr>
          <w:rFonts w:ascii="Times New Roman" w:eastAsia="Times New Roman" w:hAnsi="Times New Roman" w:cs="Times New Roman"/>
          <w:i/>
          <w:iCs/>
        </w:rPr>
        <w:t>Byzantine Art</w:t>
      </w:r>
      <w:r>
        <w:rPr>
          <w:rFonts w:ascii="Times New Roman" w:eastAsia="Times New Roman" w:hAnsi="Times New Roman" w:cs="Times New Roman"/>
        </w:rPr>
        <w:t>. Oxford.</w:t>
      </w:r>
    </w:p>
    <w:p w14:paraId="6B4FE434" w14:textId="77777777" w:rsidR="00671F1A" w:rsidRDefault="00671F1A" w:rsidP="00277D69">
      <w:pPr>
        <w:spacing w:after="0" w:line="480" w:lineRule="auto"/>
        <w:jc w:val="both"/>
        <w:rPr>
          <w:rFonts w:ascii="Times New Roman" w:eastAsia="Times New Roman" w:hAnsi="Times New Roman" w:cs="Times New Roman"/>
        </w:rPr>
      </w:pPr>
    </w:p>
    <w:p w14:paraId="72F29C2B"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Cormack, R. and Jeffries, E. (eds.) (2000) </w:t>
      </w:r>
      <w:r>
        <w:rPr>
          <w:rFonts w:ascii="Times New Roman" w:eastAsia="Times New Roman" w:hAnsi="Times New Roman" w:cs="Times New Roman"/>
          <w:i/>
          <w:iCs/>
        </w:rPr>
        <w:t>Through the Looking Glass: Byzantium through British Eyes: Papers from the Twenty-Ninth Spring Symposium of Byzantine Studies, London, March 1995</w:t>
      </w:r>
      <w:r>
        <w:rPr>
          <w:rFonts w:ascii="Times New Roman" w:eastAsia="Times New Roman" w:hAnsi="Times New Roman" w:cs="Times New Roman"/>
        </w:rPr>
        <w:t>. London.</w:t>
      </w:r>
    </w:p>
    <w:p w14:paraId="605E126F" w14:textId="77777777" w:rsidR="00671F1A" w:rsidRDefault="00671F1A" w:rsidP="00277D69">
      <w:pPr>
        <w:spacing w:after="0" w:line="480" w:lineRule="auto"/>
        <w:jc w:val="both"/>
        <w:rPr>
          <w:rFonts w:ascii="Times New Roman" w:eastAsia="Times New Roman" w:hAnsi="Times New Roman" w:cs="Times New Roman"/>
        </w:rPr>
      </w:pPr>
    </w:p>
    <w:p w14:paraId="13F60D0F"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Cormack, R. and Haldon, J. (2008) 'Byzantine studies as an academic discipline'. In E. Jeffreys, J. Haldon and R. Cormack (eds.) </w:t>
      </w:r>
      <w:r>
        <w:rPr>
          <w:rFonts w:ascii="Times New Roman" w:eastAsia="Times New Roman" w:hAnsi="Times New Roman" w:cs="Times New Roman"/>
          <w:i/>
          <w:iCs/>
        </w:rPr>
        <w:t>The Oxford handbook of Byzantine studies</w:t>
      </w:r>
      <w:r>
        <w:rPr>
          <w:rFonts w:ascii="Times New Roman" w:eastAsia="Times New Roman" w:hAnsi="Times New Roman" w:cs="Times New Roman"/>
        </w:rPr>
        <w:t>, 4–20. Oxford.</w:t>
      </w:r>
    </w:p>
    <w:p w14:paraId="615FBF08" w14:textId="77777777" w:rsidR="00671F1A" w:rsidRDefault="00671F1A" w:rsidP="00277D69">
      <w:pPr>
        <w:spacing w:after="0" w:line="480" w:lineRule="auto"/>
        <w:jc w:val="both"/>
        <w:rPr>
          <w:rFonts w:ascii="Times New Roman" w:eastAsia="Times New Roman" w:hAnsi="Times New Roman" w:cs="Times New Roman"/>
        </w:rPr>
      </w:pPr>
    </w:p>
    <w:p w14:paraId="313073CB" w14:textId="77777777" w:rsidR="003C03AC" w:rsidRPr="000E02BD" w:rsidRDefault="00290AD8" w:rsidP="00277D69">
      <w:pPr>
        <w:spacing w:after="0" w:line="480" w:lineRule="auto"/>
        <w:jc w:val="both"/>
        <w:rPr>
          <w:rFonts w:ascii="Times New Roman" w:eastAsia="Times New Roman" w:hAnsi="Times New Roman" w:cs="Times New Roman"/>
          <w:lang w:val="de-DE"/>
        </w:rPr>
      </w:pPr>
      <w:r>
        <w:rPr>
          <w:rFonts w:ascii="Times New Roman" w:eastAsia="Times New Roman" w:hAnsi="Times New Roman" w:cs="Times New Roman"/>
        </w:rPr>
        <w:t xml:space="preserve">El Cheikh, N. M. (2004) </w:t>
      </w:r>
      <w:r>
        <w:rPr>
          <w:rFonts w:ascii="Times New Roman" w:eastAsia="Times New Roman" w:hAnsi="Times New Roman" w:cs="Times New Roman"/>
          <w:i/>
          <w:iCs/>
        </w:rPr>
        <w:t>Byzantium viewed by the Arabs</w:t>
      </w:r>
      <w:r>
        <w:rPr>
          <w:rFonts w:ascii="Times New Roman" w:eastAsia="Times New Roman" w:hAnsi="Times New Roman" w:cs="Times New Roman"/>
        </w:rPr>
        <w:t xml:space="preserve">. </w:t>
      </w:r>
      <w:r w:rsidRPr="000E02BD">
        <w:rPr>
          <w:rFonts w:ascii="Times New Roman" w:eastAsia="Times New Roman" w:hAnsi="Times New Roman" w:cs="Times New Roman"/>
          <w:lang w:val="de-DE"/>
        </w:rPr>
        <w:t>Cambridge, MA.</w:t>
      </w:r>
    </w:p>
    <w:p w14:paraId="2AD6FD14" w14:textId="77777777" w:rsidR="00671F1A" w:rsidRPr="000E02BD" w:rsidRDefault="00671F1A" w:rsidP="00277D69">
      <w:pPr>
        <w:spacing w:after="0" w:line="480" w:lineRule="auto"/>
        <w:jc w:val="both"/>
        <w:rPr>
          <w:rFonts w:ascii="Times New Roman" w:eastAsia="Times New Roman" w:hAnsi="Times New Roman" w:cs="Times New Roman"/>
          <w:lang w:val="de-DE"/>
        </w:rPr>
      </w:pPr>
    </w:p>
    <w:p w14:paraId="14B7A2F0" w14:textId="77777777" w:rsidR="003C03AC" w:rsidRDefault="00290AD8" w:rsidP="00277D69">
      <w:pPr>
        <w:spacing w:after="0" w:line="480" w:lineRule="auto"/>
        <w:jc w:val="both"/>
        <w:rPr>
          <w:rFonts w:ascii="Times New Roman" w:eastAsia="Times New Roman" w:hAnsi="Times New Roman" w:cs="Times New Roman"/>
        </w:rPr>
      </w:pPr>
      <w:proofErr w:type="spellStart"/>
      <w:r w:rsidRPr="000E02BD">
        <w:rPr>
          <w:rFonts w:ascii="Times New Roman" w:eastAsia="Times New Roman" w:hAnsi="Times New Roman" w:cs="Times New Roman"/>
          <w:lang w:val="de-DE"/>
        </w:rPr>
        <w:t>Fallmerayer</w:t>
      </w:r>
      <w:proofErr w:type="spellEnd"/>
      <w:r w:rsidRPr="000E02BD">
        <w:rPr>
          <w:rFonts w:ascii="Times New Roman" w:eastAsia="Times New Roman" w:hAnsi="Times New Roman" w:cs="Times New Roman"/>
          <w:lang w:val="de-DE"/>
        </w:rPr>
        <w:t xml:space="preserve">, J. P. (1830–6) </w:t>
      </w:r>
      <w:r w:rsidRPr="000E02BD">
        <w:rPr>
          <w:rFonts w:ascii="Times New Roman" w:eastAsia="Times New Roman" w:hAnsi="Times New Roman" w:cs="Times New Roman"/>
          <w:i/>
          <w:iCs/>
          <w:lang w:val="de-DE"/>
        </w:rPr>
        <w:t>Geschichte der Halbinsel Morea während des Mittelalters: Ein historischer Versuch</w:t>
      </w:r>
      <w:r w:rsidRPr="000E02BD">
        <w:rPr>
          <w:rFonts w:ascii="Times New Roman" w:eastAsia="Times New Roman" w:hAnsi="Times New Roman" w:cs="Times New Roman"/>
          <w:lang w:val="de-DE"/>
        </w:rPr>
        <w:t xml:space="preserve">, 2 </w:t>
      </w:r>
      <w:proofErr w:type="spellStart"/>
      <w:r w:rsidRPr="000E02BD">
        <w:rPr>
          <w:rFonts w:ascii="Times New Roman" w:eastAsia="Times New Roman" w:hAnsi="Times New Roman" w:cs="Times New Roman"/>
          <w:lang w:val="de-DE"/>
        </w:rPr>
        <w:t>vols</w:t>
      </w:r>
      <w:proofErr w:type="spellEnd"/>
      <w:r w:rsidRPr="000E02BD">
        <w:rPr>
          <w:rFonts w:ascii="Times New Roman" w:eastAsia="Times New Roman" w:hAnsi="Times New Roman" w:cs="Times New Roman"/>
          <w:lang w:val="de-DE"/>
        </w:rPr>
        <w:t xml:space="preserve">. </w:t>
      </w:r>
      <w:r>
        <w:rPr>
          <w:rFonts w:ascii="Times New Roman" w:eastAsia="Times New Roman" w:hAnsi="Times New Roman" w:cs="Times New Roman"/>
        </w:rPr>
        <w:t>Stuttgart.</w:t>
      </w:r>
    </w:p>
    <w:p w14:paraId="63F28D47" w14:textId="77777777" w:rsidR="00671F1A" w:rsidRDefault="00671F1A" w:rsidP="00277D69">
      <w:pPr>
        <w:spacing w:after="0" w:line="480" w:lineRule="auto"/>
        <w:jc w:val="both"/>
        <w:rPr>
          <w:rFonts w:ascii="Times New Roman" w:eastAsia="Times New Roman" w:hAnsi="Times New Roman" w:cs="Times New Roman"/>
        </w:rPr>
      </w:pPr>
    </w:p>
    <w:p w14:paraId="6B22D08E"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Finlay, G. (1877) </w:t>
      </w:r>
      <w:r>
        <w:rPr>
          <w:rFonts w:ascii="Times New Roman" w:eastAsia="Times New Roman" w:hAnsi="Times New Roman" w:cs="Times New Roman"/>
          <w:i/>
          <w:iCs/>
        </w:rPr>
        <w:t>A history of Greece from its conquest by the Romans to the present time, B.C. 146 to A.D. 1864</w:t>
      </w:r>
      <w:r>
        <w:rPr>
          <w:rFonts w:ascii="Times New Roman" w:eastAsia="Times New Roman" w:hAnsi="Times New Roman" w:cs="Times New Roman"/>
        </w:rPr>
        <w:t>, 7 vols. Oxford.</w:t>
      </w:r>
    </w:p>
    <w:p w14:paraId="31A7C9C7" w14:textId="77777777" w:rsidR="00671F1A" w:rsidRDefault="00671F1A" w:rsidP="00277D69">
      <w:pPr>
        <w:spacing w:after="0" w:line="480" w:lineRule="auto"/>
        <w:jc w:val="both"/>
        <w:rPr>
          <w:rFonts w:ascii="Times New Roman" w:eastAsia="Times New Roman" w:hAnsi="Times New Roman" w:cs="Times New Roman"/>
        </w:rPr>
      </w:pPr>
    </w:p>
    <w:p w14:paraId="0CF4AA3E" w14:textId="77777777" w:rsidR="003C03AC" w:rsidRDefault="00290AD8" w:rsidP="00277D69">
      <w:pPr>
        <w:spacing w:after="0" w:line="480" w:lineRule="auto"/>
        <w:jc w:val="both"/>
        <w:rPr>
          <w:rFonts w:ascii="Times New Roman" w:eastAsia="Times New Roman" w:hAnsi="Times New Roman" w:cs="Times New Roman"/>
        </w:rPr>
      </w:pPr>
      <w:proofErr w:type="spellStart"/>
      <w:r>
        <w:rPr>
          <w:rFonts w:ascii="Times New Roman" w:eastAsia="Times New Roman" w:hAnsi="Times New Roman" w:cs="Times New Roman"/>
        </w:rPr>
        <w:t>Foletti</w:t>
      </w:r>
      <w:proofErr w:type="spellEnd"/>
      <w:r>
        <w:rPr>
          <w:rFonts w:ascii="Times New Roman" w:eastAsia="Times New Roman" w:hAnsi="Times New Roman" w:cs="Times New Roman"/>
        </w:rPr>
        <w:t xml:space="preserve">, I. and Palladino, A. (2023) 'Byzantium as a political tool (1657–1952): Nations, colonialism, and globalism'. In M. Kulhánková and P. Marciniak (eds.) </w:t>
      </w:r>
      <w:r>
        <w:rPr>
          <w:rFonts w:ascii="Times New Roman" w:eastAsia="Times New Roman" w:hAnsi="Times New Roman" w:cs="Times New Roman"/>
          <w:i/>
          <w:iCs/>
        </w:rPr>
        <w:t>Byzantium in the popular imagination: The modern reception of the Byzantine Empire</w:t>
      </w:r>
      <w:r>
        <w:rPr>
          <w:rFonts w:ascii="Times New Roman" w:eastAsia="Times New Roman" w:hAnsi="Times New Roman" w:cs="Times New Roman"/>
        </w:rPr>
        <w:t>, 33–56. London.</w:t>
      </w:r>
    </w:p>
    <w:p w14:paraId="2133C2EC" w14:textId="77777777" w:rsidR="00671F1A" w:rsidRDefault="00671F1A" w:rsidP="00277D69">
      <w:pPr>
        <w:spacing w:after="0" w:line="480" w:lineRule="auto"/>
        <w:jc w:val="both"/>
        <w:rPr>
          <w:rFonts w:ascii="Times New Roman" w:eastAsia="Times New Roman" w:hAnsi="Times New Roman" w:cs="Times New Roman"/>
        </w:rPr>
      </w:pPr>
    </w:p>
    <w:p w14:paraId="59C9ACA0"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Gibbon, E. (1776–88) </w:t>
      </w:r>
      <w:r>
        <w:rPr>
          <w:rFonts w:ascii="Times New Roman" w:eastAsia="Times New Roman" w:hAnsi="Times New Roman" w:cs="Times New Roman"/>
          <w:i/>
          <w:iCs/>
        </w:rPr>
        <w:t>The history of the decline and fall of the Roman Empire</w:t>
      </w:r>
      <w:r>
        <w:rPr>
          <w:rFonts w:ascii="Times New Roman" w:eastAsia="Times New Roman" w:hAnsi="Times New Roman" w:cs="Times New Roman"/>
        </w:rPr>
        <w:t>, 6 vols. London.</w:t>
      </w:r>
    </w:p>
    <w:p w14:paraId="28F06E9D" w14:textId="77777777" w:rsidR="00671F1A" w:rsidRDefault="00671F1A" w:rsidP="00277D69">
      <w:pPr>
        <w:spacing w:after="0" w:line="480" w:lineRule="auto"/>
        <w:jc w:val="both"/>
        <w:rPr>
          <w:rFonts w:ascii="Times New Roman" w:eastAsia="Times New Roman" w:hAnsi="Times New Roman" w:cs="Times New Roman"/>
        </w:rPr>
      </w:pPr>
    </w:p>
    <w:p w14:paraId="2AD03382"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Haldon, J. (1984) '"Jargon" vs. "the facts": Byzantine history-writing and contemporary debates'. </w:t>
      </w:r>
      <w:r>
        <w:rPr>
          <w:rFonts w:ascii="Times New Roman" w:eastAsia="Times New Roman" w:hAnsi="Times New Roman" w:cs="Times New Roman"/>
          <w:i/>
          <w:iCs/>
        </w:rPr>
        <w:t>BMGS</w:t>
      </w:r>
      <w:r>
        <w:rPr>
          <w:rFonts w:ascii="Times New Roman" w:eastAsia="Times New Roman" w:hAnsi="Times New Roman" w:cs="Times New Roman"/>
        </w:rPr>
        <w:t xml:space="preserve"> 9 (1): 95–132.</w:t>
      </w:r>
    </w:p>
    <w:p w14:paraId="1054DE18" w14:textId="77777777" w:rsidR="00671F1A" w:rsidRDefault="00671F1A" w:rsidP="00277D69">
      <w:pPr>
        <w:spacing w:after="0" w:line="480" w:lineRule="auto"/>
        <w:jc w:val="both"/>
        <w:rPr>
          <w:rFonts w:ascii="Times New Roman" w:eastAsia="Times New Roman" w:hAnsi="Times New Roman" w:cs="Times New Roman"/>
        </w:rPr>
      </w:pPr>
    </w:p>
    <w:p w14:paraId="22D8E65C" w14:textId="77777777" w:rsidR="003C03AC" w:rsidRPr="000E02BD" w:rsidRDefault="00290AD8" w:rsidP="00277D69">
      <w:pPr>
        <w:spacing w:after="0" w:line="480" w:lineRule="auto"/>
        <w:jc w:val="both"/>
        <w:rPr>
          <w:rFonts w:ascii="Times New Roman" w:eastAsia="Times New Roman" w:hAnsi="Times New Roman" w:cs="Times New Roman"/>
          <w:lang w:val="fr-FR"/>
        </w:rPr>
      </w:pPr>
      <w:r>
        <w:rPr>
          <w:rFonts w:ascii="Times New Roman" w:eastAsia="Times New Roman" w:hAnsi="Times New Roman" w:cs="Times New Roman"/>
        </w:rPr>
        <w:t xml:space="preserve">Haldon, J. (2001) '"Byzantium after 2000. Post-Millennial, but not Post-Modern?"' In C. Sode and S. Takács (eds.) </w:t>
      </w:r>
      <w:r>
        <w:rPr>
          <w:rFonts w:ascii="Times New Roman" w:eastAsia="Times New Roman" w:hAnsi="Times New Roman" w:cs="Times New Roman"/>
          <w:i/>
          <w:iCs/>
        </w:rPr>
        <w:t>Novum Millennium. Studies on Byzantine History and Culture dedicated to Paul Speck</w:t>
      </w:r>
      <w:r>
        <w:rPr>
          <w:rFonts w:ascii="Times New Roman" w:eastAsia="Times New Roman" w:hAnsi="Times New Roman" w:cs="Times New Roman"/>
        </w:rPr>
        <w:t xml:space="preserve">, 1–11. </w:t>
      </w:r>
      <w:r w:rsidRPr="000E02BD">
        <w:rPr>
          <w:rFonts w:ascii="Times New Roman" w:eastAsia="Times New Roman" w:hAnsi="Times New Roman" w:cs="Times New Roman"/>
          <w:lang w:val="fr-FR"/>
        </w:rPr>
        <w:t>London.</w:t>
      </w:r>
    </w:p>
    <w:p w14:paraId="760A0E44" w14:textId="77777777" w:rsidR="00671F1A" w:rsidRPr="000E02BD" w:rsidRDefault="00671F1A" w:rsidP="00277D69">
      <w:pPr>
        <w:spacing w:after="0" w:line="480" w:lineRule="auto"/>
        <w:jc w:val="both"/>
        <w:rPr>
          <w:rFonts w:ascii="Times New Roman" w:eastAsia="Times New Roman" w:hAnsi="Times New Roman" w:cs="Times New Roman"/>
          <w:lang w:val="fr-FR"/>
        </w:rPr>
      </w:pPr>
    </w:p>
    <w:p w14:paraId="7AD24567" w14:textId="77777777" w:rsidR="003C03AC" w:rsidRPr="000E02BD" w:rsidRDefault="00290AD8" w:rsidP="00277D69">
      <w:pPr>
        <w:spacing w:after="0" w:line="480" w:lineRule="auto"/>
        <w:jc w:val="both"/>
        <w:rPr>
          <w:rFonts w:ascii="Times New Roman" w:eastAsia="Times New Roman" w:hAnsi="Times New Roman" w:cs="Times New Roman"/>
          <w:lang w:val="fr-FR"/>
        </w:rPr>
      </w:pPr>
      <w:r w:rsidRPr="000E02BD">
        <w:rPr>
          <w:rFonts w:ascii="Times New Roman" w:eastAsia="Times New Roman" w:hAnsi="Times New Roman" w:cs="Times New Roman"/>
          <w:lang w:val="fr-FR"/>
        </w:rPr>
        <w:t xml:space="preserve">Iorga, N. (1935) </w:t>
      </w:r>
      <w:r w:rsidRPr="000E02BD">
        <w:rPr>
          <w:rFonts w:ascii="Times New Roman" w:eastAsia="Times New Roman" w:hAnsi="Times New Roman" w:cs="Times New Roman"/>
          <w:i/>
          <w:iCs/>
          <w:lang w:val="fr-FR"/>
        </w:rPr>
        <w:t>Byzance après Byzance: Continuation de l'Histoire de la vie byzantine</w:t>
      </w:r>
      <w:r w:rsidRPr="000E02BD">
        <w:rPr>
          <w:rFonts w:ascii="Times New Roman" w:eastAsia="Times New Roman" w:hAnsi="Times New Roman" w:cs="Times New Roman"/>
          <w:lang w:val="fr-FR"/>
        </w:rPr>
        <w:t xml:space="preserve">. </w:t>
      </w:r>
      <w:proofErr w:type="spellStart"/>
      <w:r w:rsidRPr="000E02BD">
        <w:rPr>
          <w:rFonts w:ascii="Times New Roman" w:eastAsia="Times New Roman" w:hAnsi="Times New Roman" w:cs="Times New Roman"/>
          <w:lang w:val="fr-FR"/>
        </w:rPr>
        <w:t>Bucharest</w:t>
      </w:r>
      <w:proofErr w:type="spellEnd"/>
      <w:r w:rsidRPr="000E02BD">
        <w:rPr>
          <w:rFonts w:ascii="Times New Roman" w:eastAsia="Times New Roman" w:hAnsi="Times New Roman" w:cs="Times New Roman"/>
          <w:lang w:val="fr-FR"/>
        </w:rPr>
        <w:t>.</w:t>
      </w:r>
    </w:p>
    <w:p w14:paraId="6FBD869D" w14:textId="77777777" w:rsidR="003C03AC" w:rsidRDefault="00290AD8" w:rsidP="00277D69">
      <w:pPr>
        <w:spacing w:after="0" w:line="480" w:lineRule="auto"/>
        <w:jc w:val="both"/>
        <w:rPr>
          <w:rFonts w:ascii="Times New Roman" w:eastAsia="Times New Roman" w:hAnsi="Times New Roman" w:cs="Times New Roman"/>
        </w:rPr>
      </w:pPr>
      <w:r w:rsidRPr="000E02BD">
        <w:rPr>
          <w:rFonts w:ascii="Times New Roman" w:eastAsia="Times New Roman" w:hAnsi="Times New Roman" w:cs="Times New Roman"/>
          <w:lang w:val="fr-FR"/>
        </w:rPr>
        <w:t xml:space="preserve">Ivanov, S. A. (2003) 'Byzance rouge: la Byzantinologie et les communistes (1928–48)'. </w:t>
      </w:r>
      <w:r>
        <w:rPr>
          <w:rFonts w:ascii="Times New Roman" w:eastAsia="Times New Roman" w:hAnsi="Times New Roman" w:cs="Times New Roman"/>
        </w:rPr>
        <w:t xml:space="preserve">In </w:t>
      </w:r>
      <w:proofErr w:type="spellStart"/>
      <w:r>
        <w:rPr>
          <w:rFonts w:ascii="Times New Roman" w:eastAsia="Times New Roman" w:hAnsi="Times New Roman" w:cs="Times New Roman"/>
        </w:rPr>
        <w:t>Auzépy</w:t>
      </w:r>
      <w:proofErr w:type="spellEnd"/>
      <w:r>
        <w:rPr>
          <w:rFonts w:ascii="Times New Roman" w:eastAsia="Times New Roman" w:hAnsi="Times New Roman" w:cs="Times New Roman"/>
        </w:rPr>
        <w:t xml:space="preserve"> 2003, 55–60.</w:t>
      </w:r>
    </w:p>
    <w:p w14:paraId="54E21B29" w14:textId="77777777" w:rsidR="00671F1A" w:rsidRDefault="00671F1A" w:rsidP="00277D69">
      <w:pPr>
        <w:spacing w:after="0" w:line="480" w:lineRule="auto"/>
        <w:jc w:val="both"/>
        <w:rPr>
          <w:rFonts w:ascii="Times New Roman" w:eastAsia="Times New Roman" w:hAnsi="Times New Roman" w:cs="Times New Roman"/>
        </w:rPr>
      </w:pPr>
    </w:p>
    <w:p w14:paraId="0138E3EB"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Ivanov, S. A. (2009) 'The Second Rome through the Eyes of the Third: Evolution of the Image of Byzantium in Russian Social Consciousness'.</w:t>
      </w:r>
      <w:r w:rsidR="00E07BDB" w:rsidRPr="00E07BDB">
        <w:rPr>
          <w:rFonts w:ascii="Times New Roman" w:eastAsia="Times New Roman" w:hAnsi="Times New Roman" w:cs="Times New Roman"/>
          <w:lang w:val="en-US"/>
        </w:rPr>
        <w:t xml:space="preserve"> </w:t>
      </w:r>
      <w:hyperlink r:id="rId8"/>
      <w:hyperlink r:id="rId9">
        <w:r>
          <w:rPr>
            <w:rFonts w:ascii="Times New Roman" w:eastAsia="Times New Roman" w:hAnsi="Times New Roman" w:cs="Times New Roman"/>
            <w:color w:val="1155CC"/>
            <w:u w:val="single"/>
          </w:rPr>
          <w:t>http://www.polit.ru/article/2009/04/14/vizant</w:t>
        </w:r>
      </w:hyperlink>
      <w:r>
        <w:rPr>
          <w:rFonts w:ascii="Times New Roman" w:eastAsia="Times New Roman" w:hAnsi="Times New Roman" w:cs="Times New Roman"/>
        </w:rPr>
        <w:t xml:space="preserve"> (accessed 15 November 2025).</w:t>
      </w:r>
    </w:p>
    <w:p w14:paraId="7E8C50AF" w14:textId="77777777" w:rsidR="00671F1A" w:rsidRDefault="00671F1A" w:rsidP="00277D69">
      <w:pPr>
        <w:spacing w:after="0" w:line="480" w:lineRule="auto"/>
        <w:jc w:val="both"/>
        <w:rPr>
          <w:rFonts w:ascii="Times New Roman" w:eastAsia="Times New Roman" w:hAnsi="Times New Roman" w:cs="Times New Roman"/>
        </w:rPr>
      </w:pPr>
    </w:p>
    <w:p w14:paraId="6800511E" w14:textId="77777777" w:rsidR="003C03AC" w:rsidRDefault="00290AD8" w:rsidP="00277D69">
      <w:pPr>
        <w:spacing w:after="0" w:line="480" w:lineRule="auto"/>
        <w:jc w:val="both"/>
        <w:rPr>
          <w:rFonts w:ascii="Times New Roman" w:eastAsia="Times New Roman" w:hAnsi="Times New Roman" w:cs="Times New Roman"/>
        </w:rPr>
      </w:pPr>
      <w:proofErr w:type="spellStart"/>
      <w:r>
        <w:rPr>
          <w:rFonts w:ascii="Times New Roman" w:eastAsia="Times New Roman" w:hAnsi="Times New Roman" w:cs="Times New Roman"/>
        </w:rPr>
        <w:t>Kaldellis</w:t>
      </w:r>
      <w:proofErr w:type="spellEnd"/>
      <w:r>
        <w:rPr>
          <w:rFonts w:ascii="Times New Roman" w:eastAsia="Times New Roman" w:hAnsi="Times New Roman" w:cs="Times New Roman"/>
        </w:rPr>
        <w:t xml:space="preserve">, A. (2019a) </w:t>
      </w:r>
      <w:proofErr w:type="spellStart"/>
      <w:r>
        <w:rPr>
          <w:rFonts w:ascii="Times New Roman" w:eastAsia="Times New Roman" w:hAnsi="Times New Roman" w:cs="Times New Roman"/>
          <w:i/>
          <w:iCs/>
        </w:rPr>
        <w:t>Romanland</w:t>
      </w:r>
      <w:proofErr w:type="spellEnd"/>
      <w:r>
        <w:rPr>
          <w:rFonts w:ascii="Times New Roman" w:eastAsia="Times New Roman" w:hAnsi="Times New Roman" w:cs="Times New Roman"/>
          <w:i/>
          <w:iCs/>
        </w:rPr>
        <w:t>: Ethnicity and Empire in Byzantium</w:t>
      </w:r>
      <w:r>
        <w:rPr>
          <w:rFonts w:ascii="Times New Roman" w:eastAsia="Times New Roman" w:hAnsi="Times New Roman" w:cs="Times New Roman"/>
        </w:rPr>
        <w:t>. Cambridge, MA.</w:t>
      </w:r>
    </w:p>
    <w:p w14:paraId="6F34E7E7" w14:textId="77777777" w:rsidR="00671F1A" w:rsidRDefault="00671F1A" w:rsidP="00277D69">
      <w:pPr>
        <w:spacing w:after="0" w:line="480" w:lineRule="auto"/>
        <w:jc w:val="both"/>
        <w:rPr>
          <w:rFonts w:ascii="Times New Roman" w:eastAsia="Times New Roman" w:hAnsi="Times New Roman" w:cs="Times New Roman"/>
        </w:rPr>
      </w:pPr>
    </w:p>
    <w:p w14:paraId="5BB17A5C" w14:textId="77777777" w:rsidR="003C03AC" w:rsidRDefault="00290AD8" w:rsidP="00277D69">
      <w:pPr>
        <w:spacing w:after="0" w:line="480" w:lineRule="auto"/>
        <w:jc w:val="both"/>
        <w:rPr>
          <w:rFonts w:ascii="Times New Roman" w:eastAsia="Times New Roman" w:hAnsi="Times New Roman" w:cs="Times New Roman"/>
        </w:rPr>
      </w:pPr>
      <w:proofErr w:type="spellStart"/>
      <w:r>
        <w:rPr>
          <w:rFonts w:ascii="Times New Roman" w:eastAsia="Times New Roman" w:hAnsi="Times New Roman" w:cs="Times New Roman"/>
        </w:rPr>
        <w:t>Kaldellis</w:t>
      </w:r>
      <w:proofErr w:type="spellEnd"/>
      <w:r>
        <w:rPr>
          <w:rFonts w:ascii="Times New Roman" w:eastAsia="Times New Roman" w:hAnsi="Times New Roman" w:cs="Times New Roman"/>
        </w:rPr>
        <w:t xml:space="preserve">, A. (2019b) </w:t>
      </w:r>
      <w:r>
        <w:rPr>
          <w:rFonts w:ascii="Times New Roman" w:eastAsia="Times New Roman" w:hAnsi="Times New Roman" w:cs="Times New Roman"/>
          <w:i/>
          <w:iCs/>
        </w:rPr>
        <w:t>Byzantium unbound</w:t>
      </w:r>
      <w:r>
        <w:rPr>
          <w:rFonts w:ascii="Times New Roman" w:eastAsia="Times New Roman" w:hAnsi="Times New Roman" w:cs="Times New Roman"/>
        </w:rPr>
        <w:t>. Amsterdam.</w:t>
      </w:r>
    </w:p>
    <w:p w14:paraId="42AFF590" w14:textId="77777777" w:rsidR="00671F1A" w:rsidRDefault="00671F1A" w:rsidP="00277D69">
      <w:pPr>
        <w:spacing w:after="0" w:line="480" w:lineRule="auto"/>
        <w:jc w:val="both"/>
        <w:rPr>
          <w:rFonts w:ascii="Times New Roman" w:eastAsia="Times New Roman" w:hAnsi="Times New Roman" w:cs="Times New Roman"/>
        </w:rPr>
      </w:pPr>
    </w:p>
    <w:p w14:paraId="736C5C7E" w14:textId="77777777" w:rsidR="003C03AC" w:rsidRDefault="00290AD8" w:rsidP="00277D69">
      <w:pPr>
        <w:spacing w:after="0" w:line="480" w:lineRule="auto"/>
        <w:jc w:val="both"/>
        <w:rPr>
          <w:rFonts w:ascii="Times New Roman" w:eastAsia="Times New Roman" w:hAnsi="Times New Roman" w:cs="Times New Roman"/>
        </w:rPr>
      </w:pPr>
      <w:proofErr w:type="spellStart"/>
      <w:r>
        <w:rPr>
          <w:rFonts w:ascii="Times New Roman" w:eastAsia="Times New Roman" w:hAnsi="Times New Roman" w:cs="Times New Roman"/>
        </w:rPr>
        <w:t>Kaldellis</w:t>
      </w:r>
      <w:proofErr w:type="spellEnd"/>
      <w:r>
        <w:rPr>
          <w:rFonts w:ascii="Times New Roman" w:eastAsia="Times New Roman" w:hAnsi="Times New Roman" w:cs="Times New Roman"/>
        </w:rPr>
        <w:t xml:space="preserve">, A. (2021) 'From "Empire of the Greeks" to "Byzantium": The politics of a modern paradigm shift'. In N. Aschenbrenner and J. Ransohoff (eds.) </w:t>
      </w:r>
      <w:r>
        <w:rPr>
          <w:rFonts w:ascii="Times New Roman" w:eastAsia="Times New Roman" w:hAnsi="Times New Roman" w:cs="Times New Roman"/>
          <w:i/>
          <w:iCs/>
        </w:rPr>
        <w:t>The invention of Byzantium in early modern Europe</w:t>
      </w:r>
      <w:r>
        <w:rPr>
          <w:rFonts w:ascii="Times New Roman" w:eastAsia="Times New Roman" w:hAnsi="Times New Roman" w:cs="Times New Roman"/>
        </w:rPr>
        <w:t>, 349–67. Washington, DC.</w:t>
      </w:r>
    </w:p>
    <w:p w14:paraId="1F253D0B" w14:textId="77777777" w:rsidR="00671F1A" w:rsidRDefault="00671F1A" w:rsidP="00277D69">
      <w:pPr>
        <w:spacing w:after="0" w:line="480" w:lineRule="auto"/>
        <w:jc w:val="both"/>
        <w:rPr>
          <w:rFonts w:ascii="Times New Roman" w:eastAsia="Times New Roman" w:hAnsi="Times New Roman" w:cs="Times New Roman"/>
        </w:rPr>
      </w:pPr>
    </w:p>
    <w:p w14:paraId="72A39ECB" w14:textId="77777777" w:rsidR="003C03AC" w:rsidRDefault="00290AD8" w:rsidP="00277D69">
      <w:pPr>
        <w:spacing w:after="0" w:line="480" w:lineRule="auto"/>
        <w:jc w:val="both"/>
        <w:rPr>
          <w:rFonts w:ascii="Times New Roman" w:eastAsia="Times New Roman" w:hAnsi="Times New Roman" w:cs="Times New Roman"/>
        </w:rPr>
      </w:pPr>
      <w:proofErr w:type="spellStart"/>
      <w:r>
        <w:rPr>
          <w:rFonts w:ascii="Times New Roman" w:eastAsia="Times New Roman" w:hAnsi="Times New Roman" w:cs="Times New Roman"/>
        </w:rPr>
        <w:t>Kaldellis</w:t>
      </w:r>
      <w:proofErr w:type="spellEnd"/>
      <w:r>
        <w:rPr>
          <w:rFonts w:ascii="Times New Roman" w:eastAsia="Times New Roman" w:hAnsi="Times New Roman" w:cs="Times New Roman"/>
        </w:rPr>
        <w:t xml:space="preserve">, A. (2024) </w:t>
      </w:r>
      <w:r>
        <w:rPr>
          <w:rFonts w:ascii="Times New Roman" w:eastAsia="Times New Roman" w:hAnsi="Times New Roman" w:cs="Times New Roman"/>
          <w:i/>
          <w:iCs/>
        </w:rPr>
        <w:t>The New Roman Empire: A History of Byzantium</w:t>
      </w:r>
      <w:r>
        <w:rPr>
          <w:rFonts w:ascii="Times New Roman" w:eastAsia="Times New Roman" w:hAnsi="Times New Roman" w:cs="Times New Roman"/>
        </w:rPr>
        <w:t>. Oxford.</w:t>
      </w:r>
    </w:p>
    <w:p w14:paraId="0A0FBCBF" w14:textId="77777777" w:rsidR="00671F1A" w:rsidRDefault="00671F1A" w:rsidP="00277D69">
      <w:pPr>
        <w:spacing w:after="0" w:line="480" w:lineRule="auto"/>
        <w:jc w:val="both"/>
        <w:rPr>
          <w:rFonts w:ascii="Times New Roman" w:eastAsia="Times New Roman" w:hAnsi="Times New Roman" w:cs="Times New Roman"/>
        </w:rPr>
      </w:pPr>
    </w:p>
    <w:p w14:paraId="18C8AD8D" w14:textId="77777777" w:rsidR="003C03AC" w:rsidRPr="000E02BD" w:rsidRDefault="00290AD8" w:rsidP="00277D69">
      <w:pPr>
        <w:spacing w:after="0" w:line="480" w:lineRule="auto"/>
        <w:jc w:val="both"/>
        <w:rPr>
          <w:rFonts w:ascii="Times New Roman" w:eastAsia="Times New Roman" w:hAnsi="Times New Roman" w:cs="Times New Roman"/>
          <w:lang w:val="fr-FR"/>
        </w:rPr>
      </w:pPr>
      <w:r>
        <w:rPr>
          <w:rFonts w:ascii="Times New Roman" w:eastAsia="Times New Roman" w:hAnsi="Times New Roman" w:cs="Times New Roman"/>
        </w:rPr>
        <w:t xml:space="preserve">Kamenskikh, A. (2020) 'Constructing the image of Byzantium in the 20th c. The Russian theme in the Greek "Neo-Byzantine" project'. </w:t>
      </w:r>
      <w:proofErr w:type="spellStart"/>
      <w:r w:rsidRPr="000E02BD">
        <w:rPr>
          <w:rFonts w:ascii="Times New Roman" w:eastAsia="Times New Roman" w:hAnsi="Times New Roman" w:cs="Times New Roman"/>
          <w:i/>
          <w:iCs/>
          <w:lang w:val="fr-FR"/>
        </w:rPr>
        <w:t>Constantine's</w:t>
      </w:r>
      <w:proofErr w:type="spellEnd"/>
      <w:r w:rsidRPr="000E02BD">
        <w:rPr>
          <w:rFonts w:ascii="Times New Roman" w:eastAsia="Times New Roman" w:hAnsi="Times New Roman" w:cs="Times New Roman"/>
          <w:i/>
          <w:iCs/>
          <w:lang w:val="fr-FR"/>
        </w:rPr>
        <w:t xml:space="preserve"> Letters</w:t>
      </w:r>
      <w:r w:rsidRPr="000E02BD">
        <w:rPr>
          <w:rFonts w:ascii="Times New Roman" w:eastAsia="Times New Roman" w:hAnsi="Times New Roman" w:cs="Times New Roman"/>
          <w:lang w:val="fr-FR"/>
        </w:rPr>
        <w:t xml:space="preserve"> 13 (7): 188–9.</w:t>
      </w:r>
    </w:p>
    <w:p w14:paraId="65B6BC9B" w14:textId="77777777" w:rsidR="00671F1A" w:rsidRPr="000E02BD" w:rsidRDefault="00671F1A" w:rsidP="00277D69">
      <w:pPr>
        <w:spacing w:after="0" w:line="480" w:lineRule="auto"/>
        <w:jc w:val="both"/>
        <w:rPr>
          <w:rFonts w:ascii="Times New Roman" w:eastAsia="Times New Roman" w:hAnsi="Times New Roman" w:cs="Times New Roman"/>
          <w:lang w:val="fr-FR"/>
        </w:rPr>
      </w:pPr>
    </w:p>
    <w:p w14:paraId="2E6E83F7" w14:textId="77777777" w:rsidR="003C03AC" w:rsidRPr="000E02BD" w:rsidRDefault="00290AD8" w:rsidP="00277D69">
      <w:pPr>
        <w:spacing w:after="0" w:line="480" w:lineRule="auto"/>
        <w:jc w:val="both"/>
        <w:rPr>
          <w:rFonts w:ascii="Times New Roman" w:eastAsia="Times New Roman" w:hAnsi="Times New Roman" w:cs="Times New Roman"/>
          <w:lang w:val="de-DE"/>
        </w:rPr>
      </w:pPr>
      <w:r w:rsidRPr="000E02BD">
        <w:rPr>
          <w:rFonts w:ascii="Times New Roman" w:eastAsia="Times New Roman" w:hAnsi="Times New Roman" w:cs="Times New Roman"/>
          <w:lang w:val="fr-FR"/>
        </w:rPr>
        <w:t xml:space="preserve">Kolias, T. G. (2003) 'Byzance dans les manuels d'Histoire grecs'. </w:t>
      </w:r>
      <w:r w:rsidRPr="000E02BD">
        <w:rPr>
          <w:rFonts w:ascii="Times New Roman" w:eastAsia="Times New Roman" w:hAnsi="Times New Roman" w:cs="Times New Roman"/>
          <w:lang w:val="de-DE"/>
        </w:rPr>
        <w:t xml:space="preserve">In </w:t>
      </w:r>
      <w:proofErr w:type="spellStart"/>
      <w:r w:rsidRPr="000E02BD">
        <w:rPr>
          <w:rFonts w:ascii="Times New Roman" w:eastAsia="Times New Roman" w:hAnsi="Times New Roman" w:cs="Times New Roman"/>
          <w:lang w:val="de-DE"/>
        </w:rPr>
        <w:t>Auzépy</w:t>
      </w:r>
      <w:proofErr w:type="spellEnd"/>
      <w:r w:rsidRPr="000E02BD">
        <w:rPr>
          <w:rFonts w:ascii="Times New Roman" w:eastAsia="Times New Roman" w:hAnsi="Times New Roman" w:cs="Times New Roman"/>
          <w:lang w:val="de-DE"/>
        </w:rPr>
        <w:t xml:space="preserve"> 2003, 61–74.</w:t>
      </w:r>
    </w:p>
    <w:p w14:paraId="60C965A8" w14:textId="77777777" w:rsidR="00671F1A" w:rsidRPr="000E02BD" w:rsidRDefault="00671F1A" w:rsidP="00277D69">
      <w:pPr>
        <w:spacing w:after="0" w:line="480" w:lineRule="auto"/>
        <w:jc w:val="both"/>
        <w:rPr>
          <w:rFonts w:ascii="Times New Roman" w:eastAsia="Times New Roman" w:hAnsi="Times New Roman" w:cs="Times New Roman"/>
          <w:lang w:val="de-DE"/>
        </w:rPr>
      </w:pPr>
    </w:p>
    <w:p w14:paraId="294DD073" w14:textId="77777777" w:rsidR="003C03AC" w:rsidRDefault="00290AD8" w:rsidP="00277D69">
      <w:pPr>
        <w:spacing w:after="0" w:line="480" w:lineRule="auto"/>
        <w:jc w:val="both"/>
        <w:rPr>
          <w:rFonts w:ascii="Times New Roman" w:eastAsia="Times New Roman" w:hAnsi="Times New Roman" w:cs="Times New Roman"/>
        </w:rPr>
      </w:pPr>
      <w:r w:rsidRPr="000E02BD">
        <w:rPr>
          <w:rFonts w:ascii="Times New Roman" w:eastAsia="Times New Roman" w:hAnsi="Times New Roman" w:cs="Times New Roman"/>
          <w:lang w:val="de-DE"/>
        </w:rPr>
        <w:t xml:space="preserve">Kolovou, F. (ed.) (2012) </w:t>
      </w:r>
      <w:proofErr w:type="spellStart"/>
      <w:r w:rsidRPr="000E02BD">
        <w:rPr>
          <w:rFonts w:ascii="Times New Roman" w:eastAsia="Times New Roman" w:hAnsi="Times New Roman" w:cs="Times New Roman"/>
          <w:i/>
          <w:iCs/>
          <w:lang w:val="de-DE"/>
        </w:rPr>
        <w:t>Byzanzrezeption</w:t>
      </w:r>
      <w:proofErr w:type="spellEnd"/>
      <w:r w:rsidRPr="000E02BD">
        <w:rPr>
          <w:rFonts w:ascii="Times New Roman" w:eastAsia="Times New Roman" w:hAnsi="Times New Roman" w:cs="Times New Roman"/>
          <w:i/>
          <w:iCs/>
          <w:lang w:val="de-DE"/>
        </w:rPr>
        <w:t xml:space="preserve"> in Europa: Spurensuche über das Mittelalter und die Renaissance bis in die Gegenwart</w:t>
      </w:r>
      <w:r w:rsidRPr="000E02BD">
        <w:rPr>
          <w:rFonts w:ascii="Times New Roman" w:eastAsia="Times New Roman" w:hAnsi="Times New Roman" w:cs="Times New Roman"/>
          <w:lang w:val="de-DE"/>
        </w:rPr>
        <w:t xml:space="preserve">. </w:t>
      </w:r>
      <w:r>
        <w:rPr>
          <w:rFonts w:ascii="Times New Roman" w:eastAsia="Times New Roman" w:hAnsi="Times New Roman" w:cs="Times New Roman"/>
        </w:rPr>
        <w:t>Berlin.</w:t>
      </w:r>
    </w:p>
    <w:p w14:paraId="29428D44" w14:textId="77777777" w:rsidR="00671F1A" w:rsidRDefault="00671F1A" w:rsidP="00277D69">
      <w:pPr>
        <w:spacing w:after="0" w:line="480" w:lineRule="auto"/>
        <w:jc w:val="both"/>
        <w:rPr>
          <w:rFonts w:ascii="Times New Roman" w:eastAsia="Times New Roman" w:hAnsi="Times New Roman" w:cs="Times New Roman"/>
        </w:rPr>
      </w:pPr>
    </w:p>
    <w:p w14:paraId="79323A19" w14:textId="77777777" w:rsidR="003C03AC" w:rsidRDefault="00290AD8" w:rsidP="00277D69">
      <w:pPr>
        <w:spacing w:after="0" w:line="480" w:lineRule="auto"/>
        <w:jc w:val="both"/>
        <w:rPr>
          <w:rFonts w:ascii="Times New Roman" w:eastAsia="Times New Roman" w:hAnsi="Times New Roman" w:cs="Times New Roman"/>
        </w:rPr>
      </w:pPr>
      <w:proofErr w:type="spellStart"/>
      <w:r>
        <w:rPr>
          <w:rFonts w:ascii="Times New Roman" w:eastAsia="Times New Roman" w:hAnsi="Times New Roman" w:cs="Times New Roman"/>
        </w:rPr>
        <w:t>Kotoula</w:t>
      </w:r>
      <w:proofErr w:type="spellEnd"/>
      <w:r>
        <w:rPr>
          <w:rFonts w:ascii="Times New Roman" w:eastAsia="Times New Roman" w:hAnsi="Times New Roman" w:cs="Times New Roman"/>
        </w:rPr>
        <w:t xml:space="preserve">, D. (2023) '"In Search of a Painting without Labels": The Rediscovery of Byzantine Icon Painting on Modern Greece during the 19th century'. In R. </w:t>
      </w:r>
      <w:proofErr w:type="spellStart"/>
      <w:r>
        <w:rPr>
          <w:rFonts w:ascii="Times New Roman" w:eastAsia="Times New Roman" w:hAnsi="Times New Roman" w:cs="Times New Roman"/>
        </w:rPr>
        <w:t>Dekonick</w:t>
      </w:r>
      <w:proofErr w:type="spellEnd"/>
      <w:r>
        <w:rPr>
          <w:rFonts w:ascii="Times New Roman" w:eastAsia="Times New Roman" w:hAnsi="Times New Roman" w:cs="Times New Roman"/>
        </w:rPr>
        <w:t xml:space="preserve"> and I. </w:t>
      </w:r>
      <w:proofErr w:type="spellStart"/>
      <w:r>
        <w:rPr>
          <w:rFonts w:ascii="Times New Roman" w:eastAsia="Times New Roman" w:hAnsi="Times New Roman" w:cs="Times New Roman"/>
        </w:rPr>
        <w:t>Falque</w:t>
      </w:r>
      <w:proofErr w:type="spellEnd"/>
      <w:r>
        <w:rPr>
          <w:rFonts w:ascii="Times New Roman" w:eastAsia="Times New Roman" w:hAnsi="Times New Roman" w:cs="Times New Roman"/>
        </w:rPr>
        <w:t xml:space="preserve"> (eds.) </w:t>
      </w:r>
      <w:r>
        <w:rPr>
          <w:rFonts w:ascii="Times New Roman" w:eastAsia="Times New Roman" w:hAnsi="Times New Roman" w:cs="Times New Roman"/>
          <w:i/>
          <w:iCs/>
        </w:rPr>
        <w:t>Revivals or Survival</w:t>
      </w:r>
      <w:r>
        <w:rPr>
          <w:rFonts w:ascii="Times New Roman" w:eastAsia="Times New Roman" w:hAnsi="Times New Roman" w:cs="Times New Roman"/>
        </w:rPr>
        <w:t>, 120–35. Milan.</w:t>
      </w:r>
    </w:p>
    <w:p w14:paraId="16EBCD77" w14:textId="77777777" w:rsidR="00671F1A" w:rsidRDefault="00671F1A" w:rsidP="00277D69">
      <w:pPr>
        <w:spacing w:after="0" w:line="480" w:lineRule="auto"/>
        <w:jc w:val="both"/>
        <w:rPr>
          <w:rFonts w:ascii="Times New Roman" w:eastAsia="Times New Roman" w:hAnsi="Times New Roman" w:cs="Times New Roman"/>
        </w:rPr>
      </w:pPr>
    </w:p>
    <w:p w14:paraId="6F3615C9"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Kulhánková, M. and Marciniak, P. (eds.) (2023a) </w:t>
      </w:r>
      <w:r>
        <w:rPr>
          <w:rFonts w:ascii="Times New Roman" w:eastAsia="Times New Roman" w:hAnsi="Times New Roman" w:cs="Times New Roman"/>
          <w:i/>
          <w:iCs/>
        </w:rPr>
        <w:t>Byzantium in the popular imagination: The modern reception of the Byzantine Empire</w:t>
      </w:r>
      <w:r>
        <w:rPr>
          <w:rFonts w:ascii="Times New Roman" w:eastAsia="Times New Roman" w:hAnsi="Times New Roman" w:cs="Times New Roman"/>
        </w:rPr>
        <w:t>. London.</w:t>
      </w:r>
    </w:p>
    <w:p w14:paraId="08EEABC5" w14:textId="77777777" w:rsidR="00671F1A" w:rsidRDefault="00671F1A" w:rsidP="00277D69">
      <w:pPr>
        <w:spacing w:after="0" w:line="480" w:lineRule="auto"/>
        <w:jc w:val="both"/>
        <w:rPr>
          <w:rFonts w:ascii="Times New Roman" w:eastAsia="Times New Roman" w:hAnsi="Times New Roman" w:cs="Times New Roman"/>
        </w:rPr>
      </w:pPr>
    </w:p>
    <w:p w14:paraId="47405FD6"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Kulhánková, M. and Marciniak, P. (2023b) 'The many faces of the reception of Byzantium'. In M. Kulhánková and P. Marciniak (eds.) </w:t>
      </w:r>
      <w:r>
        <w:rPr>
          <w:rFonts w:ascii="Times New Roman" w:eastAsia="Times New Roman" w:hAnsi="Times New Roman" w:cs="Times New Roman"/>
          <w:i/>
          <w:iCs/>
        </w:rPr>
        <w:t>Byzantium in the popular imagination: The modern reception of the Byzantine Empire</w:t>
      </w:r>
      <w:r>
        <w:rPr>
          <w:rFonts w:ascii="Times New Roman" w:eastAsia="Times New Roman" w:hAnsi="Times New Roman" w:cs="Times New Roman"/>
        </w:rPr>
        <w:t>, 1–10. London.</w:t>
      </w:r>
    </w:p>
    <w:p w14:paraId="0BA96239" w14:textId="77777777" w:rsidR="006C0266" w:rsidRDefault="006C0266" w:rsidP="00277D69">
      <w:pPr>
        <w:spacing w:after="0" w:line="480" w:lineRule="auto"/>
        <w:jc w:val="both"/>
        <w:rPr>
          <w:rFonts w:ascii="Times New Roman" w:eastAsia="Times New Roman" w:hAnsi="Times New Roman" w:cs="Times New Roman"/>
        </w:rPr>
      </w:pPr>
    </w:p>
    <w:p w14:paraId="7C29D123"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Lethaby, W. R. (n.d.) </w:t>
      </w:r>
      <w:r>
        <w:rPr>
          <w:rFonts w:ascii="Times New Roman" w:eastAsia="Times New Roman" w:hAnsi="Times New Roman" w:cs="Times New Roman"/>
          <w:i/>
          <w:iCs/>
        </w:rPr>
        <w:t>Typewritten Notes in the Library of the Society of Protection of Ancient Buildings</w:t>
      </w:r>
      <w:r>
        <w:rPr>
          <w:rFonts w:ascii="Times New Roman" w:eastAsia="Times New Roman" w:hAnsi="Times New Roman" w:cs="Times New Roman"/>
        </w:rPr>
        <w:t>. London.</w:t>
      </w:r>
    </w:p>
    <w:p w14:paraId="6B4920E6" w14:textId="77777777" w:rsidR="006C0266" w:rsidRDefault="006C0266" w:rsidP="00277D69">
      <w:pPr>
        <w:spacing w:after="0" w:line="480" w:lineRule="auto"/>
        <w:jc w:val="both"/>
        <w:rPr>
          <w:rFonts w:ascii="Times New Roman" w:eastAsia="Times New Roman" w:hAnsi="Times New Roman" w:cs="Times New Roman"/>
        </w:rPr>
      </w:pPr>
    </w:p>
    <w:p w14:paraId="6F801B0D"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Makrides, V. N. (1998) 'Byzantium in contemporary Greece: The neo-Orthodox current of ideas'. In D. Ricks and P. </w:t>
      </w:r>
      <w:proofErr w:type="spellStart"/>
      <w:r>
        <w:rPr>
          <w:rFonts w:ascii="Times New Roman" w:eastAsia="Times New Roman" w:hAnsi="Times New Roman" w:cs="Times New Roman"/>
        </w:rPr>
        <w:t>Magdalino</w:t>
      </w:r>
      <w:proofErr w:type="spellEnd"/>
      <w:r>
        <w:rPr>
          <w:rFonts w:ascii="Times New Roman" w:eastAsia="Times New Roman" w:hAnsi="Times New Roman" w:cs="Times New Roman"/>
        </w:rPr>
        <w:t xml:space="preserve"> (eds.) </w:t>
      </w:r>
      <w:r>
        <w:rPr>
          <w:rFonts w:ascii="Times New Roman" w:eastAsia="Times New Roman" w:hAnsi="Times New Roman" w:cs="Times New Roman"/>
          <w:i/>
          <w:iCs/>
        </w:rPr>
        <w:t>Byzantium and the Modern Greek Identity</w:t>
      </w:r>
      <w:r>
        <w:rPr>
          <w:rFonts w:ascii="Times New Roman" w:eastAsia="Times New Roman" w:hAnsi="Times New Roman" w:cs="Times New Roman"/>
        </w:rPr>
        <w:t>, 141–53. Aldershot.</w:t>
      </w:r>
    </w:p>
    <w:p w14:paraId="209AB989" w14:textId="77777777" w:rsidR="006C0266" w:rsidRDefault="006C0266" w:rsidP="00277D69">
      <w:pPr>
        <w:spacing w:after="0" w:line="480" w:lineRule="auto"/>
        <w:jc w:val="both"/>
        <w:rPr>
          <w:rFonts w:ascii="Times New Roman" w:eastAsia="Times New Roman" w:hAnsi="Times New Roman" w:cs="Times New Roman"/>
        </w:rPr>
      </w:pPr>
    </w:p>
    <w:p w14:paraId="6ACC8154"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Maner, H.-C. (2018) '"</w:t>
      </w:r>
      <w:proofErr w:type="spellStart"/>
      <w:r>
        <w:rPr>
          <w:rFonts w:ascii="Times New Roman" w:eastAsia="Times New Roman" w:hAnsi="Times New Roman" w:cs="Times New Roman"/>
        </w:rPr>
        <w:t>Byzance</w:t>
      </w:r>
      <w:proofErr w:type="spellEnd"/>
      <w:r>
        <w:rPr>
          <w:rFonts w:ascii="Times New Roman" w:eastAsia="Times New Roman" w:hAnsi="Times New Roman" w:cs="Times New Roman"/>
        </w:rPr>
        <w:t xml:space="preserve"> après </w:t>
      </w:r>
      <w:proofErr w:type="spellStart"/>
      <w:r>
        <w:rPr>
          <w:rFonts w:ascii="Times New Roman" w:eastAsia="Times New Roman" w:hAnsi="Times New Roman" w:cs="Times New Roman"/>
        </w:rPr>
        <w:t>Byzance</w:t>
      </w:r>
      <w:proofErr w:type="spellEnd"/>
      <w:r>
        <w:rPr>
          <w:rFonts w:ascii="Times New Roman" w:eastAsia="Times New Roman" w:hAnsi="Times New Roman" w:cs="Times New Roman"/>
        </w:rPr>
        <w:t xml:space="preserve">" – Nicolae Iorga's concept and its aftermath'. In </w:t>
      </w:r>
      <w:proofErr w:type="spellStart"/>
      <w:r>
        <w:rPr>
          <w:rFonts w:ascii="Times New Roman" w:eastAsia="Times New Roman" w:hAnsi="Times New Roman" w:cs="Times New Roman"/>
        </w:rPr>
        <w:t>Alshanskaya</w:t>
      </w:r>
      <w:proofErr w:type="spellEnd"/>
      <w:r>
        <w:rPr>
          <w:rFonts w:ascii="Times New Roman" w:eastAsia="Times New Roman" w:hAnsi="Times New Roman" w:cs="Times New Roman"/>
        </w:rPr>
        <w:t xml:space="preserve"> et al. 2018, 31–8.</w:t>
      </w:r>
    </w:p>
    <w:p w14:paraId="428A5513" w14:textId="77777777" w:rsidR="006C0266" w:rsidRDefault="006C0266" w:rsidP="00277D69">
      <w:pPr>
        <w:spacing w:after="0" w:line="480" w:lineRule="auto"/>
        <w:jc w:val="both"/>
        <w:rPr>
          <w:rFonts w:ascii="Times New Roman" w:eastAsia="Times New Roman" w:hAnsi="Times New Roman" w:cs="Times New Roman"/>
        </w:rPr>
      </w:pPr>
    </w:p>
    <w:p w14:paraId="4FEE808F"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Mango, C. (1965) 'Byzantinism and Romantic Hellenism'. </w:t>
      </w:r>
      <w:r>
        <w:rPr>
          <w:rFonts w:ascii="Times New Roman" w:eastAsia="Times New Roman" w:hAnsi="Times New Roman" w:cs="Times New Roman"/>
          <w:i/>
          <w:iCs/>
        </w:rPr>
        <w:t>JWI</w:t>
      </w:r>
      <w:r>
        <w:rPr>
          <w:rFonts w:ascii="Times New Roman" w:eastAsia="Times New Roman" w:hAnsi="Times New Roman" w:cs="Times New Roman"/>
        </w:rPr>
        <w:t xml:space="preserve"> 28: 29–43.</w:t>
      </w:r>
    </w:p>
    <w:p w14:paraId="0BC6D2CE" w14:textId="77777777" w:rsidR="006C0266" w:rsidRDefault="006C0266" w:rsidP="00277D69">
      <w:pPr>
        <w:spacing w:after="0" w:line="480" w:lineRule="auto"/>
        <w:jc w:val="both"/>
        <w:rPr>
          <w:rFonts w:ascii="Times New Roman" w:eastAsia="Times New Roman" w:hAnsi="Times New Roman" w:cs="Times New Roman"/>
        </w:rPr>
      </w:pPr>
    </w:p>
    <w:p w14:paraId="6591EF0B"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Marciniak, P. (2022) 'Performing Byzantium in early modern </w:t>
      </w:r>
      <w:proofErr w:type="spellStart"/>
      <w:r>
        <w:rPr>
          <w:rFonts w:ascii="Times New Roman" w:eastAsia="Times New Roman" w:hAnsi="Times New Roman" w:cs="Times New Roman"/>
        </w:rPr>
        <w:t>theater</w:t>
      </w:r>
      <w:proofErr w:type="spellEnd"/>
      <w:r>
        <w:rPr>
          <w:rFonts w:ascii="Times New Roman" w:eastAsia="Times New Roman" w:hAnsi="Times New Roman" w:cs="Times New Roman"/>
        </w:rPr>
        <w:t xml:space="preserve">'. In N. Aschenbrenner and J. Ransohoff (eds.) </w:t>
      </w:r>
      <w:r>
        <w:rPr>
          <w:rFonts w:ascii="Times New Roman" w:eastAsia="Times New Roman" w:hAnsi="Times New Roman" w:cs="Times New Roman"/>
          <w:i/>
          <w:iCs/>
        </w:rPr>
        <w:t>The invention of Byzantium in early modern Europe</w:t>
      </w:r>
      <w:r>
        <w:rPr>
          <w:rFonts w:ascii="Times New Roman" w:eastAsia="Times New Roman" w:hAnsi="Times New Roman" w:cs="Times New Roman"/>
        </w:rPr>
        <w:t>, 205–24. Washington, DC.</w:t>
      </w:r>
    </w:p>
    <w:p w14:paraId="2A8C5A68" w14:textId="77777777" w:rsidR="006C0266" w:rsidRDefault="006C0266" w:rsidP="00277D69">
      <w:pPr>
        <w:spacing w:after="0" w:line="480" w:lineRule="auto"/>
        <w:jc w:val="both"/>
        <w:rPr>
          <w:rFonts w:ascii="Times New Roman" w:eastAsia="Times New Roman" w:hAnsi="Times New Roman" w:cs="Times New Roman"/>
        </w:rPr>
      </w:pPr>
    </w:p>
    <w:p w14:paraId="6575005A" w14:textId="77777777" w:rsidR="003C03AC" w:rsidRPr="000E02BD" w:rsidRDefault="00290AD8" w:rsidP="00277D69">
      <w:pPr>
        <w:spacing w:after="0" w:line="480" w:lineRule="auto"/>
        <w:jc w:val="both"/>
        <w:rPr>
          <w:rFonts w:ascii="Times New Roman" w:eastAsia="Times New Roman" w:hAnsi="Times New Roman" w:cs="Times New Roman"/>
          <w:lang w:val="it-IT"/>
        </w:rPr>
      </w:pPr>
      <w:r>
        <w:rPr>
          <w:rFonts w:ascii="Times New Roman" w:eastAsia="Times New Roman" w:hAnsi="Times New Roman" w:cs="Times New Roman"/>
        </w:rPr>
        <w:t xml:space="preserve">Marciniak, P. and Smythe, D. C. (eds.) (2016) </w:t>
      </w:r>
      <w:r>
        <w:rPr>
          <w:rFonts w:ascii="Times New Roman" w:eastAsia="Times New Roman" w:hAnsi="Times New Roman" w:cs="Times New Roman"/>
          <w:i/>
          <w:iCs/>
        </w:rPr>
        <w:t>The reception of Byzantium in European culture since 1500</w:t>
      </w:r>
      <w:r>
        <w:rPr>
          <w:rFonts w:ascii="Times New Roman" w:eastAsia="Times New Roman" w:hAnsi="Times New Roman" w:cs="Times New Roman"/>
        </w:rPr>
        <w:t xml:space="preserve">. </w:t>
      </w:r>
      <w:r w:rsidRPr="000E02BD">
        <w:rPr>
          <w:rFonts w:ascii="Times New Roman" w:eastAsia="Times New Roman" w:hAnsi="Times New Roman" w:cs="Times New Roman"/>
          <w:lang w:val="it-IT"/>
        </w:rPr>
        <w:t>Farnham.</w:t>
      </w:r>
    </w:p>
    <w:p w14:paraId="549B5BDA" w14:textId="77777777" w:rsidR="006C0266" w:rsidRPr="000E02BD" w:rsidRDefault="006C0266" w:rsidP="00277D69">
      <w:pPr>
        <w:spacing w:after="0" w:line="480" w:lineRule="auto"/>
        <w:jc w:val="both"/>
        <w:rPr>
          <w:rFonts w:ascii="Times New Roman" w:eastAsia="Times New Roman" w:hAnsi="Times New Roman" w:cs="Times New Roman"/>
          <w:lang w:val="it-IT"/>
        </w:rPr>
      </w:pPr>
    </w:p>
    <w:p w14:paraId="671FAE42" w14:textId="77777777" w:rsidR="003C03AC" w:rsidRDefault="00290AD8" w:rsidP="00277D69">
      <w:pPr>
        <w:spacing w:after="0" w:line="480" w:lineRule="auto"/>
        <w:jc w:val="both"/>
        <w:rPr>
          <w:rFonts w:ascii="Times New Roman" w:eastAsia="Times New Roman" w:hAnsi="Times New Roman" w:cs="Times New Roman"/>
        </w:rPr>
      </w:pPr>
      <w:r w:rsidRPr="000E02BD">
        <w:rPr>
          <w:rFonts w:ascii="Times New Roman" w:eastAsia="Times New Roman" w:hAnsi="Times New Roman" w:cs="Times New Roman"/>
          <w:lang w:val="it-IT"/>
        </w:rPr>
        <w:t>Mavroudi, M. (2023) '</w:t>
      </w:r>
      <w:proofErr w:type="spellStart"/>
      <w:r w:rsidRPr="000E02BD">
        <w:rPr>
          <w:rFonts w:ascii="Times New Roman" w:eastAsia="Times New Roman" w:hAnsi="Times New Roman" w:cs="Times New Roman"/>
          <w:lang w:val="it-IT"/>
        </w:rPr>
        <w:t>Subaltern</w:t>
      </w:r>
      <w:proofErr w:type="spellEnd"/>
      <w:r w:rsidRPr="000E02BD">
        <w:rPr>
          <w:rFonts w:ascii="Times New Roman" w:eastAsia="Times New Roman" w:hAnsi="Times New Roman" w:cs="Times New Roman"/>
          <w:lang w:val="it-IT"/>
        </w:rPr>
        <w:t xml:space="preserve"> </w:t>
      </w:r>
      <w:proofErr w:type="spellStart"/>
      <w:r w:rsidRPr="000E02BD">
        <w:rPr>
          <w:rFonts w:ascii="Times New Roman" w:eastAsia="Times New Roman" w:hAnsi="Times New Roman" w:cs="Times New Roman"/>
          <w:lang w:val="it-IT"/>
        </w:rPr>
        <w:t>Byzantinism</w:t>
      </w:r>
      <w:proofErr w:type="spellEnd"/>
      <w:r w:rsidRPr="000E02BD">
        <w:rPr>
          <w:rFonts w:ascii="Times New Roman" w:eastAsia="Times New Roman" w:hAnsi="Times New Roman" w:cs="Times New Roman"/>
          <w:lang w:val="it-IT"/>
        </w:rPr>
        <w:t>'. In B. Anderson and M. Ivanova (</w:t>
      </w:r>
      <w:proofErr w:type="spellStart"/>
      <w:r w:rsidRPr="000E02BD">
        <w:rPr>
          <w:rFonts w:ascii="Times New Roman" w:eastAsia="Times New Roman" w:hAnsi="Times New Roman" w:cs="Times New Roman"/>
          <w:lang w:val="it-IT"/>
        </w:rPr>
        <w:t>eds</w:t>
      </w:r>
      <w:proofErr w:type="spellEnd"/>
      <w:r w:rsidRPr="000E02BD">
        <w:rPr>
          <w:rFonts w:ascii="Times New Roman" w:eastAsia="Times New Roman" w:hAnsi="Times New Roman" w:cs="Times New Roman"/>
          <w:lang w:val="it-IT"/>
        </w:rPr>
        <w:t xml:space="preserve">.) </w:t>
      </w:r>
      <w:r>
        <w:rPr>
          <w:rFonts w:ascii="Times New Roman" w:eastAsia="Times New Roman" w:hAnsi="Times New Roman" w:cs="Times New Roman"/>
          <w:i/>
          <w:iCs/>
        </w:rPr>
        <w:t>Is Byzantine studies a colonialist discipline? Toward a critical historiography</w:t>
      </w:r>
      <w:r>
        <w:rPr>
          <w:rFonts w:ascii="Times New Roman" w:eastAsia="Times New Roman" w:hAnsi="Times New Roman" w:cs="Times New Roman"/>
        </w:rPr>
        <w:t>, 98–108. University Park, PA.</w:t>
      </w:r>
    </w:p>
    <w:p w14:paraId="456D01AD" w14:textId="77777777" w:rsidR="006C0266" w:rsidRDefault="006C0266" w:rsidP="00277D69">
      <w:pPr>
        <w:spacing w:after="0" w:line="480" w:lineRule="auto"/>
        <w:jc w:val="both"/>
        <w:rPr>
          <w:rFonts w:ascii="Times New Roman" w:eastAsia="Times New Roman" w:hAnsi="Times New Roman" w:cs="Times New Roman"/>
        </w:rPr>
      </w:pPr>
    </w:p>
    <w:p w14:paraId="01E632AD"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Milman, H. H. (1855) </w:t>
      </w:r>
      <w:r>
        <w:rPr>
          <w:rFonts w:ascii="Times New Roman" w:eastAsia="Times New Roman" w:hAnsi="Times New Roman" w:cs="Times New Roman"/>
          <w:i/>
          <w:iCs/>
        </w:rPr>
        <w:t>History of Latin Christianity</w:t>
      </w:r>
      <w:r>
        <w:rPr>
          <w:rFonts w:ascii="Times New Roman" w:eastAsia="Times New Roman" w:hAnsi="Times New Roman" w:cs="Times New Roman"/>
        </w:rPr>
        <w:t>, vol. 6. London.</w:t>
      </w:r>
    </w:p>
    <w:p w14:paraId="7732CEBE" w14:textId="77777777" w:rsidR="006C0266" w:rsidRDefault="006C0266" w:rsidP="00277D69">
      <w:pPr>
        <w:spacing w:after="0" w:line="480" w:lineRule="auto"/>
        <w:jc w:val="both"/>
        <w:rPr>
          <w:rFonts w:ascii="Times New Roman" w:eastAsia="Times New Roman" w:hAnsi="Times New Roman" w:cs="Times New Roman"/>
        </w:rPr>
      </w:pPr>
    </w:p>
    <w:p w14:paraId="73323C32" w14:textId="77777777" w:rsidR="003C03AC" w:rsidRDefault="00290AD8" w:rsidP="00277D69">
      <w:pPr>
        <w:spacing w:after="0" w:line="480" w:lineRule="auto"/>
        <w:jc w:val="both"/>
        <w:rPr>
          <w:rFonts w:ascii="Times New Roman" w:eastAsia="Times New Roman" w:hAnsi="Times New Roman" w:cs="Times New Roman"/>
        </w:rPr>
      </w:pPr>
      <w:proofErr w:type="spellStart"/>
      <w:r>
        <w:rPr>
          <w:rFonts w:ascii="Times New Roman" w:eastAsia="Times New Roman" w:hAnsi="Times New Roman" w:cs="Times New Roman"/>
        </w:rPr>
        <w:t>Mishkova</w:t>
      </w:r>
      <w:proofErr w:type="spellEnd"/>
      <w:r>
        <w:rPr>
          <w:rFonts w:ascii="Times New Roman" w:eastAsia="Times New Roman" w:hAnsi="Times New Roman" w:cs="Times New Roman"/>
        </w:rPr>
        <w:t xml:space="preserve">, D. (2015) 'The afterlife of a commonwealth: Narratives of Byzantium in the national historiographies of Greece, Bulgaria, Serbia and Romania'. In R. Daskalov and A. </w:t>
      </w:r>
      <w:proofErr w:type="spellStart"/>
      <w:r>
        <w:rPr>
          <w:rFonts w:ascii="Times New Roman" w:eastAsia="Times New Roman" w:hAnsi="Times New Roman" w:cs="Times New Roman"/>
        </w:rPr>
        <w:t>Vezenkov</w:t>
      </w:r>
      <w:proofErr w:type="spellEnd"/>
      <w:r>
        <w:rPr>
          <w:rFonts w:ascii="Times New Roman" w:eastAsia="Times New Roman" w:hAnsi="Times New Roman" w:cs="Times New Roman"/>
        </w:rPr>
        <w:t xml:space="preserve"> (eds.) </w:t>
      </w:r>
      <w:r>
        <w:rPr>
          <w:rFonts w:ascii="Times New Roman" w:eastAsia="Times New Roman" w:hAnsi="Times New Roman" w:cs="Times New Roman"/>
          <w:i/>
          <w:iCs/>
        </w:rPr>
        <w:t>Entangled histories of the Balkans: Volume 3, Shared pasts, disputed legacies</w:t>
      </w:r>
      <w:r>
        <w:rPr>
          <w:rFonts w:ascii="Times New Roman" w:eastAsia="Times New Roman" w:hAnsi="Times New Roman" w:cs="Times New Roman"/>
        </w:rPr>
        <w:t>, 118–273. Leiden.</w:t>
      </w:r>
    </w:p>
    <w:p w14:paraId="693C2D97" w14:textId="77777777" w:rsidR="006C0266" w:rsidRDefault="006C0266" w:rsidP="00277D69">
      <w:pPr>
        <w:spacing w:after="0" w:line="480" w:lineRule="auto"/>
        <w:jc w:val="both"/>
        <w:rPr>
          <w:rFonts w:ascii="Times New Roman" w:eastAsia="Times New Roman" w:hAnsi="Times New Roman" w:cs="Times New Roman"/>
        </w:rPr>
      </w:pPr>
    </w:p>
    <w:p w14:paraId="44ADFB8E"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Nelson, R. S. (2004) </w:t>
      </w:r>
      <w:r>
        <w:rPr>
          <w:rFonts w:ascii="Times New Roman" w:eastAsia="Times New Roman" w:hAnsi="Times New Roman" w:cs="Times New Roman"/>
          <w:i/>
          <w:iCs/>
        </w:rPr>
        <w:t>Hagia Sophia, 1850–1950: Holy Wisdom Modern Monument</w:t>
      </w:r>
      <w:r>
        <w:rPr>
          <w:rFonts w:ascii="Times New Roman" w:eastAsia="Times New Roman" w:hAnsi="Times New Roman" w:cs="Times New Roman"/>
        </w:rPr>
        <w:t>. Chicago.</w:t>
      </w:r>
    </w:p>
    <w:p w14:paraId="61986088" w14:textId="77777777" w:rsidR="006C0266" w:rsidRDefault="006C0266" w:rsidP="00277D69">
      <w:pPr>
        <w:spacing w:after="0" w:line="480" w:lineRule="auto"/>
        <w:jc w:val="both"/>
        <w:rPr>
          <w:rFonts w:ascii="Times New Roman" w:eastAsia="Times New Roman" w:hAnsi="Times New Roman" w:cs="Times New Roman"/>
        </w:rPr>
      </w:pPr>
    </w:p>
    <w:p w14:paraId="2DBC3B77"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Nilsson, I. and Stephenson, P. (eds.) (2014) </w:t>
      </w:r>
      <w:r>
        <w:rPr>
          <w:rFonts w:ascii="Times New Roman" w:eastAsia="Times New Roman" w:hAnsi="Times New Roman" w:cs="Times New Roman"/>
          <w:i/>
          <w:iCs/>
        </w:rPr>
        <w:t>Wanted Byzantium: The desire for a lost empire</w:t>
      </w:r>
      <w:r>
        <w:rPr>
          <w:rFonts w:ascii="Times New Roman" w:eastAsia="Times New Roman" w:hAnsi="Times New Roman" w:cs="Times New Roman"/>
        </w:rPr>
        <w:t>. Uppsala.</w:t>
      </w:r>
    </w:p>
    <w:p w14:paraId="294219F3" w14:textId="77777777" w:rsidR="006C0266" w:rsidRDefault="006C0266" w:rsidP="00277D69">
      <w:pPr>
        <w:spacing w:after="0" w:line="480" w:lineRule="auto"/>
        <w:jc w:val="both"/>
        <w:rPr>
          <w:rFonts w:ascii="Times New Roman" w:eastAsia="Times New Roman" w:hAnsi="Times New Roman" w:cs="Times New Roman"/>
        </w:rPr>
      </w:pPr>
    </w:p>
    <w:p w14:paraId="67EA5152"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Obolensky, D. (1982) </w:t>
      </w:r>
      <w:r>
        <w:rPr>
          <w:rFonts w:ascii="Times New Roman" w:eastAsia="Times New Roman" w:hAnsi="Times New Roman" w:cs="Times New Roman"/>
          <w:i/>
          <w:iCs/>
        </w:rPr>
        <w:t>The Byzantine inheritance of Eastern Europe</w:t>
      </w:r>
      <w:r>
        <w:rPr>
          <w:rFonts w:ascii="Times New Roman" w:eastAsia="Times New Roman" w:hAnsi="Times New Roman" w:cs="Times New Roman"/>
        </w:rPr>
        <w:t>. London.</w:t>
      </w:r>
    </w:p>
    <w:p w14:paraId="233EB306" w14:textId="77777777" w:rsidR="006C0266" w:rsidRDefault="006C0266" w:rsidP="00277D69">
      <w:pPr>
        <w:spacing w:after="0" w:line="480" w:lineRule="auto"/>
        <w:jc w:val="both"/>
        <w:rPr>
          <w:rFonts w:ascii="Times New Roman" w:eastAsia="Times New Roman" w:hAnsi="Times New Roman" w:cs="Times New Roman"/>
        </w:rPr>
      </w:pPr>
    </w:p>
    <w:p w14:paraId="3766A6CD" w14:textId="77777777" w:rsidR="003C03AC" w:rsidRDefault="00290AD8" w:rsidP="00277D69">
      <w:pPr>
        <w:spacing w:after="0" w:line="480" w:lineRule="auto"/>
        <w:jc w:val="both"/>
        <w:rPr>
          <w:rFonts w:ascii="Times New Roman" w:eastAsia="Times New Roman" w:hAnsi="Times New Roman" w:cs="Times New Roman"/>
        </w:rPr>
      </w:pPr>
      <w:proofErr w:type="spellStart"/>
      <w:r w:rsidRPr="000E02BD">
        <w:rPr>
          <w:rFonts w:ascii="Times New Roman" w:eastAsia="Times New Roman" w:hAnsi="Times New Roman" w:cs="Times New Roman"/>
          <w:lang w:val="de-DE"/>
        </w:rPr>
        <w:t>Ostrogorsky</w:t>
      </w:r>
      <w:proofErr w:type="spellEnd"/>
      <w:r w:rsidRPr="000E02BD">
        <w:rPr>
          <w:rFonts w:ascii="Times New Roman" w:eastAsia="Times New Roman" w:hAnsi="Times New Roman" w:cs="Times New Roman"/>
          <w:lang w:val="de-DE"/>
        </w:rPr>
        <w:t xml:space="preserve">, G. (1940) </w:t>
      </w:r>
      <w:r w:rsidRPr="000E02BD">
        <w:rPr>
          <w:rFonts w:ascii="Times New Roman" w:eastAsia="Times New Roman" w:hAnsi="Times New Roman" w:cs="Times New Roman"/>
          <w:i/>
          <w:iCs/>
          <w:lang w:val="de-DE"/>
        </w:rPr>
        <w:t>Geschichte des byzantinischen Staates</w:t>
      </w:r>
      <w:r w:rsidRPr="000E02BD">
        <w:rPr>
          <w:rFonts w:ascii="Times New Roman" w:eastAsia="Times New Roman" w:hAnsi="Times New Roman" w:cs="Times New Roman"/>
          <w:lang w:val="de-DE"/>
        </w:rPr>
        <w:t xml:space="preserve">. </w:t>
      </w:r>
      <w:r>
        <w:rPr>
          <w:rFonts w:ascii="Times New Roman" w:eastAsia="Times New Roman" w:hAnsi="Times New Roman" w:cs="Times New Roman"/>
        </w:rPr>
        <w:t>Munich.</w:t>
      </w:r>
    </w:p>
    <w:p w14:paraId="7819D418" w14:textId="77777777" w:rsidR="006C0266" w:rsidRDefault="006C0266" w:rsidP="00277D69">
      <w:pPr>
        <w:spacing w:after="0" w:line="480" w:lineRule="auto"/>
        <w:jc w:val="both"/>
        <w:rPr>
          <w:rFonts w:ascii="Times New Roman" w:eastAsia="Times New Roman" w:hAnsi="Times New Roman" w:cs="Times New Roman"/>
        </w:rPr>
      </w:pPr>
    </w:p>
    <w:p w14:paraId="11EAA3D1"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Pagani, F. (2021) 'Greek identity and ideas of decline in fifteenth-century Byzantium: </w:t>
      </w:r>
      <w:proofErr w:type="spellStart"/>
      <w:r>
        <w:rPr>
          <w:rFonts w:ascii="Times New Roman" w:eastAsia="Times New Roman" w:hAnsi="Times New Roman" w:cs="Times New Roman"/>
        </w:rPr>
        <w:t>Gemistos</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Pletho</w:t>
      </w:r>
      <w:proofErr w:type="spellEnd"/>
      <w:r>
        <w:rPr>
          <w:rFonts w:ascii="Times New Roman" w:eastAsia="Times New Roman" w:hAnsi="Times New Roman" w:cs="Times New Roman"/>
        </w:rPr>
        <w:t xml:space="preserve"> and Bessarion'. In Aschenbrenner and Ransohoff 2021, 225–48.</w:t>
      </w:r>
    </w:p>
    <w:p w14:paraId="719B4F95" w14:textId="77777777" w:rsidR="006C0266" w:rsidRDefault="006C0266" w:rsidP="00277D69">
      <w:pPr>
        <w:spacing w:after="0" w:line="480" w:lineRule="auto"/>
        <w:jc w:val="both"/>
        <w:rPr>
          <w:rFonts w:ascii="Times New Roman" w:eastAsia="Times New Roman" w:hAnsi="Times New Roman" w:cs="Times New Roman"/>
        </w:rPr>
      </w:pPr>
    </w:p>
    <w:p w14:paraId="6E48EBFB" w14:textId="77777777" w:rsidR="003C03AC" w:rsidRDefault="00290AD8" w:rsidP="00277D69">
      <w:pPr>
        <w:spacing w:after="0" w:line="480" w:lineRule="auto"/>
        <w:jc w:val="both"/>
        <w:rPr>
          <w:rFonts w:ascii="Times New Roman" w:eastAsia="Times New Roman" w:hAnsi="Times New Roman" w:cs="Times New Roman"/>
        </w:rPr>
      </w:pPr>
      <w:proofErr w:type="spellStart"/>
      <w:r>
        <w:rPr>
          <w:rFonts w:ascii="Times New Roman" w:eastAsia="Times New Roman" w:hAnsi="Times New Roman" w:cs="Times New Roman"/>
        </w:rPr>
        <w:t>Papaconstantinou</w:t>
      </w:r>
      <w:proofErr w:type="spellEnd"/>
      <w:r>
        <w:rPr>
          <w:rFonts w:ascii="Times New Roman" w:eastAsia="Times New Roman" w:hAnsi="Times New Roman" w:cs="Times New Roman"/>
        </w:rPr>
        <w:t xml:space="preserve">, A. (2023) 'Byzantine and western narratives: A dialogue of empires'. In B. Anderson and M. Ivanova (eds.) </w:t>
      </w:r>
      <w:r>
        <w:rPr>
          <w:rFonts w:ascii="Times New Roman" w:eastAsia="Times New Roman" w:hAnsi="Times New Roman" w:cs="Times New Roman"/>
          <w:i/>
          <w:iCs/>
        </w:rPr>
        <w:t>Is Byzantine studies a colonialist discipline? Toward a critical historiography</w:t>
      </w:r>
      <w:r>
        <w:rPr>
          <w:rFonts w:ascii="Times New Roman" w:eastAsia="Times New Roman" w:hAnsi="Times New Roman" w:cs="Times New Roman"/>
        </w:rPr>
        <w:t>, 111–20. University Park, PA.</w:t>
      </w:r>
    </w:p>
    <w:p w14:paraId="7E91E8E7" w14:textId="77777777" w:rsidR="006C0266" w:rsidRDefault="006C0266" w:rsidP="00277D69">
      <w:pPr>
        <w:spacing w:after="0" w:line="480" w:lineRule="auto"/>
        <w:jc w:val="both"/>
        <w:rPr>
          <w:rFonts w:ascii="Times New Roman" w:eastAsia="Times New Roman" w:hAnsi="Times New Roman" w:cs="Times New Roman"/>
        </w:rPr>
      </w:pPr>
    </w:p>
    <w:p w14:paraId="3EA0D556"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Peers, G. (2010) 'Utopia and Heterotopia: Byzantine Modernism in America'. </w:t>
      </w:r>
      <w:r>
        <w:rPr>
          <w:rFonts w:ascii="Times New Roman" w:eastAsia="Times New Roman" w:hAnsi="Times New Roman" w:cs="Times New Roman"/>
          <w:i/>
          <w:iCs/>
        </w:rPr>
        <w:t>Studies in Medievalism</w:t>
      </w:r>
      <w:r>
        <w:rPr>
          <w:rFonts w:ascii="Times New Roman" w:eastAsia="Times New Roman" w:hAnsi="Times New Roman" w:cs="Times New Roman"/>
        </w:rPr>
        <w:t xml:space="preserve"> XIX: 77–113.</w:t>
      </w:r>
    </w:p>
    <w:p w14:paraId="3B2521FA" w14:textId="77777777" w:rsidR="006C0266" w:rsidRDefault="006C0266" w:rsidP="00277D69">
      <w:pPr>
        <w:spacing w:after="0" w:line="480" w:lineRule="auto"/>
        <w:jc w:val="both"/>
        <w:rPr>
          <w:rFonts w:ascii="Times New Roman" w:eastAsia="Times New Roman" w:hAnsi="Times New Roman" w:cs="Times New Roman"/>
        </w:rPr>
      </w:pPr>
    </w:p>
    <w:p w14:paraId="1A955694"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Ricks, D. and </w:t>
      </w:r>
      <w:proofErr w:type="spellStart"/>
      <w:r>
        <w:rPr>
          <w:rFonts w:ascii="Times New Roman" w:eastAsia="Times New Roman" w:hAnsi="Times New Roman" w:cs="Times New Roman"/>
        </w:rPr>
        <w:t>Magdalino</w:t>
      </w:r>
      <w:proofErr w:type="spellEnd"/>
      <w:r>
        <w:rPr>
          <w:rFonts w:ascii="Times New Roman" w:eastAsia="Times New Roman" w:hAnsi="Times New Roman" w:cs="Times New Roman"/>
        </w:rPr>
        <w:t xml:space="preserve">, P. (eds.) (1998) </w:t>
      </w:r>
      <w:r>
        <w:rPr>
          <w:rFonts w:ascii="Times New Roman" w:eastAsia="Times New Roman" w:hAnsi="Times New Roman" w:cs="Times New Roman"/>
          <w:i/>
          <w:iCs/>
        </w:rPr>
        <w:t>Byzantium and the Modern Greek Identity</w:t>
      </w:r>
      <w:r>
        <w:rPr>
          <w:rFonts w:ascii="Times New Roman" w:eastAsia="Times New Roman" w:hAnsi="Times New Roman" w:cs="Times New Roman"/>
        </w:rPr>
        <w:t>. Aldershot.</w:t>
      </w:r>
    </w:p>
    <w:p w14:paraId="6E272EAD"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Runciman, S. (1976) 'Gibbon and Byzantium'. </w:t>
      </w:r>
      <w:r>
        <w:rPr>
          <w:rFonts w:ascii="Times New Roman" w:eastAsia="Times New Roman" w:hAnsi="Times New Roman" w:cs="Times New Roman"/>
          <w:i/>
          <w:iCs/>
        </w:rPr>
        <w:t>Daedalus</w:t>
      </w:r>
      <w:r>
        <w:rPr>
          <w:rFonts w:ascii="Times New Roman" w:eastAsia="Times New Roman" w:hAnsi="Times New Roman" w:cs="Times New Roman"/>
        </w:rPr>
        <w:t xml:space="preserve"> 105 (3): 103–10.</w:t>
      </w:r>
    </w:p>
    <w:p w14:paraId="7036848D" w14:textId="77777777" w:rsidR="006C0266" w:rsidRDefault="006C0266" w:rsidP="00277D69">
      <w:pPr>
        <w:spacing w:after="0" w:line="480" w:lineRule="auto"/>
        <w:jc w:val="both"/>
        <w:rPr>
          <w:rFonts w:ascii="Times New Roman" w:eastAsia="Times New Roman" w:hAnsi="Times New Roman" w:cs="Times New Roman"/>
        </w:rPr>
      </w:pPr>
    </w:p>
    <w:p w14:paraId="76881007" w14:textId="77777777" w:rsidR="006C0266" w:rsidRDefault="006C0266" w:rsidP="00277D69">
      <w:pPr>
        <w:spacing w:after="0" w:line="480" w:lineRule="auto"/>
        <w:jc w:val="both"/>
        <w:rPr>
          <w:rFonts w:ascii="Times New Roman" w:eastAsia="Times New Roman" w:hAnsi="Times New Roman" w:cs="Times New Roman"/>
        </w:rPr>
      </w:pPr>
    </w:p>
    <w:p w14:paraId="5CDBD1A8"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Savvides, A. G. C. (2018) </w:t>
      </w:r>
      <w:r>
        <w:rPr>
          <w:rFonts w:ascii="Times New Roman" w:eastAsia="Times New Roman" w:hAnsi="Times New Roman" w:cs="Times New Roman"/>
          <w:i/>
          <w:iCs/>
        </w:rPr>
        <w:t>The beginnings and foundation of Byzantine studies: A survey with a bibliographical appendix</w:t>
      </w:r>
      <w:r>
        <w:rPr>
          <w:rFonts w:ascii="Times New Roman" w:eastAsia="Times New Roman" w:hAnsi="Times New Roman" w:cs="Times New Roman"/>
        </w:rPr>
        <w:t>. Athens.</w:t>
      </w:r>
    </w:p>
    <w:p w14:paraId="7806F045" w14:textId="77777777" w:rsidR="006C0266" w:rsidRDefault="006C0266" w:rsidP="00277D69">
      <w:pPr>
        <w:spacing w:after="0" w:line="480" w:lineRule="auto"/>
        <w:jc w:val="both"/>
        <w:rPr>
          <w:rFonts w:ascii="Times New Roman" w:eastAsia="Times New Roman" w:hAnsi="Times New Roman" w:cs="Times New Roman"/>
        </w:rPr>
      </w:pPr>
    </w:p>
    <w:p w14:paraId="3D3C89E4"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Shawcross, T. (2021) 'Editing, lexicography, and history under Louis XIV: Charles Du </w:t>
      </w:r>
      <w:proofErr w:type="spellStart"/>
      <w:r>
        <w:rPr>
          <w:rFonts w:ascii="Times New Roman" w:eastAsia="Times New Roman" w:hAnsi="Times New Roman" w:cs="Times New Roman"/>
        </w:rPr>
        <w:t>Cange</w:t>
      </w:r>
      <w:proofErr w:type="spellEnd"/>
      <w:r>
        <w:rPr>
          <w:rFonts w:ascii="Times New Roman" w:eastAsia="Times New Roman" w:hAnsi="Times New Roman" w:cs="Times New Roman"/>
        </w:rPr>
        <w:t xml:space="preserve"> and La byzantine du Louvre'. In N. Aschenbrenner and J. Ransohoff (eds.) </w:t>
      </w:r>
      <w:r>
        <w:rPr>
          <w:rFonts w:ascii="Times New Roman" w:eastAsia="Times New Roman" w:hAnsi="Times New Roman" w:cs="Times New Roman"/>
          <w:i/>
          <w:iCs/>
        </w:rPr>
        <w:t>The invention of Byzantium in early modern Europe</w:t>
      </w:r>
      <w:r>
        <w:rPr>
          <w:rFonts w:ascii="Times New Roman" w:eastAsia="Times New Roman" w:hAnsi="Times New Roman" w:cs="Times New Roman"/>
        </w:rPr>
        <w:t>, 143–80. Washington, DC.</w:t>
      </w:r>
    </w:p>
    <w:p w14:paraId="5682CF5C" w14:textId="77777777" w:rsidR="006C0266" w:rsidRDefault="006C0266" w:rsidP="00277D69">
      <w:pPr>
        <w:spacing w:after="0" w:line="480" w:lineRule="auto"/>
        <w:jc w:val="both"/>
        <w:rPr>
          <w:rFonts w:ascii="Times New Roman" w:eastAsia="Times New Roman" w:hAnsi="Times New Roman" w:cs="Times New Roman"/>
        </w:rPr>
      </w:pPr>
    </w:p>
    <w:p w14:paraId="7359ECF6" w14:textId="77777777" w:rsidR="003C03AC" w:rsidRDefault="00290AD8" w:rsidP="00277D69">
      <w:pPr>
        <w:spacing w:after="0" w:line="480" w:lineRule="auto"/>
        <w:jc w:val="both"/>
        <w:rPr>
          <w:rFonts w:ascii="Times New Roman" w:eastAsia="Times New Roman" w:hAnsi="Times New Roman" w:cs="Times New Roman"/>
        </w:rPr>
      </w:pPr>
      <w:proofErr w:type="spellStart"/>
      <w:r>
        <w:rPr>
          <w:rFonts w:ascii="Times New Roman" w:eastAsia="Times New Roman" w:hAnsi="Times New Roman" w:cs="Times New Roman"/>
        </w:rPr>
        <w:t>Siniossoglou</w:t>
      </w:r>
      <w:proofErr w:type="spellEnd"/>
      <w:r>
        <w:rPr>
          <w:rFonts w:ascii="Times New Roman" w:eastAsia="Times New Roman" w:hAnsi="Times New Roman" w:cs="Times New Roman"/>
        </w:rPr>
        <w:t xml:space="preserve">, N. (2011) </w:t>
      </w:r>
      <w:r>
        <w:rPr>
          <w:rFonts w:ascii="Times New Roman" w:eastAsia="Times New Roman" w:hAnsi="Times New Roman" w:cs="Times New Roman"/>
          <w:i/>
          <w:iCs/>
        </w:rPr>
        <w:t xml:space="preserve">Radical Platonism in Byzantium: Illumination and utopia in </w:t>
      </w:r>
      <w:proofErr w:type="spellStart"/>
      <w:r>
        <w:rPr>
          <w:rFonts w:ascii="Times New Roman" w:eastAsia="Times New Roman" w:hAnsi="Times New Roman" w:cs="Times New Roman"/>
          <w:i/>
          <w:iCs/>
        </w:rPr>
        <w:t>Gemistos</w:t>
      </w:r>
      <w:proofErr w:type="spellEnd"/>
      <w:r>
        <w:rPr>
          <w:rFonts w:ascii="Times New Roman" w:eastAsia="Times New Roman" w:hAnsi="Times New Roman" w:cs="Times New Roman"/>
          <w:i/>
          <w:iCs/>
        </w:rPr>
        <w:t xml:space="preserve"> </w:t>
      </w:r>
      <w:proofErr w:type="spellStart"/>
      <w:r>
        <w:rPr>
          <w:rFonts w:ascii="Times New Roman" w:eastAsia="Times New Roman" w:hAnsi="Times New Roman" w:cs="Times New Roman"/>
          <w:i/>
          <w:iCs/>
        </w:rPr>
        <w:t>Plethon</w:t>
      </w:r>
      <w:proofErr w:type="spellEnd"/>
      <w:r>
        <w:rPr>
          <w:rFonts w:ascii="Times New Roman" w:eastAsia="Times New Roman" w:hAnsi="Times New Roman" w:cs="Times New Roman"/>
        </w:rPr>
        <w:t>. Cambridge.</w:t>
      </w:r>
    </w:p>
    <w:p w14:paraId="5BE492D3" w14:textId="77777777" w:rsidR="006C0266" w:rsidRDefault="006C0266" w:rsidP="00277D69">
      <w:pPr>
        <w:spacing w:after="0" w:line="480" w:lineRule="auto"/>
        <w:jc w:val="both"/>
        <w:rPr>
          <w:rFonts w:ascii="Times New Roman" w:eastAsia="Times New Roman" w:hAnsi="Times New Roman" w:cs="Times New Roman"/>
        </w:rPr>
      </w:pPr>
    </w:p>
    <w:p w14:paraId="6AE1936C"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Sjösvärd, T. (2014) 'Perne in a gyre: The poetic representation of an ideal state in the Byzantine poems of W.B. Yeats'. In Nilsson and Stephenson 2014, 125–42.</w:t>
      </w:r>
    </w:p>
    <w:p w14:paraId="6AE19037" w14:textId="77777777" w:rsidR="006C0266" w:rsidRDefault="006C0266" w:rsidP="00277D69">
      <w:pPr>
        <w:spacing w:after="0" w:line="480" w:lineRule="auto"/>
        <w:jc w:val="both"/>
        <w:rPr>
          <w:rFonts w:ascii="Times New Roman" w:eastAsia="Times New Roman" w:hAnsi="Times New Roman" w:cs="Times New Roman"/>
        </w:rPr>
      </w:pPr>
    </w:p>
    <w:p w14:paraId="6A668317" w14:textId="77777777" w:rsidR="003C03AC" w:rsidRDefault="00290AD8" w:rsidP="00277D69">
      <w:pPr>
        <w:spacing w:after="0" w:line="480" w:lineRule="auto"/>
        <w:jc w:val="both"/>
        <w:rPr>
          <w:rFonts w:ascii="Times New Roman" w:eastAsia="Times New Roman" w:hAnsi="Times New Roman" w:cs="Times New Roman"/>
        </w:rPr>
      </w:pPr>
      <w:proofErr w:type="spellStart"/>
      <w:r>
        <w:rPr>
          <w:rFonts w:ascii="Times New Roman" w:eastAsia="Times New Roman" w:hAnsi="Times New Roman" w:cs="Times New Roman"/>
        </w:rPr>
        <w:t>Spieser</w:t>
      </w:r>
      <w:proofErr w:type="spellEnd"/>
      <w:r>
        <w:rPr>
          <w:rFonts w:ascii="Times New Roman" w:eastAsia="Times New Roman" w:hAnsi="Times New Roman" w:cs="Times New Roman"/>
        </w:rPr>
        <w:t xml:space="preserve">, J. (2000) 'Du </w:t>
      </w:r>
      <w:proofErr w:type="spellStart"/>
      <w:r>
        <w:rPr>
          <w:rFonts w:ascii="Times New Roman" w:eastAsia="Times New Roman" w:hAnsi="Times New Roman" w:cs="Times New Roman"/>
        </w:rPr>
        <w:t>Cange</w:t>
      </w:r>
      <w:proofErr w:type="spellEnd"/>
      <w:r>
        <w:rPr>
          <w:rFonts w:ascii="Times New Roman" w:eastAsia="Times New Roman" w:hAnsi="Times New Roman" w:cs="Times New Roman"/>
        </w:rPr>
        <w:t xml:space="preserve"> and Byzantium'. In Cormack and Jeffries 2000, 199–210.</w:t>
      </w:r>
    </w:p>
    <w:p w14:paraId="79C005F5" w14:textId="77777777" w:rsidR="006C0266" w:rsidRDefault="006C0266" w:rsidP="00277D69">
      <w:pPr>
        <w:spacing w:after="0" w:line="480" w:lineRule="auto"/>
        <w:jc w:val="both"/>
        <w:rPr>
          <w:rFonts w:ascii="Times New Roman" w:eastAsia="Times New Roman" w:hAnsi="Times New Roman" w:cs="Times New Roman"/>
        </w:rPr>
      </w:pPr>
    </w:p>
    <w:p w14:paraId="56B18AD4"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Stephenson, P. (ed.) (2010) </w:t>
      </w:r>
      <w:r>
        <w:rPr>
          <w:rFonts w:ascii="Times New Roman" w:eastAsia="Times New Roman" w:hAnsi="Times New Roman" w:cs="Times New Roman"/>
          <w:i/>
          <w:iCs/>
        </w:rPr>
        <w:t>The Byzantine World</w:t>
      </w:r>
      <w:r>
        <w:rPr>
          <w:rFonts w:ascii="Times New Roman" w:eastAsia="Times New Roman" w:hAnsi="Times New Roman" w:cs="Times New Roman"/>
        </w:rPr>
        <w:t>. London.</w:t>
      </w:r>
    </w:p>
    <w:p w14:paraId="7427C68C" w14:textId="77777777" w:rsidR="006C0266" w:rsidRDefault="006C0266" w:rsidP="00277D69">
      <w:pPr>
        <w:spacing w:after="0" w:line="480" w:lineRule="auto"/>
        <w:jc w:val="both"/>
        <w:rPr>
          <w:rFonts w:ascii="Times New Roman" w:eastAsia="Times New Roman" w:hAnsi="Times New Roman" w:cs="Times New Roman"/>
        </w:rPr>
      </w:pPr>
    </w:p>
    <w:p w14:paraId="34F8D967" w14:textId="77777777" w:rsidR="003C03AC" w:rsidRDefault="00290AD8" w:rsidP="00277D69">
      <w:pPr>
        <w:spacing w:after="0" w:line="480" w:lineRule="auto"/>
        <w:jc w:val="both"/>
        <w:rPr>
          <w:rFonts w:ascii="Times New Roman" w:eastAsia="Times New Roman" w:hAnsi="Times New Roman" w:cs="Times New Roman"/>
        </w:rPr>
      </w:pPr>
      <w:proofErr w:type="spellStart"/>
      <w:r>
        <w:rPr>
          <w:rFonts w:ascii="Times New Roman" w:eastAsia="Times New Roman" w:hAnsi="Times New Roman" w:cs="Times New Roman"/>
        </w:rPr>
        <w:t>Stouraitis</w:t>
      </w:r>
      <w:proofErr w:type="spellEnd"/>
      <w:r>
        <w:rPr>
          <w:rFonts w:ascii="Times New Roman" w:eastAsia="Times New Roman" w:hAnsi="Times New Roman" w:cs="Times New Roman"/>
        </w:rPr>
        <w:t xml:space="preserve">, Y. (2014) 'Roman identity in Byzantium: A critical approach'. </w:t>
      </w:r>
      <w:r>
        <w:rPr>
          <w:rFonts w:ascii="Times New Roman" w:eastAsia="Times New Roman" w:hAnsi="Times New Roman" w:cs="Times New Roman"/>
          <w:i/>
          <w:iCs/>
        </w:rPr>
        <w:t>BZ</w:t>
      </w:r>
      <w:r>
        <w:rPr>
          <w:rFonts w:ascii="Times New Roman" w:eastAsia="Times New Roman" w:hAnsi="Times New Roman" w:cs="Times New Roman"/>
        </w:rPr>
        <w:t xml:space="preserve"> 107 (1): 175–220.</w:t>
      </w:r>
    </w:p>
    <w:p w14:paraId="49B917AA" w14:textId="77777777" w:rsidR="006C0266" w:rsidRDefault="006C0266" w:rsidP="00277D69">
      <w:pPr>
        <w:spacing w:after="0" w:line="480" w:lineRule="auto"/>
        <w:jc w:val="both"/>
        <w:rPr>
          <w:rFonts w:ascii="Times New Roman" w:eastAsia="Times New Roman" w:hAnsi="Times New Roman" w:cs="Times New Roman"/>
        </w:rPr>
      </w:pPr>
    </w:p>
    <w:p w14:paraId="5CCDA707"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Susak, V. (2010) </w:t>
      </w:r>
      <w:r>
        <w:rPr>
          <w:rFonts w:ascii="Times New Roman" w:eastAsia="Times New Roman" w:hAnsi="Times New Roman" w:cs="Times New Roman"/>
          <w:i/>
          <w:iCs/>
        </w:rPr>
        <w:t>Ukrainian Artists in Paris. 1900–39</w:t>
      </w:r>
      <w:r>
        <w:rPr>
          <w:rFonts w:ascii="Times New Roman" w:eastAsia="Times New Roman" w:hAnsi="Times New Roman" w:cs="Times New Roman"/>
        </w:rPr>
        <w:t>. Kyiv.</w:t>
      </w:r>
    </w:p>
    <w:p w14:paraId="588DA251" w14:textId="77777777" w:rsidR="006C0266" w:rsidRDefault="006C0266" w:rsidP="00277D69">
      <w:pPr>
        <w:spacing w:after="0" w:line="480" w:lineRule="auto"/>
        <w:jc w:val="both"/>
        <w:rPr>
          <w:rFonts w:ascii="Times New Roman" w:eastAsia="Times New Roman" w:hAnsi="Times New Roman" w:cs="Times New Roman"/>
        </w:rPr>
      </w:pPr>
    </w:p>
    <w:p w14:paraId="4C98D10C" w14:textId="77777777" w:rsidR="003C03AC" w:rsidRDefault="00290AD8" w:rsidP="00277D69">
      <w:p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Vasiliev, A. A. (1952) </w:t>
      </w:r>
      <w:r>
        <w:rPr>
          <w:rFonts w:ascii="Times New Roman" w:eastAsia="Times New Roman" w:hAnsi="Times New Roman" w:cs="Times New Roman"/>
          <w:i/>
          <w:iCs/>
        </w:rPr>
        <w:t>History of the Byzantine Empire, 324–1453</w:t>
      </w:r>
      <w:r>
        <w:rPr>
          <w:rFonts w:ascii="Times New Roman" w:eastAsia="Times New Roman" w:hAnsi="Times New Roman" w:cs="Times New Roman"/>
        </w:rPr>
        <w:t xml:space="preserve">, 2nd </w:t>
      </w:r>
      <w:proofErr w:type="spellStart"/>
      <w:r>
        <w:rPr>
          <w:rFonts w:ascii="Times New Roman" w:eastAsia="Times New Roman" w:hAnsi="Times New Roman" w:cs="Times New Roman"/>
        </w:rPr>
        <w:t>edn</w:t>
      </w:r>
      <w:proofErr w:type="spellEnd"/>
      <w:r>
        <w:rPr>
          <w:rFonts w:ascii="Times New Roman" w:eastAsia="Times New Roman" w:hAnsi="Times New Roman" w:cs="Times New Roman"/>
        </w:rPr>
        <w:t>, 2 vols. Madison, WI.</w:t>
      </w:r>
    </w:p>
    <w:p w14:paraId="1D98881D" w14:textId="77777777" w:rsidR="006C0266" w:rsidRDefault="006C0266" w:rsidP="00277D69">
      <w:pPr>
        <w:spacing w:after="0" w:line="480" w:lineRule="auto"/>
        <w:jc w:val="both"/>
        <w:rPr>
          <w:rFonts w:ascii="Times New Roman" w:eastAsia="Times New Roman" w:hAnsi="Times New Roman" w:cs="Times New Roman"/>
        </w:rPr>
      </w:pPr>
    </w:p>
    <w:p w14:paraId="7FAA7056" w14:textId="77777777" w:rsidR="003C03AC" w:rsidRPr="000E02BD" w:rsidRDefault="00290AD8" w:rsidP="00277D69">
      <w:pPr>
        <w:spacing w:after="0" w:line="480" w:lineRule="auto"/>
        <w:jc w:val="both"/>
        <w:rPr>
          <w:rFonts w:ascii="Times New Roman" w:eastAsia="Times New Roman" w:hAnsi="Times New Roman" w:cs="Times New Roman"/>
          <w:lang w:val="fr-FR"/>
        </w:rPr>
      </w:pPr>
      <w:proofErr w:type="spellStart"/>
      <w:r>
        <w:rPr>
          <w:rFonts w:ascii="Times New Roman" w:eastAsia="Times New Roman" w:hAnsi="Times New Roman" w:cs="Times New Roman"/>
        </w:rPr>
        <w:t>Vilimonović</w:t>
      </w:r>
      <w:proofErr w:type="spellEnd"/>
      <w:r>
        <w:rPr>
          <w:rFonts w:ascii="Times New Roman" w:eastAsia="Times New Roman" w:hAnsi="Times New Roman" w:cs="Times New Roman"/>
        </w:rPr>
        <w:t xml:space="preserve">, L. and </w:t>
      </w:r>
      <w:proofErr w:type="spellStart"/>
      <w:r>
        <w:rPr>
          <w:rFonts w:ascii="Times New Roman" w:eastAsia="Times New Roman" w:hAnsi="Times New Roman" w:cs="Times New Roman"/>
        </w:rPr>
        <w:t>Repajić</w:t>
      </w:r>
      <w:proofErr w:type="spellEnd"/>
      <w:r>
        <w:rPr>
          <w:rFonts w:ascii="Times New Roman" w:eastAsia="Times New Roman" w:hAnsi="Times New Roman" w:cs="Times New Roman"/>
        </w:rPr>
        <w:t xml:space="preserve">, M. (2016) 'Introduction: Why Byzantium?' In L. </w:t>
      </w:r>
      <w:proofErr w:type="spellStart"/>
      <w:r>
        <w:rPr>
          <w:rFonts w:ascii="Times New Roman" w:eastAsia="Times New Roman" w:hAnsi="Times New Roman" w:cs="Times New Roman"/>
        </w:rPr>
        <w:t>Vilimonović</w:t>
      </w:r>
      <w:proofErr w:type="spellEnd"/>
      <w:r>
        <w:rPr>
          <w:rFonts w:ascii="Times New Roman" w:eastAsia="Times New Roman" w:hAnsi="Times New Roman" w:cs="Times New Roman"/>
        </w:rPr>
        <w:t xml:space="preserve"> and M. </w:t>
      </w:r>
      <w:proofErr w:type="spellStart"/>
      <w:r>
        <w:rPr>
          <w:rFonts w:ascii="Times New Roman" w:eastAsia="Times New Roman" w:hAnsi="Times New Roman" w:cs="Times New Roman"/>
        </w:rPr>
        <w:t>Repajić</w:t>
      </w:r>
      <w:proofErr w:type="spellEnd"/>
      <w:r>
        <w:rPr>
          <w:rFonts w:ascii="Times New Roman" w:eastAsia="Times New Roman" w:hAnsi="Times New Roman" w:cs="Times New Roman"/>
        </w:rPr>
        <w:t xml:space="preserve"> (eds.) </w:t>
      </w:r>
      <w:r>
        <w:rPr>
          <w:rFonts w:ascii="Times New Roman" w:eastAsia="Times New Roman" w:hAnsi="Times New Roman" w:cs="Times New Roman"/>
          <w:i/>
          <w:iCs/>
        </w:rPr>
        <w:t xml:space="preserve">The Making and Remaking of Byzantium. </w:t>
      </w:r>
      <w:r w:rsidRPr="000E02BD">
        <w:rPr>
          <w:rFonts w:ascii="Times New Roman" w:eastAsia="Times New Roman" w:hAnsi="Times New Roman" w:cs="Times New Roman"/>
          <w:i/>
          <w:iCs/>
          <w:lang w:val="fr-FR"/>
        </w:rPr>
        <w:t>Limes Plus</w:t>
      </w:r>
      <w:r w:rsidRPr="000E02BD">
        <w:rPr>
          <w:rFonts w:ascii="Times New Roman" w:eastAsia="Times New Roman" w:hAnsi="Times New Roman" w:cs="Times New Roman"/>
          <w:lang w:val="fr-FR"/>
        </w:rPr>
        <w:t xml:space="preserve"> 13 (2): 5–21.</w:t>
      </w:r>
    </w:p>
    <w:p w14:paraId="48A48F19" w14:textId="77777777" w:rsidR="006C0266" w:rsidRPr="000E02BD" w:rsidRDefault="006C0266" w:rsidP="00277D69">
      <w:pPr>
        <w:spacing w:after="0" w:line="480" w:lineRule="auto"/>
        <w:jc w:val="both"/>
        <w:rPr>
          <w:rFonts w:ascii="Times New Roman" w:eastAsia="Times New Roman" w:hAnsi="Times New Roman" w:cs="Times New Roman"/>
          <w:lang w:val="fr-FR"/>
        </w:rPr>
      </w:pPr>
    </w:p>
    <w:p w14:paraId="6C1295A9" w14:textId="77777777" w:rsidR="003C03AC" w:rsidRDefault="00290AD8" w:rsidP="00277D69">
      <w:pPr>
        <w:spacing w:after="0" w:line="480" w:lineRule="auto"/>
        <w:jc w:val="both"/>
        <w:rPr>
          <w:rFonts w:ascii="Times New Roman" w:eastAsia="Times New Roman" w:hAnsi="Times New Roman" w:cs="Times New Roman"/>
        </w:rPr>
      </w:pPr>
      <w:proofErr w:type="spellStart"/>
      <w:r w:rsidRPr="000E02BD">
        <w:rPr>
          <w:rFonts w:ascii="Times New Roman" w:eastAsia="Times New Roman" w:hAnsi="Times New Roman" w:cs="Times New Roman"/>
          <w:lang w:val="fr-FR"/>
        </w:rPr>
        <w:t>Yérasimos</w:t>
      </w:r>
      <w:proofErr w:type="spellEnd"/>
      <w:r w:rsidRPr="000E02BD">
        <w:rPr>
          <w:rFonts w:ascii="Times New Roman" w:eastAsia="Times New Roman" w:hAnsi="Times New Roman" w:cs="Times New Roman"/>
          <w:lang w:val="fr-FR"/>
        </w:rPr>
        <w:t xml:space="preserve">, S. (2003) 'Byzance dans les chroniques ottomanes (XIVe–XVIe siècle)'. </w:t>
      </w:r>
      <w:r>
        <w:rPr>
          <w:rFonts w:ascii="Times New Roman" w:eastAsia="Times New Roman" w:hAnsi="Times New Roman" w:cs="Times New Roman"/>
        </w:rPr>
        <w:t xml:space="preserve">In M.-F. </w:t>
      </w:r>
      <w:proofErr w:type="spellStart"/>
      <w:r>
        <w:rPr>
          <w:rFonts w:ascii="Times New Roman" w:eastAsia="Times New Roman" w:hAnsi="Times New Roman" w:cs="Times New Roman"/>
        </w:rPr>
        <w:t>Auzépy</w:t>
      </w:r>
      <w:proofErr w:type="spellEnd"/>
      <w:r>
        <w:rPr>
          <w:rFonts w:ascii="Times New Roman" w:eastAsia="Times New Roman" w:hAnsi="Times New Roman" w:cs="Times New Roman"/>
        </w:rPr>
        <w:t xml:space="preserve"> 2003, 19–30.</w:t>
      </w:r>
    </w:p>
    <w:p w14:paraId="20045D99" w14:textId="77777777" w:rsidR="006C0266" w:rsidRDefault="006C0266" w:rsidP="00277D69">
      <w:pPr>
        <w:spacing w:after="0" w:line="480" w:lineRule="auto"/>
        <w:jc w:val="both"/>
        <w:rPr>
          <w:rFonts w:ascii="Times New Roman" w:eastAsia="Times New Roman" w:hAnsi="Times New Roman" w:cs="Times New Roman"/>
        </w:rPr>
      </w:pPr>
    </w:p>
    <w:p w14:paraId="62876AF5" w14:textId="77777777" w:rsidR="003C03AC" w:rsidRDefault="00290AD8" w:rsidP="00277D69">
      <w:pPr>
        <w:spacing w:after="0" w:line="480" w:lineRule="auto"/>
        <w:jc w:val="both"/>
        <w:rPr>
          <w:rFonts w:ascii="Times New Roman" w:eastAsia="Times New Roman" w:hAnsi="Times New Roman" w:cs="Times New Roman"/>
        </w:rPr>
      </w:pPr>
      <w:proofErr w:type="spellStart"/>
      <w:r>
        <w:rPr>
          <w:rFonts w:ascii="Times New Roman" w:eastAsia="Times New Roman" w:hAnsi="Times New Roman" w:cs="Times New Roman"/>
        </w:rPr>
        <w:t>Yiannias</w:t>
      </w:r>
      <w:proofErr w:type="spellEnd"/>
      <w:r>
        <w:rPr>
          <w:rFonts w:ascii="Times New Roman" w:eastAsia="Times New Roman" w:hAnsi="Times New Roman" w:cs="Times New Roman"/>
        </w:rPr>
        <w:t xml:space="preserve">, J. J. (ed.) (1991) </w:t>
      </w:r>
      <w:r>
        <w:rPr>
          <w:rFonts w:ascii="Times New Roman" w:eastAsia="Times New Roman" w:hAnsi="Times New Roman" w:cs="Times New Roman"/>
          <w:i/>
          <w:iCs/>
        </w:rPr>
        <w:t>The Byzantine tradition after the fall of Constantinople</w:t>
      </w:r>
      <w:r>
        <w:rPr>
          <w:rFonts w:ascii="Times New Roman" w:eastAsia="Times New Roman" w:hAnsi="Times New Roman" w:cs="Times New Roman"/>
        </w:rPr>
        <w:t>. Charlottesville, VA.</w:t>
      </w:r>
    </w:p>
    <w:p w14:paraId="001F1193" w14:textId="77777777" w:rsidR="003C03AC" w:rsidRDefault="003C03AC" w:rsidP="00277D69">
      <w:pPr>
        <w:spacing w:after="0" w:line="480" w:lineRule="auto"/>
        <w:rPr>
          <w:rFonts w:ascii="Times New Roman" w:eastAsia="Times New Roman" w:hAnsi="Times New Roman" w:cs="Times New Roman"/>
          <w:b/>
          <w:bCs/>
          <w:highlight w:val="yellow"/>
        </w:rPr>
      </w:pPr>
    </w:p>
    <w:sectPr w:rsidR="003C03AC" w:rsidSect="00CC7EAE">
      <w:footerReference w:type="default" r:id="rId10"/>
      <w:endnotePr>
        <w:numFmt w:val="decimal"/>
      </w:endnotePr>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78A9C" w14:textId="77777777" w:rsidR="00F52669" w:rsidRDefault="00F52669">
      <w:pPr>
        <w:spacing w:after="0" w:line="240" w:lineRule="auto"/>
      </w:pPr>
      <w:r>
        <w:separator/>
      </w:r>
    </w:p>
  </w:endnote>
  <w:endnote w:type="continuationSeparator" w:id="0">
    <w:p w14:paraId="3803AC83" w14:textId="77777777" w:rsidR="00F52669" w:rsidRDefault="00F52669">
      <w:pPr>
        <w:spacing w:after="0" w:line="240" w:lineRule="auto"/>
      </w:pPr>
      <w:r>
        <w:continuationSeparator/>
      </w:r>
    </w:p>
  </w:endnote>
  <w:endnote w:id="1">
    <w:p w14:paraId="32A6C717"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EndnoteReference"/>
        </w:rPr>
        <w:endnoteRef/>
      </w:r>
      <w:r w:rsidRPr="000E02BD">
        <w:rPr>
          <w:rFonts w:ascii="Times New Roman" w:eastAsia="Times New Roman" w:hAnsi="Times New Roman" w:cs="Times New Roman"/>
          <w:color w:val="000000"/>
          <w:sz w:val="20"/>
          <w:szCs w:val="20"/>
          <w:lang w:val="de-DE"/>
        </w:rPr>
        <w:t xml:space="preserve"> On Wolf, see Beck 1984; Reinsch 2016; Aschenbrenner &amp; Ransohoff 2023. </w:t>
      </w:r>
      <w:r>
        <w:rPr>
          <w:rFonts w:ascii="Times New Roman" w:eastAsia="Times New Roman" w:hAnsi="Times New Roman" w:cs="Times New Roman"/>
          <w:color w:val="000000"/>
          <w:sz w:val="20"/>
          <w:szCs w:val="20"/>
        </w:rPr>
        <w:t xml:space="preserve">Wolf occupies a seminal position in Byzantine reception studies through </w:t>
      </w:r>
      <w:r>
        <w:rPr>
          <w:rFonts w:ascii="Times New Roman" w:eastAsia="Times New Roman" w:hAnsi="Times New Roman" w:cs="Times New Roman"/>
          <w:sz w:val="20"/>
          <w:szCs w:val="20"/>
        </w:rPr>
        <w:t xml:space="preserve">his </w:t>
      </w:r>
      <w:r>
        <w:rPr>
          <w:rFonts w:ascii="Times New Roman" w:eastAsia="Times New Roman" w:hAnsi="Times New Roman" w:cs="Times New Roman"/>
          <w:color w:val="000000"/>
          <w:sz w:val="20"/>
          <w:szCs w:val="20"/>
        </w:rPr>
        <w:t xml:space="preserve">edition of Byzantine writers of 1562, the </w:t>
      </w:r>
      <w:r>
        <w:rPr>
          <w:rFonts w:ascii="Times New Roman" w:eastAsia="Times New Roman" w:hAnsi="Times New Roman" w:cs="Times New Roman"/>
          <w:i/>
          <w:iCs/>
          <w:color w:val="000000"/>
          <w:sz w:val="20"/>
          <w:szCs w:val="20"/>
        </w:rPr>
        <w:t>Corpus Byzantinae Historiae</w:t>
      </w:r>
      <w:r>
        <w:rPr>
          <w:rFonts w:ascii="Times New Roman" w:eastAsia="Times New Roman" w:hAnsi="Times New Roman" w:cs="Times New Roman"/>
          <w:color w:val="000000"/>
          <w:sz w:val="20"/>
          <w:szCs w:val="20"/>
        </w:rPr>
        <w:t>.</w:t>
      </w:r>
    </w:p>
  </w:endnote>
  <w:endnote w:id="2">
    <w:p w14:paraId="433098C5"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The term was originally coined by American literary critic and cultural historian Van Wyck Brooks, an American literary critic and, in his 1918 essay "On Creating a Usable Past."</w:t>
      </w:r>
    </w:p>
  </w:endnote>
  <w:endnote w:id="3">
    <w:p w14:paraId="3A61881F"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EndnoteReference"/>
        </w:rPr>
        <w:endnoteRef/>
      </w:r>
      <w:r>
        <w:rPr>
          <w:rFonts w:ascii="Times New Roman" w:eastAsia="Times New Roman" w:hAnsi="Times New Roman" w:cs="Times New Roman"/>
          <w:color w:val="000000"/>
          <w:sz w:val="20"/>
          <w:szCs w:val="20"/>
        </w:rPr>
        <w:t xml:space="preserve">  Neville 2025: 1.</w:t>
      </w:r>
    </w:p>
  </w:endnote>
  <w:endnote w:id="4">
    <w:p w14:paraId="4AAFDCD6"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EndnoteReference"/>
        </w:rPr>
        <w:endnoteRef/>
      </w:r>
      <w:r>
        <w:rPr>
          <w:rFonts w:ascii="Times New Roman" w:eastAsia="Times New Roman" w:hAnsi="Times New Roman" w:cs="Times New Roman"/>
          <w:color w:val="000000"/>
          <w:sz w:val="20"/>
          <w:szCs w:val="20"/>
        </w:rPr>
        <w:t xml:space="preserve"> See Bolman, Johnson &amp; Tannous 2024 for an effective challenge to limited definitions of ‘Byzantium’ which argues that “that linguistic and cultural frontiers do not always coincide with political ones”; their expanded scope includes the history of Christian populations in the Muslim-ruled Middle East and neighbouring states like Ethiopia and Armenia</w:t>
      </w:r>
      <w:r>
        <w:rPr>
          <w:rFonts w:ascii="Times New Roman" w:eastAsia="Times New Roman" w:hAnsi="Times New Roman" w:cs="Times New Roman"/>
          <w:sz w:val="20"/>
          <w:szCs w:val="20"/>
        </w:rPr>
        <w:t xml:space="preserve">. They </w:t>
      </w:r>
      <w:r>
        <w:rPr>
          <w:rFonts w:ascii="Times New Roman" w:eastAsia="Times New Roman" w:hAnsi="Times New Roman" w:cs="Times New Roman"/>
          <w:color w:val="000000"/>
          <w:sz w:val="20"/>
          <w:szCs w:val="20"/>
        </w:rPr>
        <w:t>model greater interdisciplinary and methodological flexibility in integrating more closely with Judaic and Islamic studies</w:t>
      </w:r>
      <w:r>
        <w:rPr>
          <w:rFonts w:ascii="Times New Roman" w:eastAsia="Times New Roman" w:hAnsi="Times New Roman" w:cs="Times New Roman"/>
          <w:sz w:val="20"/>
          <w:szCs w:val="20"/>
        </w:rPr>
        <w:t xml:space="preserve"> and by</w:t>
      </w:r>
      <w:r>
        <w:rPr>
          <w:rFonts w:ascii="Times New Roman" w:eastAsia="Times New Roman" w:hAnsi="Times New Roman" w:cs="Times New Roman"/>
          <w:color w:val="000000"/>
          <w:sz w:val="20"/>
          <w:szCs w:val="20"/>
        </w:rPr>
        <w:t xml:space="preserve"> including </w:t>
      </w:r>
      <w:r>
        <w:rPr>
          <w:rFonts w:ascii="Times New Roman" w:eastAsia="Times New Roman" w:hAnsi="Times New Roman" w:cs="Times New Roman"/>
          <w:sz w:val="20"/>
          <w:szCs w:val="20"/>
        </w:rPr>
        <w:t xml:space="preserve">diverse </w:t>
      </w:r>
      <w:r>
        <w:rPr>
          <w:rFonts w:ascii="Times New Roman" w:eastAsia="Times New Roman" w:hAnsi="Times New Roman" w:cs="Times New Roman"/>
          <w:color w:val="000000"/>
          <w:sz w:val="20"/>
          <w:szCs w:val="20"/>
        </w:rPr>
        <w:t>people groups within the history of ‘Byzantium’.</w:t>
      </w:r>
    </w:p>
  </w:endnote>
  <w:endnote w:id="5">
    <w:p w14:paraId="57B7D3D5"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See Lovino’s essay in this volume for the late self-identification as Greek.</w:t>
      </w:r>
    </w:p>
  </w:endnote>
  <w:endnote w:id="6">
    <w:p w14:paraId="42468744"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EndnoteReference"/>
        </w:rPr>
        <w:endnoteRef/>
      </w:r>
      <w:r>
        <w:rPr>
          <w:rFonts w:ascii="Times New Roman" w:eastAsia="Times New Roman" w:hAnsi="Times New Roman" w:cs="Times New Roman"/>
          <w:color w:val="000000"/>
          <w:sz w:val="20"/>
          <w:szCs w:val="20"/>
        </w:rPr>
        <w:t xml:space="preserve"> See </w:t>
      </w:r>
      <w:r>
        <w:rPr>
          <w:rFonts w:ascii="Times New Roman" w:eastAsia="Times New Roman" w:hAnsi="Times New Roman" w:cs="Times New Roman"/>
          <w:sz w:val="20"/>
          <w:szCs w:val="20"/>
        </w:rPr>
        <w:t>Garibian</w:t>
      </w:r>
      <w:r>
        <w:rPr>
          <w:rFonts w:ascii="Times New Roman" w:eastAsia="Times New Roman" w:hAnsi="Times New Roman" w:cs="Times New Roman"/>
          <w:color w:val="000000"/>
          <w:sz w:val="20"/>
          <w:szCs w:val="20"/>
        </w:rPr>
        <w:t>’s essay in this volume.</w:t>
      </w:r>
    </w:p>
  </w:endnote>
  <w:endnote w:id="7">
    <w:p w14:paraId="26C02355"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On the prioritization of the Greek language and the purposes this served, see Papaconstantinou 2023.</w:t>
      </w:r>
    </w:p>
  </w:endnote>
  <w:endnote w:id="8">
    <w:p w14:paraId="34182F5F"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EndnoteReference"/>
        </w:rPr>
        <w:endnoteRef/>
      </w:r>
      <w:r>
        <w:rPr>
          <w:rFonts w:ascii="Times New Roman" w:eastAsia="Times New Roman" w:hAnsi="Times New Roman" w:cs="Times New Roman"/>
          <w:color w:val="000000"/>
          <w:sz w:val="20"/>
          <w:szCs w:val="20"/>
        </w:rPr>
        <w:t xml:space="preserve"> Bodin 201</w:t>
      </w:r>
      <w:r>
        <w:rPr>
          <w:rFonts w:ascii="Times New Roman" w:eastAsia="Times New Roman" w:hAnsi="Times New Roman" w:cs="Times New Roman"/>
          <w:sz w:val="20"/>
          <w:szCs w:val="20"/>
        </w:rPr>
        <w:t>4</w:t>
      </w:r>
      <w:r>
        <w:rPr>
          <w:rFonts w:ascii="Times New Roman" w:eastAsia="Times New Roman" w:hAnsi="Times New Roman" w:cs="Times New Roman"/>
          <w:color w:val="000000"/>
          <w:sz w:val="20"/>
          <w:szCs w:val="20"/>
        </w:rPr>
        <w:t>: 13.</w:t>
      </w:r>
    </w:p>
  </w:endnote>
  <w:endnote w:id="9">
    <w:p w14:paraId="1EDE31E5"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Explored most recently in Neville 2025.</w:t>
      </w:r>
    </w:p>
  </w:endnote>
  <w:endnote w:id="10">
    <w:p w14:paraId="4D2CE4A0"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E</w:t>
      </w:r>
      <w:r>
        <w:rPr>
          <w:rFonts w:ascii="Times New Roman" w:eastAsia="Times New Roman" w:hAnsi="Times New Roman" w:cs="Times New Roman"/>
          <w:color w:val="000000"/>
          <w:sz w:val="20"/>
          <w:szCs w:val="20"/>
        </w:rPr>
        <w:t xml:space="preserve">xceptions </w:t>
      </w:r>
      <w:r>
        <w:rPr>
          <w:rFonts w:ascii="Times New Roman" w:eastAsia="Times New Roman" w:hAnsi="Times New Roman" w:cs="Times New Roman"/>
          <w:sz w:val="20"/>
          <w:szCs w:val="20"/>
        </w:rPr>
        <w:t xml:space="preserve">have been </w:t>
      </w:r>
      <w:r>
        <w:rPr>
          <w:rFonts w:ascii="Times New Roman" w:eastAsia="Times New Roman" w:hAnsi="Times New Roman" w:cs="Times New Roman"/>
          <w:color w:val="000000"/>
          <w:sz w:val="20"/>
          <w:szCs w:val="20"/>
        </w:rPr>
        <w:t xml:space="preserve">John Bagnell Bury, Steven Runciman, and Hans-Georg Beck. </w:t>
      </w:r>
      <w:r>
        <w:rPr>
          <w:rFonts w:ascii="Times New Roman" w:eastAsia="Times New Roman" w:hAnsi="Times New Roman" w:cs="Times New Roman"/>
          <w:sz w:val="20"/>
          <w:szCs w:val="20"/>
        </w:rPr>
        <w:t>Bury 1923. See also Stouraitis 2014.</w:t>
      </w:r>
    </w:p>
    <w:p w14:paraId="4E4B9E13"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Recent work by Anthony Kaldellis has focussed on reasserting the suppressed identity of the New Roman Empire. Kaldelli 2019b; 2024.</w:t>
      </w:r>
    </w:p>
  </w:endnote>
  <w:endnote w:id="11">
    <w:p w14:paraId="45FC1179"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On Iorga’s concept, see Maner 2018. Iorga 1935.</w:t>
      </w:r>
    </w:p>
  </w:endnote>
  <w:endnote w:id="12">
    <w:p w14:paraId="72372F3D"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EndnoteReference"/>
        </w:rPr>
        <w:endnoteRef/>
      </w:r>
      <w:r>
        <w:rPr>
          <w:rFonts w:ascii="Times New Roman" w:eastAsia="Times New Roman" w:hAnsi="Times New Roman" w:cs="Times New Roman"/>
          <w:color w:val="000000"/>
          <w:sz w:val="20"/>
          <w:szCs w:val="20"/>
        </w:rPr>
        <w:t xml:space="preserve">See Anderson and Ivanova 2023. On the sultan taking the role of the emperor and the transformation of the conquered lands into a centralised empire, see Yérasimos 2003. </w:t>
      </w:r>
    </w:p>
  </w:endnote>
  <w:endnote w:id="13">
    <w:p w14:paraId="4A1C20A9"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EndnoteReference"/>
        </w:rPr>
        <w:endnoteRef/>
      </w:r>
      <w:r>
        <w:rPr>
          <w:rFonts w:ascii="Times New Roman" w:eastAsia="Times New Roman" w:hAnsi="Times New Roman" w:cs="Times New Roman"/>
          <w:sz w:val="20"/>
          <w:szCs w:val="20"/>
        </w:rPr>
        <w:t xml:space="preserve">Byzantium had long been responded to within Arab culture through its visual culture. See, for example, the Dome of the Rock. </w:t>
      </w:r>
      <w:r>
        <w:rPr>
          <w:rFonts w:ascii="Times New Roman" w:eastAsia="Times New Roman" w:hAnsi="Times New Roman" w:cs="Times New Roman"/>
          <w:color w:val="000000"/>
          <w:sz w:val="20"/>
          <w:szCs w:val="20"/>
        </w:rPr>
        <w:t>On the Arabic-Islamic view of Byzantium until 1453, see El Cheikh 2004.</w:t>
      </w:r>
    </w:p>
  </w:endnote>
  <w:endnote w:id="14">
    <w:p w14:paraId="341DC3A5"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EndnoteReference"/>
        </w:rPr>
        <w:endnoteRef/>
      </w:r>
      <w:r>
        <w:rPr>
          <w:rFonts w:ascii="Times New Roman" w:eastAsia="Times New Roman" w:hAnsi="Times New Roman" w:cs="Times New Roman"/>
          <w:color w:val="000000"/>
          <w:sz w:val="20"/>
          <w:szCs w:val="20"/>
        </w:rPr>
        <w:t xml:space="preserve"> Ahrweiler 2003: 6.</w:t>
      </w:r>
    </w:p>
  </w:endnote>
  <w:endnote w:id="15">
    <w:p w14:paraId="74E75905"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EndnoteReference"/>
        </w:rPr>
        <w:endnoteRef/>
      </w:r>
      <w:r>
        <w:rPr>
          <w:rFonts w:ascii="Times New Roman" w:eastAsia="Times New Roman" w:hAnsi="Times New Roman" w:cs="Times New Roman"/>
          <w:color w:val="000000"/>
          <w:sz w:val="20"/>
          <w:szCs w:val="20"/>
        </w:rPr>
        <w:t xml:space="preserve"> See Aschenbrenner &amp; Ransohoff 2021: 2 for the terms from early modern scholarship: </w:t>
      </w:r>
      <w:r>
        <w:rPr>
          <w:rFonts w:ascii="Times New Roman" w:eastAsia="Times New Roman" w:hAnsi="Times New Roman" w:cs="Times New Roman"/>
          <w:sz w:val="20"/>
          <w:szCs w:val="20"/>
        </w:rPr>
        <w:t>the ‘</w:t>
      </w:r>
      <w:r>
        <w:rPr>
          <w:rFonts w:ascii="Times New Roman" w:eastAsia="Times New Roman" w:hAnsi="Times New Roman" w:cs="Times New Roman"/>
          <w:color w:val="000000"/>
          <w:sz w:val="20"/>
          <w:szCs w:val="20"/>
        </w:rPr>
        <w:t>Eastern Empire</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 xml:space="preserve">, the </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Low Empire</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 xml:space="preserve">, the </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Late Empire</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 xml:space="preserve">, the </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Empire of the Greeks</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 xml:space="preserve">, the </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Empire of Constantinople</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 xml:space="preserve">, and </w:t>
      </w:r>
      <w:r>
        <w:rPr>
          <w:rFonts w:ascii="Times New Roman" w:eastAsia="Times New Roman" w:hAnsi="Times New Roman" w:cs="Times New Roman"/>
          <w:sz w:val="20"/>
          <w:szCs w:val="20"/>
        </w:rPr>
        <w:t xml:space="preserve"> the ‘</w:t>
      </w:r>
      <w:r>
        <w:rPr>
          <w:rFonts w:ascii="Times New Roman" w:eastAsia="Times New Roman" w:hAnsi="Times New Roman" w:cs="Times New Roman"/>
          <w:color w:val="000000"/>
          <w:sz w:val="20"/>
          <w:szCs w:val="20"/>
        </w:rPr>
        <w:t>Roman Empire</w:t>
      </w:r>
      <w:r>
        <w:rPr>
          <w:rFonts w:ascii="Times New Roman" w:eastAsia="Times New Roman" w:hAnsi="Times New Roman" w:cs="Times New Roman"/>
          <w:sz w:val="20"/>
          <w:szCs w:val="20"/>
        </w:rPr>
        <w:t>’.</w:t>
      </w:r>
    </w:p>
  </w:endnote>
  <w:endnote w:id="16">
    <w:p w14:paraId="6A4F0AFA"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EndnoteReference"/>
        </w:rPr>
        <w:endnoteRef/>
      </w:r>
      <w:r>
        <w:rPr>
          <w:rFonts w:ascii="Times New Roman" w:eastAsia="Times New Roman" w:hAnsi="Times New Roman" w:cs="Times New Roman"/>
          <w:color w:val="000000"/>
          <w:sz w:val="20"/>
          <w:szCs w:val="20"/>
        </w:rPr>
        <w:t xml:space="preserve"> Kaldellis 2021. </w:t>
      </w:r>
    </w:p>
  </w:endnote>
  <w:endnote w:id="17">
    <w:p w14:paraId="756503E4"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See Lovino’s chapter in this volume for a more comprehensive discussion.</w:t>
      </w:r>
    </w:p>
  </w:endnote>
  <w:endnote w:id="18">
    <w:p w14:paraId="3F533152"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EndnoteReference"/>
        </w:rPr>
        <w:endnoteRef/>
      </w:r>
      <w:r>
        <w:rPr>
          <w:rFonts w:ascii="Times New Roman" w:eastAsia="Times New Roman" w:hAnsi="Times New Roman" w:cs="Times New Roman"/>
          <w:color w:val="000000"/>
          <w:sz w:val="20"/>
          <w:szCs w:val="20"/>
        </w:rPr>
        <w:t xml:space="preserve"> On Laskaris, see Angelov 20</w:t>
      </w:r>
      <w:r>
        <w:rPr>
          <w:rFonts w:ascii="Times New Roman" w:eastAsia="Times New Roman" w:hAnsi="Times New Roman" w:cs="Times New Roman"/>
          <w:sz w:val="20"/>
          <w:szCs w:val="20"/>
        </w:rPr>
        <w:t xml:space="preserve">19. </w:t>
      </w:r>
      <w:r>
        <w:rPr>
          <w:rFonts w:ascii="Times New Roman" w:eastAsia="Times New Roman" w:hAnsi="Times New Roman" w:cs="Times New Roman"/>
          <w:color w:val="000000"/>
          <w:sz w:val="20"/>
          <w:szCs w:val="20"/>
        </w:rPr>
        <w:t>On the efforts of Plethon and Bessarion, another prominent 15thcentury Byzantine intellectual, to identify as Greeks and as the first to proffer a paradigm of decline, see Pagani 2021. On the contested characterisation of Plethon as a closet Platonist/humanist, see Siniossoglou 2011.</w:t>
      </w:r>
    </w:p>
  </w:endnote>
  <w:endnote w:id="19">
    <w:p w14:paraId="7597FB6A"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Cormack 2000: 130–1.</w:t>
      </w:r>
    </w:p>
  </w:endnote>
  <w:endnote w:id="20">
    <w:p w14:paraId="62950F89"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EndnoteReference"/>
        </w:rPr>
        <w:endnoteRef/>
      </w:r>
      <w:r>
        <w:rPr>
          <w:rFonts w:ascii="Times New Roman" w:eastAsia="Times New Roman" w:hAnsi="Times New Roman" w:cs="Times New Roman"/>
          <w:sz w:val="20"/>
          <w:szCs w:val="20"/>
        </w:rPr>
        <w:t xml:space="preserve">See Panagiotis Theodoropoulos’s entry in this Handbook on </w:t>
      </w:r>
      <w:r>
        <w:rPr>
          <w:rFonts w:ascii="Times New Roman" w:eastAsia="Times New Roman" w:hAnsi="Times New Roman" w:cs="Times New Roman"/>
          <w:color w:val="000000"/>
          <w:sz w:val="20"/>
          <w:szCs w:val="20"/>
        </w:rPr>
        <w:t>Greek school books which shows the attempt to portray the empire as Greek as part of national consciousness. On Greek history manuals in schools, see also Kolias 2003.</w:t>
      </w:r>
    </w:p>
  </w:endnote>
  <w:endnote w:id="21">
    <w:p w14:paraId="0B81E8B1"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There are exceptions of course, Cameron 2014 includes “The Realms of Gold” as a marker of Byzantine identity and engagement alongside its Greekness and Orthodoxy etc. in arguing for the importance of Byzantium to ongoing debates about the relationships between West and East, Christianity and Islam, and the ancient and medieval periods.</w:t>
      </w:r>
    </w:p>
  </w:endnote>
  <w:endnote w:id="22">
    <w:p w14:paraId="11C893B0"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On late and postmodern desire for icons going beyond their original religious usage, see Bodin 2014. On fifteenth century Italian artists used Byzantine materiality to evoke the Roman Empire, see Boeck 2021.</w:t>
      </w:r>
    </w:p>
  </w:endnote>
  <w:endnote w:id="23">
    <w:p w14:paraId="56D6820E"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EndnoteReference"/>
        </w:rPr>
        <w:endnoteRef/>
      </w:r>
      <w:r>
        <w:rPr>
          <w:rFonts w:ascii="Times New Roman" w:eastAsia="Times New Roman" w:hAnsi="Times New Roman" w:cs="Times New Roman"/>
          <w:color w:val="000000"/>
          <w:sz w:val="20"/>
          <w:szCs w:val="20"/>
        </w:rPr>
        <w:t xml:space="preserve"> On Byzantinism as applying to Byzantium itself, see Mango 1965</w:t>
      </w:r>
      <w:r>
        <w:rPr>
          <w:rFonts w:ascii="Times New Roman" w:eastAsia="Times New Roman" w:hAnsi="Times New Roman" w:cs="Times New Roman"/>
          <w:sz w:val="20"/>
          <w:szCs w:val="20"/>
        </w:rPr>
        <w:t>.</w:t>
      </w:r>
    </w:p>
  </w:endnote>
  <w:endnote w:id="24">
    <w:p w14:paraId="7E4838FC"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EndnoteReference"/>
        </w:rPr>
        <w:endnoteRef/>
      </w:r>
      <w:r>
        <w:rPr>
          <w:rFonts w:ascii="Times New Roman" w:eastAsia="Times New Roman" w:hAnsi="Times New Roman" w:cs="Times New Roman"/>
          <w:color w:val="000000"/>
          <w:sz w:val="20"/>
          <w:szCs w:val="20"/>
        </w:rPr>
        <w:t xml:space="preserve"> Milman 1855: xiv. x. 612.</w:t>
      </w:r>
    </w:p>
  </w:endnote>
  <w:endnote w:id="25">
    <w:p w14:paraId="33BF1CF3"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EndnoteReference"/>
        </w:rPr>
        <w:endnoteRef/>
      </w:r>
      <w:r>
        <w:rPr>
          <w:rFonts w:ascii="Times New Roman" w:eastAsia="Times New Roman" w:hAnsi="Times New Roman" w:cs="Times New Roman"/>
          <w:color w:val="000000"/>
          <w:sz w:val="20"/>
          <w:szCs w:val="20"/>
        </w:rPr>
        <w:t xml:space="preserve">For a critical deconstruction of the concept of </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Byzantinism</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 xml:space="preserve"> as an essentialist understanding of the medieval civilization that has been imposed through Western and modern analytical categories, examining imaginary stereotypes and the actual historical heritage of Byzantium in the cultural and political development of Southeastern European nations, see Angelov 2003.</w:t>
      </w:r>
    </w:p>
  </w:endnote>
  <w:endnote w:id="26">
    <w:p w14:paraId="45C6646D" w14:textId="77777777" w:rsidR="00277D69" w:rsidRPr="000E02BD" w:rsidRDefault="00277D69" w:rsidP="006C0266">
      <w:pPr>
        <w:spacing w:after="0" w:line="240" w:lineRule="auto"/>
        <w:jc w:val="both"/>
        <w:rPr>
          <w:rFonts w:ascii="Times New Roman" w:eastAsia="Times New Roman" w:hAnsi="Times New Roman" w:cs="Times New Roman"/>
          <w:sz w:val="20"/>
          <w:szCs w:val="20"/>
          <w:lang w:val="it-IT"/>
        </w:rPr>
      </w:pPr>
      <w:r>
        <w:rPr>
          <w:rStyle w:val="EndnoteReference"/>
        </w:rPr>
        <w:endnoteRef/>
      </w:r>
      <w:r w:rsidRPr="000E02BD">
        <w:rPr>
          <w:rFonts w:ascii="Times New Roman" w:eastAsia="Times New Roman" w:hAnsi="Times New Roman" w:cs="Times New Roman"/>
          <w:sz w:val="20"/>
          <w:szCs w:val="20"/>
          <w:lang w:val="it-IT"/>
        </w:rPr>
        <w:t xml:space="preserve"> Marketa and Marciniak: 3.</w:t>
      </w:r>
    </w:p>
  </w:endnote>
  <w:endnote w:id="27">
    <w:p w14:paraId="670794BE" w14:textId="77777777" w:rsidR="00277D69" w:rsidRPr="000E02BD"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val="it-IT"/>
        </w:rPr>
      </w:pPr>
      <w:r>
        <w:rPr>
          <w:rStyle w:val="EndnoteReference"/>
        </w:rPr>
        <w:endnoteRef/>
      </w:r>
      <w:r w:rsidRPr="000E02BD">
        <w:rPr>
          <w:rFonts w:ascii="Times New Roman" w:eastAsia="Times New Roman" w:hAnsi="Times New Roman" w:cs="Times New Roman"/>
          <w:color w:val="000000"/>
          <w:sz w:val="20"/>
          <w:szCs w:val="20"/>
          <w:lang w:val="it-IT"/>
        </w:rPr>
        <w:t xml:space="preserve"> Angelov 2003: 8. </w:t>
      </w:r>
    </w:p>
  </w:endnote>
  <w:endnote w:id="28">
    <w:p w14:paraId="28E2337D" w14:textId="77777777" w:rsidR="00277D69" w:rsidRPr="000E02BD" w:rsidRDefault="00277D69" w:rsidP="006C0266">
      <w:pPr>
        <w:spacing w:after="0" w:line="240" w:lineRule="auto"/>
        <w:jc w:val="both"/>
        <w:rPr>
          <w:rFonts w:ascii="Times New Roman" w:eastAsia="Times New Roman" w:hAnsi="Times New Roman" w:cs="Times New Roman"/>
          <w:sz w:val="20"/>
          <w:szCs w:val="20"/>
          <w:lang w:val="it-IT"/>
        </w:rPr>
      </w:pPr>
      <w:r>
        <w:rPr>
          <w:rStyle w:val="EndnoteReference"/>
        </w:rPr>
        <w:endnoteRef/>
      </w:r>
      <w:r w:rsidRPr="000E02BD">
        <w:rPr>
          <w:rFonts w:ascii="Times New Roman" w:eastAsia="Times New Roman" w:hAnsi="Times New Roman" w:cs="Times New Roman"/>
          <w:sz w:val="20"/>
          <w:szCs w:val="20"/>
          <w:lang w:val="it-IT"/>
        </w:rPr>
        <w:t xml:space="preserve"> Foletti and Palladino 2023: 45.</w:t>
      </w:r>
    </w:p>
  </w:endnote>
  <w:endnote w:id="29">
    <w:p w14:paraId="08DDFC8F"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EndnoteReference"/>
        </w:rPr>
        <w:endnoteRef/>
      </w:r>
      <w:r w:rsidRPr="000E02BD">
        <w:rPr>
          <w:rFonts w:ascii="Times New Roman" w:eastAsia="Times New Roman" w:hAnsi="Times New Roman" w:cs="Times New Roman"/>
          <w:color w:val="000000"/>
          <w:sz w:val="20"/>
          <w:szCs w:val="20"/>
          <w:lang w:val="it-IT"/>
        </w:rPr>
        <w:t xml:space="preserve"> Ostrogorsky 1940: 1</w:t>
      </w:r>
      <w:r w:rsidRPr="000E02BD">
        <w:rPr>
          <w:rFonts w:ascii="Times New Roman" w:eastAsia="Times New Roman" w:hAnsi="Times New Roman" w:cs="Times New Roman"/>
          <w:sz w:val="20"/>
          <w:szCs w:val="20"/>
          <w:lang w:val="it-IT"/>
        </w:rPr>
        <w:t>–</w:t>
      </w:r>
      <w:r w:rsidRPr="000E02BD">
        <w:rPr>
          <w:rFonts w:ascii="Times New Roman" w:eastAsia="Times New Roman" w:hAnsi="Times New Roman" w:cs="Times New Roman"/>
          <w:color w:val="000000"/>
          <w:sz w:val="20"/>
          <w:szCs w:val="20"/>
          <w:lang w:val="it-IT"/>
        </w:rPr>
        <w:t xml:space="preserve">21. </w:t>
      </w:r>
      <w:r>
        <w:rPr>
          <w:rFonts w:ascii="Times New Roman" w:eastAsia="Times New Roman" w:hAnsi="Times New Roman" w:cs="Times New Roman"/>
          <w:color w:val="000000"/>
          <w:sz w:val="20"/>
          <w:szCs w:val="20"/>
        </w:rPr>
        <w:t>The history of Byzantine Studies was also outlined in Vasiliev 1952.</w:t>
      </w:r>
    </w:p>
  </w:endnote>
  <w:endnote w:id="30">
    <w:p w14:paraId="472EABA0"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EndnoteReference"/>
        </w:rPr>
        <w:endnoteRef/>
      </w:r>
      <w:r>
        <w:rPr>
          <w:rFonts w:ascii="Times New Roman" w:eastAsia="Times New Roman" w:hAnsi="Times New Roman" w:cs="Times New Roman"/>
          <w:color w:val="000000"/>
          <w:sz w:val="20"/>
          <w:szCs w:val="20"/>
        </w:rPr>
        <w:t xml:space="preserve"> Spieser 2003</w:t>
      </w:r>
      <w:r>
        <w:rPr>
          <w:rFonts w:ascii="Times New Roman" w:eastAsia="Times New Roman" w:hAnsi="Times New Roman" w:cs="Times New Roman"/>
          <w:sz w:val="20"/>
          <w:szCs w:val="20"/>
        </w:rPr>
        <w:t xml:space="preserve">; </w:t>
      </w:r>
      <w:r>
        <w:rPr>
          <w:rFonts w:ascii="Times New Roman" w:eastAsia="Times New Roman" w:hAnsi="Times New Roman" w:cs="Times New Roman"/>
          <w:color w:val="000000"/>
          <w:sz w:val="20"/>
          <w:szCs w:val="20"/>
        </w:rPr>
        <w:t>Shawcross 2021.</w:t>
      </w:r>
    </w:p>
  </w:endnote>
  <w:endnote w:id="31">
    <w:p w14:paraId="647B035F" w14:textId="77777777" w:rsidR="00277D69" w:rsidRDefault="00277D69" w:rsidP="006C0266">
      <w:pPr>
        <w:spacing w:after="0" w:line="240" w:lineRule="auto"/>
        <w:jc w:val="both"/>
        <w:rPr>
          <w:sz w:val="20"/>
          <w:szCs w:val="20"/>
        </w:rPr>
      </w:pPr>
      <w:r>
        <w:rPr>
          <w:rStyle w:val="EndnoteReference"/>
        </w:rPr>
        <w:endnoteRef/>
      </w:r>
      <w:r>
        <w:rPr>
          <w:rFonts w:ascii="Times New Roman" w:eastAsia="Times New Roman" w:hAnsi="Times New Roman" w:cs="Times New Roman"/>
          <w:sz w:val="20"/>
          <w:szCs w:val="20"/>
        </w:rPr>
        <w:t xml:space="preserve"> Gibbon 1776–88.</w:t>
      </w:r>
    </w:p>
  </w:endnote>
  <w:endnote w:id="32">
    <w:p w14:paraId="5E3D4314"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EndnoteReference"/>
        </w:rPr>
        <w:endnoteRef/>
      </w:r>
      <w:r>
        <w:rPr>
          <w:rFonts w:ascii="Times New Roman" w:eastAsia="Times New Roman" w:hAnsi="Times New Roman" w:cs="Times New Roman"/>
          <w:color w:val="000000"/>
          <w:sz w:val="20"/>
          <w:szCs w:val="20"/>
        </w:rPr>
        <w:t xml:space="preserve"> Runciman 1976: 103.</w:t>
      </w:r>
    </w:p>
  </w:endnote>
  <w:endnote w:id="33">
    <w:p w14:paraId="6F4341DC"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Vilimonović and Repajić 2016: 6.</w:t>
      </w:r>
    </w:p>
  </w:endnote>
  <w:endnote w:id="34">
    <w:p w14:paraId="02428ED6"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See Sarah Riccardi-Swartz’s entry in this volume.</w:t>
      </w:r>
    </w:p>
  </w:endnote>
  <w:endnote w:id="35">
    <w:p w14:paraId="4E6E493C"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Ostrogorsky 1940: 6.</w:t>
      </w:r>
    </w:p>
  </w:endnote>
  <w:endnote w:id="36">
    <w:p w14:paraId="77FC640E"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In response to Avril Cameron’s chapter ‘Absence’ in </w:t>
      </w:r>
      <w:r>
        <w:rPr>
          <w:rFonts w:ascii="Times New Roman" w:eastAsia="Times New Roman" w:hAnsi="Times New Roman" w:cs="Times New Roman"/>
          <w:i/>
          <w:iCs/>
          <w:sz w:val="20"/>
          <w:szCs w:val="20"/>
        </w:rPr>
        <w:t>Byzantine Matters</w:t>
      </w:r>
      <w:r>
        <w:rPr>
          <w:rFonts w:ascii="Times New Roman" w:eastAsia="Times New Roman" w:hAnsi="Times New Roman" w:cs="Times New Roman"/>
          <w:sz w:val="20"/>
          <w:szCs w:val="20"/>
        </w:rPr>
        <w:t xml:space="preserve"> 2014 and her journal article Cameron 2008. </w:t>
      </w:r>
    </w:p>
  </w:endnote>
  <w:endnote w:id="37">
    <w:p w14:paraId="28975517"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EndnoteReference"/>
        </w:rPr>
        <w:endnoteRef/>
      </w:r>
      <w:r>
        <w:rPr>
          <w:rFonts w:ascii="Times New Roman" w:eastAsia="Times New Roman" w:hAnsi="Times New Roman" w:cs="Times New Roman"/>
          <w:color w:val="000000"/>
          <w:sz w:val="20"/>
          <w:szCs w:val="20"/>
        </w:rPr>
        <w:t xml:space="preserve"> Alshanskaya et al. 2018: 9.</w:t>
      </w:r>
    </w:p>
  </w:endnote>
  <w:endnote w:id="38">
    <w:p w14:paraId="50A80B54"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EndnoteReference"/>
        </w:rPr>
        <w:endnoteRef/>
      </w:r>
      <w:r>
        <w:rPr>
          <w:rFonts w:ascii="Times New Roman" w:eastAsia="Times New Roman" w:hAnsi="Times New Roman" w:cs="Times New Roman"/>
          <w:color w:val="000000"/>
          <w:sz w:val="20"/>
          <w:szCs w:val="20"/>
        </w:rPr>
        <w:t xml:space="preserve"> Iorga 1935; Obolensky 1982; Clucas 1988; Yiannias 1991; Angelov 2003; Alshanskaya et al. 2018.</w:t>
      </w:r>
    </w:p>
    <w:p w14:paraId="59C7634A"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See, for example, Nilsson and Stephenson 2014.</w:t>
      </w:r>
    </w:p>
  </w:endnote>
  <w:endnote w:id="39">
    <w:p w14:paraId="5138FC8D"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EndnoteReference"/>
        </w:rPr>
        <w:endnoteRef/>
      </w:r>
      <w:r>
        <w:rPr>
          <w:rFonts w:ascii="Times New Roman" w:eastAsia="Times New Roman" w:hAnsi="Times New Roman" w:cs="Times New Roman"/>
          <w:color w:val="000000"/>
          <w:sz w:val="20"/>
          <w:szCs w:val="20"/>
        </w:rPr>
        <w:t xml:space="preserve"> See, for example, Nilsson and Stephenson 2014. </w:t>
      </w:r>
    </w:p>
  </w:endnote>
  <w:endnote w:id="40">
    <w:p w14:paraId="123D91EE"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EndnoteReference"/>
        </w:rPr>
        <w:endnoteRef/>
      </w:r>
      <w:r>
        <w:rPr>
          <w:rFonts w:ascii="Times New Roman" w:eastAsia="Times New Roman" w:hAnsi="Times New Roman" w:cs="Times New Roman"/>
          <w:color w:val="000000"/>
          <w:sz w:val="20"/>
          <w:szCs w:val="20"/>
        </w:rPr>
        <w:t xml:space="preserve"> See </w:t>
      </w:r>
      <w:r>
        <w:rPr>
          <w:rFonts w:ascii="Times New Roman" w:eastAsia="Times New Roman" w:hAnsi="Times New Roman" w:cs="Times New Roman"/>
          <w:sz w:val="20"/>
          <w:szCs w:val="20"/>
        </w:rPr>
        <w:t>Mishkova’s entry on Bulgaria in this volume</w:t>
      </w:r>
      <w:r>
        <w:rPr>
          <w:rFonts w:ascii="Times New Roman" w:eastAsia="Times New Roman" w:hAnsi="Times New Roman" w:cs="Times New Roman"/>
          <w:color w:val="000000"/>
          <w:sz w:val="20"/>
          <w:szCs w:val="20"/>
        </w:rPr>
        <w:t xml:space="preserve"> and Andrii Domanovskyi and Maryna Domanovska</w:t>
      </w:r>
      <w:r>
        <w:rPr>
          <w:rFonts w:ascii="Times New Roman" w:eastAsia="Times New Roman" w:hAnsi="Times New Roman" w:cs="Times New Roman"/>
          <w:sz w:val="20"/>
          <w:szCs w:val="20"/>
        </w:rPr>
        <w:t>’s entry on</w:t>
      </w:r>
    </w:p>
    <w:p w14:paraId="5F140FBB"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Ukraine</w:t>
      </w:r>
      <w:r>
        <w:rPr>
          <w:rFonts w:ascii="Times New Roman" w:eastAsia="Times New Roman" w:hAnsi="Times New Roman" w:cs="Times New Roman"/>
          <w:sz w:val="20"/>
          <w:szCs w:val="20"/>
        </w:rPr>
        <w:t>.</w:t>
      </w:r>
    </w:p>
  </w:endnote>
  <w:endnote w:id="41">
    <w:p w14:paraId="1FAC6296"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EndnoteReference"/>
        </w:rPr>
        <w:endnoteRef/>
      </w:r>
      <w:r>
        <w:rPr>
          <w:rFonts w:ascii="Times New Roman" w:eastAsia="Times New Roman" w:hAnsi="Times New Roman" w:cs="Times New Roman"/>
          <w:color w:val="000000"/>
          <w:sz w:val="20"/>
          <w:szCs w:val="20"/>
        </w:rPr>
        <w:t xml:space="preserve"> See also Mishkova 201</w:t>
      </w:r>
      <w:r>
        <w:rPr>
          <w:rFonts w:ascii="Times New Roman" w:eastAsia="Times New Roman" w:hAnsi="Times New Roman" w:cs="Times New Roman"/>
          <w:sz w:val="20"/>
          <w:szCs w:val="20"/>
        </w:rPr>
        <w:t>5</w:t>
      </w:r>
      <w:r>
        <w:rPr>
          <w:rFonts w:ascii="Times New Roman" w:eastAsia="Times New Roman" w:hAnsi="Times New Roman" w:cs="Times New Roman"/>
          <w:color w:val="000000"/>
          <w:sz w:val="20"/>
          <w:szCs w:val="20"/>
        </w:rPr>
        <w:t>.</w:t>
      </w:r>
    </w:p>
  </w:endnote>
  <w:endnote w:id="42">
    <w:p w14:paraId="334ECC51"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EndnoteReference"/>
        </w:rPr>
        <w:endnoteRef/>
      </w:r>
      <w:r>
        <w:rPr>
          <w:rFonts w:ascii="Times New Roman" w:eastAsia="Times New Roman" w:hAnsi="Times New Roman" w:cs="Times New Roman"/>
          <w:color w:val="000000"/>
          <w:sz w:val="20"/>
          <w:szCs w:val="20"/>
        </w:rPr>
        <w:t xml:space="preserve"> On the complex/ambiguous relationship between Byzantine heritage and the formation of modern Greek national identity and collective memory, see Ricks an</w:t>
      </w:r>
      <w:r w:rsidR="006C0266">
        <w:rPr>
          <w:rFonts w:ascii="Times New Roman" w:eastAsia="Times New Roman" w:hAnsi="Times New Roman" w:cs="Times New Roman"/>
          <w:color w:val="000000"/>
          <w:sz w:val="20"/>
          <w:szCs w:val="20"/>
        </w:rPr>
        <w:t>d Magdalino 1998; Christodoulou</w:t>
      </w:r>
      <w:r>
        <w:rPr>
          <w:rFonts w:ascii="Times New Roman" w:eastAsia="Times New Roman" w:hAnsi="Times New Roman" w:cs="Times New Roman"/>
          <w:color w:val="000000"/>
          <w:sz w:val="20"/>
          <w:szCs w:val="20"/>
        </w:rPr>
        <w:t xml:space="preserve"> 2010.</w:t>
      </w:r>
    </w:p>
  </w:endnote>
  <w:endnote w:id="43">
    <w:p w14:paraId="7100FF43"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EndnoteReference"/>
        </w:rPr>
        <w:endnoteRef/>
      </w:r>
      <w:r>
        <w:rPr>
          <w:rFonts w:ascii="Times New Roman" w:eastAsia="Times New Roman" w:hAnsi="Times New Roman" w:cs="Times New Roman"/>
          <w:color w:val="000000"/>
          <w:sz w:val="20"/>
          <w:szCs w:val="20"/>
        </w:rPr>
        <w:t xml:space="preserve"> Mango 1965. On the special relationship of Byzantine studies to the history of the Greek state and to what has been called </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romantic Hellenism</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 xml:space="preserve"> in the context of a discussion of the historiography of Byzantine studies and new methodologies, see Haldon 1984, 127</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9.</w:t>
      </w:r>
    </w:p>
  </w:endnote>
  <w:endnote w:id="44">
    <w:p w14:paraId="4E4DA440"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Fallmerayer 1830–6.</w:t>
      </w:r>
    </w:p>
  </w:endnote>
  <w:endnote w:id="45">
    <w:p w14:paraId="13A30F48"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Finlay 1877.</w:t>
      </w:r>
    </w:p>
  </w:endnote>
  <w:endnote w:id="46">
    <w:p w14:paraId="718E0370"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See Kotoula’s essay in this book.</w:t>
      </w:r>
    </w:p>
  </w:endnote>
  <w:endnote w:id="47">
    <w:p w14:paraId="7026C80F"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EndnoteReference"/>
        </w:rPr>
        <w:endnoteRef/>
      </w:r>
      <w:r>
        <w:rPr>
          <w:rFonts w:ascii="Times New Roman" w:eastAsia="Times New Roman" w:hAnsi="Times New Roman" w:cs="Times New Roman"/>
          <w:color w:val="000000"/>
          <w:sz w:val="20"/>
          <w:szCs w:val="20"/>
        </w:rPr>
        <w:t xml:space="preserve"> For this argument, see Neville 2025: 12</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 xml:space="preserve">14. </w:t>
      </w:r>
    </w:p>
  </w:endnote>
  <w:endnote w:id="48">
    <w:p w14:paraId="1AD5E8B4" w14:textId="77777777" w:rsidR="00277D69" w:rsidRDefault="00277D69" w:rsidP="006C0266">
      <w:pPr>
        <w:spacing w:after="0" w:line="240" w:lineRule="auto"/>
        <w:jc w:val="both"/>
        <w:rPr>
          <w:sz w:val="20"/>
          <w:szCs w:val="20"/>
          <w:vertAlign w:val="superscript"/>
        </w:rPr>
      </w:pPr>
      <w:r>
        <w:rPr>
          <w:rStyle w:val="EndnoteReference"/>
        </w:rPr>
        <w:endnoteRef/>
      </w:r>
      <w:r>
        <w:rPr>
          <w:rFonts w:ascii="Times New Roman" w:eastAsia="Times New Roman" w:hAnsi="Times New Roman" w:cs="Times New Roman"/>
          <w:sz w:val="20"/>
          <w:szCs w:val="20"/>
        </w:rPr>
        <w:t>Byzantium and Communism had a complex relationship, see Ivanov 2003 for how Byzantine studies functioned in the Soviet Union from 1928 to 1948. Ivanov analyzes the relationship between Communist ideology and Byzantine Studies and explores how Byzantium served as "a kind of barometer of internationalism" in the USSR and Byzantine scholarship. Lora Gerd’s essay in this volume outlines their resurgence particularly from the 1940s under altered conditions, following the difficulties of the 1920s and 30s.</w:t>
      </w:r>
    </w:p>
  </w:endnote>
  <w:endnote w:id="49">
    <w:p w14:paraId="1B4D019B"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EndnoteReference"/>
        </w:rPr>
        <w:endnoteRef/>
      </w:r>
      <w:r>
        <w:rPr>
          <w:rFonts w:ascii="Times New Roman" w:eastAsia="Times New Roman" w:hAnsi="Times New Roman" w:cs="Times New Roman"/>
          <w:color w:val="000000"/>
          <w:sz w:val="20"/>
          <w:szCs w:val="20"/>
        </w:rPr>
        <w:t xml:space="preserve"> Ahrweiler 2005: 5.</w:t>
      </w:r>
    </w:p>
  </w:endnote>
  <w:endnote w:id="50">
    <w:p w14:paraId="74436455" w14:textId="77777777" w:rsidR="00277D69" w:rsidRDefault="00277D69" w:rsidP="006C026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EndnoteReference"/>
        </w:rPr>
        <w:endnoteRef/>
      </w:r>
      <w:r>
        <w:rPr>
          <w:rFonts w:ascii="Times New Roman" w:eastAsia="Times New Roman" w:hAnsi="Times New Roman" w:cs="Times New Roman"/>
          <w:color w:val="000000"/>
          <w:sz w:val="20"/>
          <w:szCs w:val="20"/>
        </w:rPr>
        <w:t xml:space="preserve"> Neville 2025: 27</w:t>
      </w:r>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9.</w:t>
      </w:r>
    </w:p>
  </w:endnote>
  <w:endnote w:id="51">
    <w:p w14:paraId="586D0697"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Neville 2025: 45.</w:t>
      </w:r>
    </w:p>
  </w:endnote>
  <w:endnote w:id="52">
    <w:p w14:paraId="69A2B67B"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See Bhalla’s essay in this volume.</w:t>
      </w:r>
    </w:p>
  </w:endnote>
  <w:endnote w:id="53">
    <w:p w14:paraId="223F6E8B" w14:textId="77777777" w:rsidR="00277D69" w:rsidRDefault="00277D69" w:rsidP="006C0266">
      <w:pPr>
        <w:spacing w:after="0" w:line="240" w:lineRule="auto"/>
        <w:jc w:val="both"/>
        <w:rPr>
          <w:rFonts w:ascii="Times New Roman" w:eastAsia="Times New Roman" w:hAnsi="Times New Roman" w:cs="Times New Roman"/>
          <w:color w:val="000000"/>
          <w:sz w:val="20"/>
          <w:szCs w:val="20"/>
        </w:rPr>
      </w:pPr>
      <w:r>
        <w:rPr>
          <w:rStyle w:val="EndnoteReference"/>
        </w:rPr>
        <w:endnoteRef/>
      </w:r>
      <w:r>
        <w:rPr>
          <w:rFonts w:ascii="Times New Roman" w:eastAsia="Times New Roman" w:hAnsi="Times New Roman" w:cs="Times New Roman"/>
          <w:sz w:val="20"/>
          <w:szCs w:val="20"/>
        </w:rPr>
        <w:t xml:space="preserve"> Ivanov 2009.</w:t>
      </w:r>
    </w:p>
  </w:endnote>
  <w:endnote w:id="54">
    <w:p w14:paraId="76808683"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Makrides 1998: 141–4.</w:t>
      </w:r>
    </w:p>
  </w:endnote>
  <w:endnote w:id="55">
    <w:p w14:paraId="3BB53C63"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Kamenskikh 2020: 188–9. </w:t>
      </w:r>
    </w:p>
  </w:endnote>
  <w:endnote w:id="56">
    <w:p w14:paraId="32DA71EA"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Kotoula 2023: 126–7. </w:t>
      </w:r>
    </w:p>
  </w:endnote>
  <w:endnote w:id="57">
    <w:p w14:paraId="0150F095"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Apollinaire, Review at the Paris Newspaper L’ Intransigeant, 22/04/1911.</w:t>
      </w:r>
    </w:p>
  </w:endnote>
  <w:endnote w:id="58">
    <w:p w14:paraId="192A3E0D"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For Boichuk and the School of Byzantine revival in Paris see, Susak 2010: 36–47.</w:t>
      </w:r>
    </w:p>
  </w:endnote>
  <w:endnote w:id="59">
    <w:p w14:paraId="049B3BDD"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Brilliantly argued in Peers 2010: 89–93.</w:t>
      </w:r>
    </w:p>
  </w:endnote>
  <w:endnote w:id="60">
    <w:p w14:paraId="525442AC"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Anderson &amp; Ivanova; Foletti and Palladino 2023: 55–7.</w:t>
      </w:r>
    </w:p>
  </w:endnote>
  <w:endnote w:id="61">
    <w:p w14:paraId="058E9738"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See Peers’ essay within this volume.</w:t>
      </w:r>
    </w:p>
  </w:endnote>
  <w:endnote w:id="62">
    <w:p w14:paraId="4A4BE927"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The edited collection presents a critical examination of Byzantine studies as an academic discipline, questioning whether its methodological approaches, theoretical frameworks, and scholarly practices reflect colonialist perspectives and biases.</w:t>
      </w:r>
    </w:p>
  </w:endnote>
  <w:endnote w:id="63">
    <w:p w14:paraId="5D3C64A4" w14:textId="77777777" w:rsidR="00277D69" w:rsidRDefault="00277D69" w:rsidP="006C0266">
      <w:pPr>
        <w:spacing w:after="0"/>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Mavroudi 2023.</w:t>
      </w:r>
    </w:p>
  </w:endnote>
  <w:endnote w:id="64">
    <w:p w14:paraId="70EDE1DC" w14:textId="77777777" w:rsidR="00277D69" w:rsidRDefault="00277D69" w:rsidP="006C0266">
      <w:pPr>
        <w:spacing w:after="0"/>
        <w:jc w:val="both"/>
        <w:rPr>
          <w:rFonts w:ascii="Times New Roman" w:eastAsia="Times New Roman" w:hAnsi="Times New Roman" w:cs="Times New Roman"/>
          <w:sz w:val="20"/>
          <w:szCs w:val="20"/>
          <w:u w:val="single"/>
        </w:rPr>
      </w:pPr>
      <w:r>
        <w:rPr>
          <w:rStyle w:val="EndnoteReference"/>
        </w:rPr>
        <w:endnoteRef/>
      </w:r>
      <w:r>
        <w:rPr>
          <w:rFonts w:ascii="Times New Roman" w:eastAsia="Times New Roman" w:hAnsi="Times New Roman" w:cs="Times New Roman"/>
          <w:sz w:val="20"/>
          <w:szCs w:val="20"/>
        </w:rPr>
        <w:t xml:space="preserve"> For Ruskin and the British Arts and Crafts movement, see Kotoula’s essay in this volume.</w:t>
      </w:r>
    </w:p>
  </w:endnote>
  <w:endnote w:id="65">
    <w:p w14:paraId="70FE9F8B"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Lethaby no. 100.</w:t>
      </w:r>
    </w:p>
  </w:endnote>
  <w:endnote w:id="66">
    <w:p w14:paraId="733B839D"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Lethaby no. 101.</w:t>
      </w:r>
    </w:p>
  </w:endnote>
  <w:endnote w:id="67">
    <w:p w14:paraId="4D35226F"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Explored influentially in the collection of essays from the 20th International Congress of Byzantine Studies (Paris, 2001) in Auzépy 2003. See also Kolovou 2012 which positions the 1000 year history as transmitting Greek, Roman, and Christian cultures to Europe and, despite eliciting mixed receptions, remaining stable as an object of attraction for European intellectual and cultural elites since the sixteenth century.</w:t>
      </w:r>
    </w:p>
  </w:endnote>
  <w:endnote w:id="68">
    <w:p w14:paraId="0A76D4AB"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Kulhánková &amp; Marciniak 2023b: 3. </w:t>
      </w:r>
    </w:p>
  </w:endnote>
  <w:endnote w:id="69">
    <w:p w14:paraId="0BC95D85"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See both Kourelis’ essay on diaspora architectures in this volume and Nelson’s essay.</w:t>
      </w:r>
    </w:p>
  </w:endnote>
  <w:endnote w:id="70">
    <w:p w14:paraId="47157009"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See the entries by Bhalla, Nelson and Kourelis in this Handbook.</w:t>
      </w:r>
    </w:p>
  </w:endnote>
  <w:endnote w:id="71">
    <w:p w14:paraId="1C77F65E"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See Saveliev’s essay in this volume.</w:t>
      </w:r>
    </w:p>
  </w:endnote>
  <w:endnote w:id="72">
    <w:p w14:paraId="4133399B"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See Kulhánková &amp; Marciniak 2023a. On Ludwig II, see Berger 2003. On Yeats, see Sjösvärd 2014; Bullen 2003: 10; Nelson 2004: 129 and Byron in this volume.</w:t>
      </w:r>
    </w:p>
  </w:endnote>
  <w:endnote w:id="73">
    <w:p w14:paraId="6535D7C2"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For a comprehensive historiographical survey of the origins and early development of Byzantine studies as an academic discipline with substantial bibliographic resources, see Savvides 2018. For contemporary developments, see Cavallero’s and Zhiqiang’s essays in this volume. </w:t>
      </w:r>
    </w:p>
  </w:endnote>
  <w:endnote w:id="74">
    <w:p w14:paraId="5DA30F42"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See Marciniak 2022. Early modern stage shows demonstrate how playwrights of all political and confessional backgrounds used Byzantine characters disassociated from context as exemplars of virtue and vice – Byzantium became a powerful backdrop to spur anxiety of royal absolutism, heterodoxy or the Ottomans etc. Averil Cameron in her inaugural lecture delivered at King's College London in 1990 examined how Byzantium has been perceived, interpreted, and misrepresented in modern scholarship and popular culture, exploring the various ways in which the Byzantine Empire has been both appropriated and distorted for different historiographical and ideological purposes. Cameron 1992. See Peers essay in this volume.</w:t>
      </w:r>
    </w:p>
  </w:endnote>
  <w:endnote w:id="75">
    <w:p w14:paraId="538D3263"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Benda 1945.</w:t>
      </w:r>
    </w:p>
  </w:endnote>
  <w:endnote w:id="76">
    <w:p w14:paraId="6AD2F0E1"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Arabatzis 2017: 423–30.</w:t>
      </w:r>
    </w:p>
  </w:endnote>
  <w:endnote w:id="77">
    <w:p w14:paraId="396FDDAD"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Rodrigues 1970.</w:t>
      </w:r>
    </w:p>
  </w:endnote>
  <w:endnote w:id="78">
    <w:p w14:paraId="13980C18"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Haldon 2001: 1–2.</w:t>
      </w:r>
    </w:p>
  </w:endnote>
  <w:endnote w:id="79">
    <w:p w14:paraId="4B14AAD1"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Marciniak &amp; Smythe 2016: 6; Kulhánková &amp; Marciniak 2023b.</w:t>
      </w:r>
    </w:p>
  </w:endnote>
  <w:endnote w:id="80">
    <w:p w14:paraId="72E9F34F"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See also Eastmond’s essay in the present volume. </w:t>
      </w:r>
    </w:p>
  </w:endnote>
  <w:endnote w:id="81">
    <w:p w14:paraId="1428004F"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On the emergence of Byzantine studies as a discipline, see Cormack and Haldon 2008.</w:t>
      </w:r>
    </w:p>
  </w:endnote>
  <w:endnote w:id="82">
    <w:p w14:paraId="5DA08BAC" w14:textId="77777777" w:rsidR="00277D69" w:rsidRDefault="00277D69" w:rsidP="006C0266">
      <w:pPr>
        <w:spacing w:after="0" w:line="240" w:lineRule="auto"/>
        <w:jc w:val="both"/>
        <w:rPr>
          <w:rFonts w:ascii="Times New Roman" w:eastAsia="Times New Roman" w:hAnsi="Times New Roman" w:cs="Times New Roman"/>
          <w:sz w:val="20"/>
          <w:szCs w:val="20"/>
        </w:rPr>
      </w:pPr>
      <w:r>
        <w:rPr>
          <w:rStyle w:val="EndnoteReference"/>
        </w:rPr>
        <w:endnoteRef/>
      </w:r>
      <w:r>
        <w:rPr>
          <w:rFonts w:ascii="Times New Roman" w:eastAsia="Times New Roman" w:hAnsi="Times New Roman" w:cs="Times New Roman"/>
          <w:sz w:val="20"/>
          <w:szCs w:val="20"/>
        </w:rPr>
        <w:t xml:space="preserve"> Haldon 2001: 3.</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60CC096B-ED52-4845-B678-886151193A82}"/>
    <w:embedItalic r:id="rId2" w:fontKey="{ED17149D-4781-4A7B-B02D-1E932905747F}"/>
  </w:font>
  <w:font w:name="Play">
    <w:charset w:val="00"/>
    <w:family w:val="auto"/>
    <w:pitch w:val="default"/>
    <w:embedRegular r:id="rId3" w:fontKey="{93B1AC0B-B21B-488F-8298-9E0951B672AA}"/>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A1"/>
    <w:family w:val="swiss"/>
    <w:pitch w:val="variable"/>
    <w:sig w:usb0="E4002EFF" w:usb1="C000E47F" w:usb2="00000009" w:usb3="00000000" w:csb0="000001FF" w:csb1="00000000"/>
    <w:embedRegular r:id="rId4" w:fontKey="{73456BFE-F328-449E-985C-570D0D7BAC39}"/>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5" w:fontKey="{CD92C711-5621-4266-8AC8-36044BA1D5A0}"/>
  </w:font>
  <w:font w:name="Cambria">
    <w:panose1 w:val="02040503050406030204"/>
    <w:charset w:val="00"/>
    <w:family w:val="roman"/>
    <w:pitch w:val="variable"/>
    <w:sig w:usb0="E00006FF" w:usb1="420024FF" w:usb2="02000000" w:usb3="00000000" w:csb0="0000019F" w:csb1="00000000"/>
    <w:embedRegular r:id="rId6" w:fontKey="{23376087-C314-4601-8FC0-93E3B5AD2D9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3954E" w14:textId="77777777" w:rsidR="003C03AC" w:rsidRDefault="003C03AC">
    <w:pPr>
      <w:rPr>
        <w:vertAlign w:val="superscript"/>
      </w:rPr>
    </w:pPr>
  </w:p>
  <w:p w14:paraId="02E39B25" w14:textId="77777777" w:rsidR="003C03AC" w:rsidRDefault="003C03AC">
    <w:pPr>
      <w:rPr>
        <w:vertAlign w:val="superscri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D553ED" w14:textId="77777777" w:rsidR="00F52669" w:rsidRDefault="00F52669">
      <w:pPr>
        <w:spacing w:after="0" w:line="240" w:lineRule="auto"/>
      </w:pPr>
      <w:r>
        <w:separator/>
      </w:r>
    </w:p>
  </w:footnote>
  <w:footnote w:type="continuationSeparator" w:id="0">
    <w:p w14:paraId="4475046B" w14:textId="77777777" w:rsidR="00F52669" w:rsidRDefault="00F526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3AC"/>
    <w:rsid w:val="000702B5"/>
    <w:rsid w:val="00086385"/>
    <w:rsid w:val="000E02BD"/>
    <w:rsid w:val="00277D69"/>
    <w:rsid w:val="00290AD8"/>
    <w:rsid w:val="00324867"/>
    <w:rsid w:val="003C03AC"/>
    <w:rsid w:val="003F4005"/>
    <w:rsid w:val="00671F1A"/>
    <w:rsid w:val="006C0266"/>
    <w:rsid w:val="007311BE"/>
    <w:rsid w:val="007F77D3"/>
    <w:rsid w:val="00944FEE"/>
    <w:rsid w:val="00B56C4E"/>
    <w:rsid w:val="00CC7EAE"/>
    <w:rsid w:val="00D06E14"/>
    <w:rsid w:val="00E07BDB"/>
    <w:rsid w:val="00E9728D"/>
    <w:rsid w:val="00F52669"/>
    <w:rsid w:val="00FB276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05A9C"/>
  <w15:docId w15:val="{EFB9559C-6EB0-4FEA-81BF-E61ACF5A7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C7EAE"/>
  </w:style>
  <w:style w:type="paragraph" w:styleId="Heading1">
    <w:name w:val="heading 1"/>
    <w:basedOn w:val="Normal"/>
    <w:next w:val="Normal"/>
    <w:rsid w:val="00CC7EAE"/>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rsid w:val="00CC7EAE"/>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rsid w:val="00CC7EAE"/>
    <w:pPr>
      <w:keepNext/>
      <w:keepLines/>
      <w:spacing w:before="160" w:after="80"/>
      <w:outlineLvl w:val="2"/>
    </w:pPr>
    <w:rPr>
      <w:color w:val="0F4761"/>
      <w:sz w:val="28"/>
      <w:szCs w:val="28"/>
    </w:rPr>
  </w:style>
  <w:style w:type="paragraph" w:styleId="Heading4">
    <w:name w:val="heading 4"/>
    <w:basedOn w:val="Normal"/>
    <w:next w:val="Normal"/>
    <w:rsid w:val="00CC7EAE"/>
    <w:pPr>
      <w:keepNext/>
      <w:keepLines/>
      <w:spacing w:before="80" w:after="40"/>
      <w:outlineLvl w:val="3"/>
    </w:pPr>
    <w:rPr>
      <w:i/>
      <w:iCs/>
      <w:color w:val="0F4761"/>
    </w:rPr>
  </w:style>
  <w:style w:type="paragraph" w:styleId="Heading5">
    <w:name w:val="heading 5"/>
    <w:basedOn w:val="Normal"/>
    <w:next w:val="Normal"/>
    <w:rsid w:val="00CC7EAE"/>
    <w:pPr>
      <w:keepNext/>
      <w:keepLines/>
      <w:spacing w:before="80" w:after="40"/>
      <w:outlineLvl w:val="4"/>
    </w:pPr>
    <w:rPr>
      <w:color w:val="0F4761"/>
    </w:rPr>
  </w:style>
  <w:style w:type="paragraph" w:styleId="Heading6">
    <w:name w:val="heading 6"/>
    <w:basedOn w:val="Normal"/>
    <w:next w:val="Normal"/>
    <w:rsid w:val="00CC7EAE"/>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CC7EAE"/>
    <w:tblPr>
      <w:tblCellMar>
        <w:top w:w="100" w:type="dxa"/>
        <w:left w:w="100" w:type="dxa"/>
        <w:bottom w:w="100" w:type="dxa"/>
        <w:right w:w="100" w:type="dxa"/>
      </w:tblCellMar>
    </w:tblPr>
  </w:style>
  <w:style w:type="paragraph" w:styleId="Title">
    <w:name w:val="Title"/>
    <w:basedOn w:val="Normal"/>
    <w:next w:val="Normal"/>
    <w:rsid w:val="00CC7EAE"/>
    <w:pPr>
      <w:spacing w:after="80" w:line="240" w:lineRule="auto"/>
    </w:pPr>
    <w:rPr>
      <w:rFonts w:ascii="Play" w:eastAsia="Play" w:hAnsi="Play" w:cs="Play"/>
      <w:sz w:val="56"/>
      <w:szCs w:val="56"/>
    </w:rPr>
  </w:style>
  <w:style w:type="table" w:customStyle="1" w:styleId="TableNormal1">
    <w:name w:val="TableNormal"/>
    <w:rsid w:val="00CC7EAE"/>
    <w:tblPr>
      <w:tblCellMar>
        <w:top w:w="100" w:type="dxa"/>
        <w:left w:w="100" w:type="dxa"/>
        <w:bottom w:w="100" w:type="dxa"/>
        <w:right w:w="100" w:type="dxa"/>
      </w:tblCellMar>
    </w:tblPr>
  </w:style>
  <w:style w:type="paragraph" w:styleId="EndnoteText">
    <w:name w:val="endnote text"/>
    <w:basedOn w:val="Normal"/>
    <w:link w:val="EndnoteTextChar"/>
    <w:uiPriority w:val="99"/>
    <w:semiHidden/>
    <w:unhideWhenUsed/>
    <w:rsid w:val="007A01C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A01CB"/>
    <w:rPr>
      <w:sz w:val="20"/>
      <w:szCs w:val="20"/>
    </w:rPr>
  </w:style>
  <w:style w:type="paragraph" w:styleId="FootnoteText">
    <w:name w:val="footnote text"/>
    <w:basedOn w:val="Normal"/>
    <w:link w:val="FootnoteTextChar"/>
    <w:uiPriority w:val="99"/>
    <w:semiHidden/>
    <w:unhideWhenUsed/>
    <w:rsid w:val="007A01C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A01CB"/>
    <w:rPr>
      <w:sz w:val="20"/>
      <w:szCs w:val="20"/>
    </w:rPr>
  </w:style>
  <w:style w:type="character" w:styleId="EndnoteReference">
    <w:name w:val="endnote reference"/>
    <w:basedOn w:val="DefaultParagraphFont"/>
    <w:uiPriority w:val="99"/>
    <w:semiHidden/>
    <w:unhideWhenUsed/>
    <w:rsid w:val="007A01CB"/>
    <w:rPr>
      <w:vertAlign w:val="superscript"/>
    </w:rPr>
  </w:style>
  <w:style w:type="character" w:styleId="FootnoteReference">
    <w:name w:val="footnote reference"/>
    <w:basedOn w:val="DefaultParagraphFont"/>
    <w:uiPriority w:val="99"/>
    <w:semiHidden/>
    <w:unhideWhenUsed/>
    <w:rsid w:val="007A01CB"/>
    <w:rPr>
      <w:vertAlign w:val="superscript"/>
    </w:rPr>
  </w:style>
  <w:style w:type="paragraph" w:styleId="Subtitle">
    <w:name w:val="Subtitle"/>
    <w:basedOn w:val="Normal"/>
    <w:next w:val="Normal"/>
    <w:rsid w:val="00CC7EAE"/>
    <w:rPr>
      <w:color w:val="595959"/>
      <w:sz w:val="28"/>
      <w:szCs w:val="28"/>
    </w:rPr>
  </w:style>
  <w:style w:type="paragraph" w:styleId="CommentText">
    <w:name w:val="annotation text"/>
    <w:basedOn w:val="Normal"/>
    <w:link w:val="CommentTextChar"/>
    <w:uiPriority w:val="99"/>
    <w:semiHidden/>
    <w:unhideWhenUsed/>
    <w:rsid w:val="00CC7EAE"/>
    <w:pPr>
      <w:spacing w:line="240" w:lineRule="auto"/>
    </w:pPr>
    <w:rPr>
      <w:sz w:val="20"/>
      <w:szCs w:val="20"/>
    </w:rPr>
  </w:style>
  <w:style w:type="character" w:customStyle="1" w:styleId="CommentTextChar">
    <w:name w:val="Comment Text Char"/>
    <w:basedOn w:val="DefaultParagraphFont"/>
    <w:link w:val="CommentText"/>
    <w:uiPriority w:val="99"/>
    <w:semiHidden/>
    <w:rsid w:val="00CC7EAE"/>
    <w:rPr>
      <w:sz w:val="20"/>
      <w:szCs w:val="20"/>
    </w:rPr>
  </w:style>
  <w:style w:type="character" w:styleId="CommentReference">
    <w:name w:val="annotation reference"/>
    <w:basedOn w:val="DefaultParagraphFont"/>
    <w:uiPriority w:val="99"/>
    <w:semiHidden/>
    <w:unhideWhenUsed/>
    <w:rsid w:val="00CC7EAE"/>
    <w:rPr>
      <w:sz w:val="16"/>
      <w:szCs w:val="16"/>
    </w:rPr>
  </w:style>
  <w:style w:type="paragraph" w:styleId="BalloonText">
    <w:name w:val="Balloon Text"/>
    <w:basedOn w:val="Normal"/>
    <w:link w:val="BalloonTextChar"/>
    <w:uiPriority w:val="99"/>
    <w:semiHidden/>
    <w:unhideWhenUsed/>
    <w:rsid w:val="00671F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1F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polit.ru/article/2009/04/14/viza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olit.ru/article/2009/04/14/vizan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JT4dEQFAzl2z1hiL7w7JK9WbdA==">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</go:docsCustomData>
</go:gDocsCustomXmlDataStorage>
</file>

<file path=customXml/itemProps1.xml><?xml version="1.0" encoding="utf-8"?>
<ds:datastoreItem xmlns:ds="http://schemas.openxmlformats.org/officeDocument/2006/customXml" ds:itemID="{5E529F23-C71A-402B-AF46-34D1DE22FA4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7893ce20-a697-4fd6-a4da-14011f6a471d}" enabled="1" method="Standard" siteId="{a8eec281-aaa3-4dae-ac9b-9a398b9215e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59</Pages>
  <Words>15285</Words>
  <Characters>87131</Characters>
  <Application>Microsoft Office Word</Application>
  <DocSecurity>0</DocSecurity>
  <Lines>726</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Niamh Bhalla</dc:creator>
  <cp:lastModifiedBy>Bhalla, Niamh</cp:lastModifiedBy>
  <cp:revision>2</cp:revision>
  <dcterms:created xsi:type="dcterms:W3CDTF">2026-10-20T11:26:00Z</dcterms:created>
  <dcterms:modified xsi:type="dcterms:W3CDTF">2026-10-20T11:26:00Z</dcterms:modified>
</cp:coreProperties>
</file>