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9D8471"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p>
    <w:p w14:paraId="35EEA48A" w14:textId="77777777" w:rsidR="00000000" w:rsidRDefault="00000000">
      <w:pPr>
        <w:widowControl w:val="0"/>
        <w:autoSpaceDE w:val="0"/>
        <w:autoSpaceDN w:val="0"/>
        <w:adjustRightInd w:val="0"/>
        <w:spacing w:after="0" w:line="240" w:lineRule="auto"/>
        <w:rPr>
          <w:rFonts w:ascii="Arial" w:hAnsi="Arial" w:cs="Arial"/>
          <w:kern w:val="0"/>
        </w:rPr>
        <w:sectPr w:rsidR="00000000">
          <w:headerReference w:type="default" r:id="rId6"/>
          <w:footerReference w:type="default" r:id="rId7"/>
          <w:pgSz w:w="12240" w:h="15840"/>
          <w:pgMar w:top="1080" w:right="1080" w:bottom="1080" w:left="1080" w:header="720" w:footer="720" w:gutter="0"/>
          <w:cols w:space="720"/>
          <w:noEndnote/>
        </w:sectPr>
      </w:pPr>
    </w:p>
    <w:p w14:paraId="1F2B1289" w14:textId="77777777" w:rsidR="00000000" w:rsidRDefault="00000000">
      <w:pPr>
        <w:widowControl w:val="0"/>
        <w:autoSpaceDE w:val="0"/>
        <w:autoSpaceDN w:val="0"/>
        <w:adjustRightInd w:val="0"/>
        <w:spacing w:before="100" w:after="0" w:line="240" w:lineRule="auto"/>
        <w:jc w:val="both"/>
        <w:rPr>
          <w:rFonts w:ascii="Times New Roman" w:hAnsi="Times New Roman" w:cs="Times New Roman"/>
          <w:color w:val="505050"/>
          <w:kern w:val="0"/>
          <w:sz w:val="20"/>
          <w:szCs w:val="20"/>
        </w:rPr>
      </w:pPr>
      <w:r>
        <w:rPr>
          <w:rFonts w:ascii="Times New Roman" w:hAnsi="Times New Roman" w:cs="Times New Roman"/>
          <w:color w:val="505050"/>
          <w:kern w:val="0"/>
          <w:sz w:val="20"/>
          <w:szCs w:val="20"/>
        </w:rPr>
        <w:t>For educational use only</w:t>
      </w:r>
    </w:p>
    <w:p w14:paraId="5272CCE3" w14:textId="77777777" w:rsidR="00000000" w:rsidRDefault="00000000">
      <w:pPr>
        <w:widowControl w:val="0"/>
        <w:autoSpaceDE w:val="0"/>
        <w:autoSpaceDN w:val="0"/>
        <w:adjustRightInd w:val="0"/>
        <w:spacing w:after="0" w:line="240" w:lineRule="auto"/>
        <w:rPr>
          <w:rFonts w:ascii="Times New Roman" w:hAnsi="Times New Roman" w:cs="Times New Roman"/>
          <w:b/>
          <w:bCs/>
          <w:color w:val="3D3D3D"/>
          <w:kern w:val="0"/>
          <w:sz w:val="36"/>
          <w:szCs w:val="36"/>
        </w:rPr>
      </w:pPr>
      <w:r>
        <w:rPr>
          <w:rFonts w:ascii="Times New Roman" w:hAnsi="Times New Roman" w:cs="Times New Roman"/>
          <w:b/>
          <w:bCs/>
          <w:color w:val="3D3D3D"/>
          <w:kern w:val="0"/>
          <w:sz w:val="36"/>
          <w:szCs w:val="36"/>
        </w:rPr>
        <w:t>Media and Entertainment Law</w:t>
      </w:r>
    </w:p>
    <w:p w14:paraId="192B065F" w14:textId="77777777" w:rsidR="00000000" w:rsidRDefault="00000000">
      <w:pPr>
        <w:widowControl w:val="0"/>
        <w:pBdr>
          <w:bottom w:val="single" w:sz="8" w:space="0" w:color="CCCCCC"/>
        </w:pBdr>
        <w:autoSpaceDE w:val="0"/>
        <w:autoSpaceDN w:val="0"/>
        <w:adjustRightInd w:val="0"/>
        <w:spacing w:after="0" w:line="240" w:lineRule="auto"/>
        <w:rPr>
          <w:rFonts w:ascii="Times New Roman" w:hAnsi="Times New Roman" w:cs="Times New Roman"/>
          <w:b/>
          <w:bCs/>
          <w:color w:val="505050"/>
          <w:kern w:val="0"/>
          <w:sz w:val="20"/>
          <w:szCs w:val="20"/>
          <w:shd w:val="clear" w:color="auto" w:fill="FFFFFF"/>
        </w:rPr>
      </w:pPr>
      <w:r>
        <w:rPr>
          <w:rFonts w:ascii="Times New Roman" w:hAnsi="Times New Roman" w:cs="Times New Roman"/>
          <w:b/>
          <w:bCs/>
          <w:color w:val="252525"/>
          <w:kern w:val="0"/>
          <w:sz w:val="20"/>
          <w:szCs w:val="20"/>
          <w:shd w:val="clear" w:color="auto" w:fill="FFFF66"/>
        </w:rPr>
        <w:t>Ursula</w:t>
      </w:r>
      <w:r>
        <w:rPr>
          <w:rFonts w:ascii="Times New Roman" w:hAnsi="Times New Roman" w:cs="Times New Roman"/>
          <w:b/>
          <w:bCs/>
          <w:color w:val="505050"/>
          <w:kern w:val="0"/>
          <w:sz w:val="20"/>
          <w:szCs w:val="20"/>
        </w:rPr>
        <w:t xml:space="preserve"> </w:t>
      </w:r>
      <w:r>
        <w:rPr>
          <w:rFonts w:ascii="Times New Roman" w:hAnsi="Times New Roman" w:cs="Times New Roman"/>
          <w:b/>
          <w:bCs/>
          <w:color w:val="252525"/>
          <w:kern w:val="0"/>
          <w:sz w:val="20"/>
          <w:szCs w:val="20"/>
          <w:shd w:val="clear" w:color="auto" w:fill="FFFF66"/>
        </w:rPr>
        <w:t>Smartt</w:t>
      </w:r>
    </w:p>
    <w:p w14:paraId="22A01F30" w14:textId="77777777" w:rsidR="00000000" w:rsidRDefault="00000000">
      <w:pPr>
        <w:widowControl w:val="0"/>
        <w:pBdr>
          <w:bottom w:val="single" w:sz="8" w:space="0" w:color="CCCCCC"/>
        </w:pBdr>
        <w:autoSpaceDE w:val="0"/>
        <w:autoSpaceDN w:val="0"/>
        <w:adjustRightInd w:val="0"/>
        <w:spacing w:before="240" w:after="0" w:line="240" w:lineRule="auto"/>
        <w:rPr>
          <w:rFonts w:ascii="Times New Roman" w:hAnsi="Times New Roman" w:cs="Times New Roman"/>
          <w:color w:val="1F1F1F"/>
          <w:kern w:val="0"/>
          <w:sz w:val="18"/>
          <w:szCs w:val="18"/>
        </w:rPr>
      </w:pPr>
      <w:r>
        <w:rPr>
          <w:rFonts w:ascii="Times New Roman" w:hAnsi="Times New Roman" w:cs="Times New Roman"/>
          <w:color w:val="1F1F1F"/>
          <w:kern w:val="0"/>
          <w:sz w:val="18"/>
          <w:szCs w:val="18"/>
        </w:rPr>
        <w:t>Publication Review</w:t>
      </w:r>
    </w:p>
    <w:p w14:paraId="73D94283" w14:textId="77777777" w:rsidR="00000000" w:rsidRDefault="00000000">
      <w:pPr>
        <w:widowControl w:val="0"/>
        <w:pBdr>
          <w:bottom w:val="single" w:sz="8" w:space="0" w:color="CCCCCC"/>
        </w:pBdr>
        <w:autoSpaceDE w:val="0"/>
        <w:autoSpaceDN w:val="0"/>
        <w:adjustRightInd w:val="0"/>
        <w:spacing w:after="0" w:line="240" w:lineRule="auto"/>
        <w:rPr>
          <w:rFonts w:ascii="Times New Roman" w:hAnsi="Times New Roman" w:cs="Times New Roman"/>
          <w:color w:val="1F1F1F"/>
          <w:kern w:val="0"/>
          <w:sz w:val="18"/>
          <w:szCs w:val="18"/>
        </w:rPr>
      </w:pPr>
      <w:r>
        <w:rPr>
          <w:rFonts w:ascii="Times New Roman" w:hAnsi="Times New Roman" w:cs="Times New Roman"/>
          <w:color w:val="1F1F1F"/>
          <w:kern w:val="0"/>
          <w:sz w:val="18"/>
          <w:szCs w:val="18"/>
        </w:rPr>
        <w:t> </w:t>
      </w:r>
    </w:p>
    <w:p w14:paraId="70D97FC4" w14:textId="77777777" w:rsidR="00000000" w:rsidRDefault="00000000">
      <w:pPr>
        <w:widowControl w:val="0"/>
        <w:pBdr>
          <w:bottom w:val="single" w:sz="8" w:space="0" w:color="CCCCCC"/>
        </w:pBdr>
        <w:autoSpaceDE w:val="0"/>
        <w:autoSpaceDN w:val="0"/>
        <w:adjustRightInd w:val="0"/>
        <w:spacing w:after="0" w:line="240" w:lineRule="auto"/>
        <w:rPr>
          <w:rFonts w:ascii="Times New Roman" w:hAnsi="Times New Roman" w:cs="Times New Roman"/>
          <w:color w:val="1F1F1F"/>
          <w:kern w:val="0"/>
          <w:sz w:val="18"/>
          <w:szCs w:val="18"/>
        </w:rPr>
      </w:pPr>
      <w:hyperlink r:id="rId8" w:history="1">
        <w:r>
          <w:rPr>
            <w:rFonts w:ascii="Times New Roman" w:hAnsi="Times New Roman" w:cs="Times New Roman"/>
            <w:color w:val="006FC4"/>
            <w:kern w:val="0"/>
            <w:sz w:val="18"/>
            <w:szCs w:val="18"/>
          </w:rPr>
          <w:t>Entertainment Law Review</w:t>
        </w:r>
      </w:hyperlink>
    </w:p>
    <w:p w14:paraId="63077CDC" w14:textId="77777777" w:rsidR="00000000" w:rsidRDefault="00000000">
      <w:pPr>
        <w:widowControl w:val="0"/>
        <w:pBdr>
          <w:bottom w:val="single" w:sz="8" w:space="0" w:color="CCCCCC"/>
        </w:pBdr>
        <w:autoSpaceDE w:val="0"/>
        <w:autoSpaceDN w:val="0"/>
        <w:adjustRightInd w:val="0"/>
        <w:spacing w:before="240" w:after="0" w:line="240" w:lineRule="auto"/>
        <w:rPr>
          <w:rFonts w:ascii="Times New Roman" w:hAnsi="Times New Roman" w:cs="Times New Roman"/>
          <w:color w:val="1F1F1F"/>
          <w:kern w:val="0"/>
          <w:sz w:val="18"/>
          <w:szCs w:val="18"/>
        </w:rPr>
      </w:pPr>
      <w:r>
        <w:rPr>
          <w:rFonts w:ascii="Times New Roman" w:hAnsi="Times New Roman" w:cs="Times New Roman"/>
          <w:color w:val="1F1F1F"/>
          <w:kern w:val="0"/>
          <w:sz w:val="18"/>
          <w:szCs w:val="18"/>
        </w:rPr>
        <w:t> </w:t>
      </w:r>
    </w:p>
    <w:p w14:paraId="314DEB19" w14:textId="77777777" w:rsidR="00000000" w:rsidRDefault="00000000">
      <w:pPr>
        <w:widowControl w:val="0"/>
        <w:pBdr>
          <w:bottom w:val="single" w:sz="8" w:space="0" w:color="CCCCCC"/>
        </w:pBdr>
        <w:autoSpaceDE w:val="0"/>
        <w:autoSpaceDN w:val="0"/>
        <w:adjustRightInd w:val="0"/>
        <w:spacing w:before="240" w:after="0" w:line="240" w:lineRule="auto"/>
        <w:rPr>
          <w:rFonts w:ascii="Times New Roman" w:hAnsi="Times New Roman" w:cs="Times New Roman"/>
          <w:b/>
          <w:bCs/>
          <w:color w:val="1F1F1F"/>
          <w:kern w:val="0"/>
          <w:sz w:val="18"/>
          <w:szCs w:val="18"/>
        </w:rPr>
      </w:pPr>
      <w:r>
        <w:rPr>
          <w:rFonts w:ascii="Times New Roman" w:hAnsi="Times New Roman" w:cs="Times New Roman"/>
          <w:b/>
          <w:bCs/>
          <w:color w:val="1F1F1F"/>
          <w:kern w:val="0"/>
          <w:sz w:val="18"/>
          <w:szCs w:val="18"/>
        </w:rPr>
        <w:t>Ent. L.R. 2026, 37(3), 110-111</w:t>
      </w:r>
    </w:p>
    <w:p w14:paraId="1540FC7F" w14:textId="77777777" w:rsidR="00000000" w:rsidRDefault="00000000">
      <w:pPr>
        <w:widowControl w:val="0"/>
        <w:pBdr>
          <w:bottom w:val="single" w:sz="8" w:space="0" w:color="CCCCCC"/>
        </w:pBdr>
        <w:autoSpaceDE w:val="0"/>
        <w:autoSpaceDN w:val="0"/>
        <w:adjustRightInd w:val="0"/>
        <w:spacing w:after="200" w:line="240" w:lineRule="auto"/>
        <w:rPr>
          <w:rFonts w:ascii="Times New Roman" w:hAnsi="Times New Roman" w:cs="Times New Roman"/>
          <w:color w:val="1F1F1F"/>
          <w:kern w:val="0"/>
          <w:sz w:val="18"/>
          <w:szCs w:val="18"/>
        </w:rPr>
      </w:pPr>
      <w:r>
        <w:rPr>
          <w:rFonts w:ascii="Times New Roman" w:hAnsi="Times New Roman" w:cs="Times New Roman"/>
          <w:color w:val="1F1F1F"/>
          <w:kern w:val="0"/>
          <w:sz w:val="18"/>
          <w:szCs w:val="18"/>
        </w:rPr>
        <w:t> </w:t>
      </w:r>
    </w:p>
    <w:p w14:paraId="79234284" w14:textId="77777777" w:rsidR="00000000" w:rsidRDefault="00000000">
      <w:pPr>
        <w:widowControl w:val="0"/>
        <w:pBdr>
          <w:bottom w:val="single" w:sz="8" w:space="0" w:color="CCCCCC"/>
        </w:pBdr>
        <w:autoSpaceDE w:val="0"/>
        <w:autoSpaceDN w:val="0"/>
        <w:adjustRightInd w:val="0"/>
        <w:spacing w:before="240" w:after="0" w:line="240" w:lineRule="auto"/>
        <w:rPr>
          <w:rFonts w:ascii="Times New Roman" w:hAnsi="Times New Roman" w:cs="Times New Roman"/>
          <w:b/>
          <w:bCs/>
          <w:color w:val="1F1F1F"/>
          <w:kern w:val="0"/>
          <w:sz w:val="18"/>
          <w:szCs w:val="18"/>
        </w:rPr>
      </w:pPr>
      <w:r>
        <w:rPr>
          <w:rFonts w:ascii="Times New Roman" w:hAnsi="Times New Roman" w:cs="Times New Roman"/>
          <w:b/>
          <w:bCs/>
          <w:color w:val="1F1F1F"/>
          <w:kern w:val="0"/>
          <w:sz w:val="18"/>
          <w:szCs w:val="18"/>
        </w:rPr>
        <w:t xml:space="preserve">Subject </w:t>
      </w:r>
    </w:p>
    <w:p w14:paraId="58BBAC80" w14:textId="77777777" w:rsidR="00000000" w:rsidRDefault="00000000">
      <w:pPr>
        <w:widowControl w:val="0"/>
        <w:pBdr>
          <w:bottom w:val="single" w:sz="8" w:space="0" w:color="CCCCCC"/>
        </w:pBdr>
        <w:autoSpaceDE w:val="0"/>
        <w:autoSpaceDN w:val="0"/>
        <w:adjustRightInd w:val="0"/>
        <w:spacing w:after="0" w:line="240" w:lineRule="auto"/>
        <w:rPr>
          <w:rFonts w:ascii="Times New Roman" w:hAnsi="Times New Roman" w:cs="Times New Roman"/>
          <w:color w:val="1F1F1F"/>
          <w:kern w:val="0"/>
          <w:sz w:val="18"/>
          <w:szCs w:val="18"/>
        </w:rPr>
      </w:pPr>
      <w:r>
        <w:rPr>
          <w:rFonts w:ascii="Times New Roman" w:hAnsi="Times New Roman" w:cs="Times New Roman"/>
          <w:color w:val="1F1F1F"/>
          <w:kern w:val="0"/>
          <w:sz w:val="18"/>
          <w:szCs w:val="18"/>
        </w:rPr>
        <w:t>Media and entertainment</w:t>
      </w:r>
    </w:p>
    <w:p w14:paraId="32D58FBB" w14:textId="77777777" w:rsidR="00000000" w:rsidRDefault="00000000">
      <w:pPr>
        <w:widowControl w:val="0"/>
        <w:pBdr>
          <w:bottom w:val="single" w:sz="8" w:space="0" w:color="CCCCCC"/>
        </w:pBdr>
        <w:autoSpaceDE w:val="0"/>
        <w:autoSpaceDN w:val="0"/>
        <w:adjustRightInd w:val="0"/>
        <w:spacing w:after="200" w:line="240" w:lineRule="auto"/>
        <w:rPr>
          <w:rFonts w:ascii="Times New Roman" w:hAnsi="Times New Roman" w:cs="Times New Roman"/>
          <w:color w:val="1F1F1F"/>
          <w:kern w:val="0"/>
          <w:sz w:val="18"/>
          <w:szCs w:val="18"/>
        </w:rPr>
      </w:pPr>
      <w:r>
        <w:rPr>
          <w:rFonts w:ascii="Times New Roman" w:hAnsi="Times New Roman" w:cs="Times New Roman"/>
          <w:color w:val="1F1F1F"/>
          <w:kern w:val="0"/>
          <w:sz w:val="18"/>
          <w:szCs w:val="18"/>
        </w:rPr>
        <w:t> </w:t>
      </w:r>
    </w:p>
    <w:p w14:paraId="45F7BB9F"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b/>
          <w:bCs/>
          <w:color w:val="1F1F1F"/>
          <w:kern w:val="0"/>
          <w:sz w:val="20"/>
          <w:szCs w:val="20"/>
        </w:rPr>
        <w:t xml:space="preserve">Reviewed by: </w:t>
      </w:r>
      <w:r>
        <w:rPr>
          <w:rFonts w:ascii="Times New Roman" w:hAnsi="Times New Roman" w:cs="Times New Roman"/>
          <w:color w:val="1F1F1F"/>
          <w:kern w:val="0"/>
          <w:sz w:val="20"/>
          <w:szCs w:val="20"/>
        </w:rPr>
        <w:t>Dr Lisa Collingwood</w:t>
      </w:r>
    </w:p>
    <w:p w14:paraId="4BE58F90" w14:textId="77777777" w:rsidR="00000000" w:rsidRDefault="00000000">
      <w:pPr>
        <w:widowControl w:val="0"/>
        <w:autoSpaceDE w:val="0"/>
        <w:autoSpaceDN w:val="0"/>
        <w:adjustRightInd w:val="0"/>
        <w:spacing w:before="200" w:after="0" w:line="240" w:lineRule="auto"/>
        <w:jc w:val="both"/>
        <w:rPr>
          <w:rFonts w:ascii="Times New Roman" w:hAnsi="Times New Roman" w:cs="Times New Roman"/>
          <w:color w:val="1F1F1F"/>
          <w:kern w:val="0"/>
          <w:sz w:val="20"/>
          <w:szCs w:val="20"/>
        </w:rPr>
      </w:pPr>
      <w:r>
        <w:rPr>
          <w:rFonts w:ascii="Times New Roman" w:hAnsi="Times New Roman" w:cs="Times New Roman"/>
          <w:b/>
          <w:bCs/>
          <w:i/>
          <w:iCs/>
          <w:color w:val="007236"/>
          <w:kern w:val="0"/>
          <w:sz w:val="20"/>
          <w:szCs w:val="20"/>
        </w:rPr>
        <w:t>*Ent. L.R. 110</w:t>
      </w:r>
      <w:r>
        <w:rPr>
          <w:rFonts w:ascii="Times New Roman" w:hAnsi="Times New Roman" w:cs="Times New Roman"/>
          <w:color w:val="1F1F1F"/>
          <w:kern w:val="0"/>
          <w:sz w:val="20"/>
          <w:szCs w:val="20"/>
        </w:rPr>
        <w:t xml:space="preserve"> The current and future issues attaching to media and entertainment law are comprehensively addressed in this book. The sixth edition focuses, in </w:t>
      </w:r>
      <w:proofErr w:type="gramStart"/>
      <w:r>
        <w:rPr>
          <w:rFonts w:ascii="Times New Roman" w:hAnsi="Times New Roman" w:cs="Times New Roman"/>
          <w:color w:val="1F1F1F"/>
          <w:kern w:val="0"/>
          <w:sz w:val="20"/>
          <w:szCs w:val="20"/>
        </w:rPr>
        <w:t>particular,</w:t>
      </w:r>
      <w:proofErr w:type="gramEnd"/>
      <w:r>
        <w:rPr>
          <w:rFonts w:ascii="Times New Roman" w:hAnsi="Times New Roman" w:cs="Times New Roman"/>
          <w:color w:val="1F1F1F"/>
          <w:kern w:val="0"/>
          <w:sz w:val="20"/>
          <w:szCs w:val="20"/>
        </w:rPr>
        <w:t xml:space="preserve"> on the dynamic changes facilitated by artificial intelligence (AI) on environments such as film, television, music and publishing. Across nine chapters, a range of topics are explored, including freedom of expression, privacy and data protection, intellectual property, online harms and regulatory challenges (the final chapters focus on the inherent tensions of technological enhancement, showcasing the need for legislative reform). As articulated in the foreword, each chapter offers accessible, in-depth and compelling material that students, practitioners and those interested in the intersection of law, media and entertainment will find valuable. A central concern is the impact of AI </w:t>
      </w:r>
      <w:proofErr w:type="gramStart"/>
      <w:r>
        <w:rPr>
          <w:rFonts w:ascii="Times New Roman" w:hAnsi="Times New Roman" w:cs="Times New Roman"/>
          <w:color w:val="1F1F1F"/>
          <w:kern w:val="0"/>
          <w:sz w:val="20"/>
          <w:szCs w:val="20"/>
        </w:rPr>
        <w:t>technologies</w:t>
      </w:r>
      <w:proofErr w:type="gramEnd"/>
      <w:r>
        <w:rPr>
          <w:rFonts w:ascii="Times New Roman" w:hAnsi="Times New Roman" w:cs="Times New Roman"/>
          <w:color w:val="1F1F1F"/>
          <w:kern w:val="0"/>
          <w:sz w:val="20"/>
          <w:szCs w:val="20"/>
        </w:rPr>
        <w:t xml:space="preserve"> and the latest debate (as </w:t>
      </w:r>
      <w:proofErr w:type="gramStart"/>
      <w:r>
        <w:rPr>
          <w:rFonts w:ascii="Times New Roman" w:hAnsi="Times New Roman" w:cs="Times New Roman"/>
          <w:color w:val="1F1F1F"/>
          <w:kern w:val="0"/>
          <w:sz w:val="20"/>
          <w:szCs w:val="20"/>
        </w:rPr>
        <w:t>at</w:t>
      </w:r>
      <w:proofErr w:type="gramEnd"/>
      <w:r>
        <w:rPr>
          <w:rFonts w:ascii="Times New Roman" w:hAnsi="Times New Roman" w:cs="Times New Roman"/>
          <w:color w:val="1F1F1F"/>
          <w:kern w:val="0"/>
          <w:sz w:val="20"/>
          <w:szCs w:val="20"/>
        </w:rPr>
        <w:t xml:space="preserve"> 1 June 2025), legislation and case law is incorporated throughout. Whilst the jurisdiction is predominantly domestic (England and Wales, Scotland and Northern Ireland), international governance in areas such as copyright, internet regulation, defamation and contempt is also extensively addressed.</w:t>
      </w:r>
    </w:p>
    <w:p w14:paraId="40C1681F"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56C43AD0"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xml:space="preserve">The strength of the book lies in the fact that, in each chapter, </w:t>
      </w:r>
      <w:r>
        <w:rPr>
          <w:rFonts w:ascii="Times New Roman" w:hAnsi="Times New Roman" w:cs="Times New Roman"/>
          <w:b/>
          <w:bCs/>
          <w:color w:val="252525"/>
          <w:kern w:val="0"/>
          <w:sz w:val="20"/>
          <w:szCs w:val="20"/>
          <w:shd w:val="clear" w:color="auto" w:fill="FFFF66"/>
        </w:rPr>
        <w:t>Smartt</w:t>
      </w:r>
      <w:r>
        <w:rPr>
          <w:rFonts w:ascii="Times New Roman" w:hAnsi="Times New Roman" w:cs="Times New Roman"/>
          <w:color w:val="1F1F1F"/>
          <w:kern w:val="0"/>
          <w:sz w:val="20"/>
          <w:szCs w:val="20"/>
        </w:rPr>
        <w:t xml:space="preserve"> blends the theoretical landscape with vocational application which both underpins practical relevance and helps readers from a range of backgrounds to understand this complex area of law. For example, at the outset of each chapter, “Key points” are set out in the form of philosophical and practice-based questions that will subsequently be addressed and a helpful overview follows. Throughout the chapters, there is strong signposting of other areas within the text where readers may locate additional pertinent materials. Additionally, the “For Thought” sections pose a range of essay and problem questions that are particularly helpful in conceptualising the nuanced nature of the law and the degree to which it is fit for purpose given the advance of AI (answers to these questions would be very valuable, especially to student readers). All chapters are well laid out, with key legislation and case law easily identifiable and a comprehensive, though focused, range of further reading is offered at the close of each chapter.</w:t>
      </w:r>
    </w:p>
    <w:p w14:paraId="41111754"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47B8BC38"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xml:space="preserve">The opening chapter concerning freedom of expression/media freedom sets much of the context for subsequent chapters, particularly concerning internet freedom and governance and the section on Strategic Lawsuits Against Public Participation (SLAPPs) represents novel research. Privacy/data protection laws are addressed in Ch.2, the longest one in the book, which includes comprehensive coverage of the myriad of challenges from AI implementation under United States (US), United Kingdom (UK) and European Union (EU) law. After the initial two chapters, there is efficient segue to defamation (Ch.3). This chapter is particularly effective in utilising the legislative landscape of England/Wales, Scotland and Northern Ireland to showcase legislative deficiencies, particularly surrounding the threshold for reaching the sufficient harm test and the defence of truth in the various jurisdictions. Clearly, several high profile recent cases are included in this chapter. Sadly, </w:t>
      </w:r>
      <w:r>
        <w:rPr>
          <w:rFonts w:ascii="Times New Roman" w:hAnsi="Times New Roman" w:cs="Times New Roman"/>
          <w:i/>
          <w:iCs/>
          <w:color w:val="1F1F1F"/>
          <w:kern w:val="0"/>
          <w:sz w:val="20"/>
          <w:szCs w:val="20"/>
        </w:rPr>
        <w:t>Noel Clark v the Guardian [2025] EWHC 2193</w:t>
      </w:r>
      <w:r>
        <w:rPr>
          <w:rFonts w:ascii="Times New Roman" w:hAnsi="Times New Roman" w:cs="Times New Roman"/>
          <w:color w:val="1F1F1F"/>
          <w:kern w:val="0"/>
          <w:sz w:val="20"/>
          <w:szCs w:val="20"/>
        </w:rPr>
        <w:t>, a sensational and historic win for the newspaper, concluded after the book went to print and is, therefore, not included.</w:t>
      </w:r>
    </w:p>
    <w:p w14:paraId="15198DDB"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1063D86A"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xml:space="preserve">Reporting legal proceedings are considered in Ch.4. The context for much of this material is the open justice principle, which </w:t>
      </w:r>
      <w:r>
        <w:rPr>
          <w:rFonts w:ascii="Times New Roman" w:hAnsi="Times New Roman" w:cs="Times New Roman"/>
          <w:color w:val="1F1F1F"/>
          <w:kern w:val="0"/>
          <w:sz w:val="20"/>
          <w:szCs w:val="20"/>
        </w:rPr>
        <w:lastRenderedPageBreak/>
        <w:t>underpins the British justice system and a broad range of hierarchical courts are considered. There is also evaluation of closed hearings and court room TV. This is followed by Ch.5, on contempt of court, which is unique to court reporting in the UK and US. The emphasis for the chapter is the practical function of the law in this area. The chapter closes by exploring the ramifications of online postings capable of producing serious prejudice and, in conjunction with the reach of criminal justice legislation, the question is posed whether British contempt laws are fit for the digital age.</w:t>
      </w:r>
    </w:p>
    <w:p w14:paraId="6172036B"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6DFA0074"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xml:space="preserve">Regulating the communications industry (Ch.6) rightly focuses on the legislative shifts that have recently taken place domestically within broadcast media. This includes treatment of a range of online hateful content and the remit of legislation including the </w:t>
      </w:r>
      <w:hyperlink r:id="rId9" w:history="1">
        <w:r>
          <w:rPr>
            <w:rFonts w:ascii="Times New Roman" w:hAnsi="Times New Roman" w:cs="Times New Roman"/>
            <w:color w:val="006FC4"/>
            <w:kern w:val="0"/>
            <w:sz w:val="20"/>
            <w:szCs w:val="20"/>
          </w:rPr>
          <w:t>Online Safety Act 2023</w:t>
        </w:r>
      </w:hyperlink>
      <w:r>
        <w:rPr>
          <w:rFonts w:ascii="Times New Roman" w:hAnsi="Times New Roman" w:cs="Times New Roman"/>
          <w:color w:val="1F1F1F"/>
          <w:kern w:val="0"/>
          <w:sz w:val="20"/>
          <w:szCs w:val="20"/>
        </w:rPr>
        <w:t xml:space="preserve"> and the </w:t>
      </w:r>
      <w:hyperlink r:id="rId10" w:history="1">
        <w:r>
          <w:rPr>
            <w:rFonts w:ascii="Times New Roman" w:hAnsi="Times New Roman" w:cs="Times New Roman"/>
            <w:color w:val="006FC4"/>
            <w:kern w:val="0"/>
            <w:sz w:val="20"/>
            <w:szCs w:val="20"/>
          </w:rPr>
          <w:t>Media Act 2024</w:t>
        </w:r>
      </w:hyperlink>
      <w:r>
        <w:rPr>
          <w:rFonts w:ascii="Times New Roman" w:hAnsi="Times New Roman" w:cs="Times New Roman"/>
          <w:color w:val="1F1F1F"/>
          <w:kern w:val="0"/>
          <w:sz w:val="20"/>
          <w:szCs w:val="20"/>
        </w:rPr>
        <w:t>. Print media regulation is the context in which Ch.7 is located. Here, the focus is the post-Leveson Inquiry landscape following the News International phone hacking scandal.</w:t>
      </w:r>
    </w:p>
    <w:p w14:paraId="2AF04127"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5E0034EE"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xml:space="preserve">The concluding chs 8 and 9, require reading in tandem—the former introduces the basic concepts of intellectual property law and the precedents associated with </w:t>
      </w:r>
      <w:proofErr w:type="spellStart"/>
      <w:r>
        <w:rPr>
          <w:rFonts w:ascii="Times New Roman" w:hAnsi="Times New Roman" w:cs="Times New Roman"/>
          <w:color w:val="1F1F1F"/>
          <w:kern w:val="0"/>
          <w:sz w:val="20"/>
          <w:szCs w:val="20"/>
        </w:rPr>
        <w:t>trade marks</w:t>
      </w:r>
      <w:proofErr w:type="spellEnd"/>
      <w:r>
        <w:rPr>
          <w:rFonts w:ascii="Times New Roman" w:hAnsi="Times New Roman" w:cs="Times New Roman"/>
          <w:color w:val="1F1F1F"/>
          <w:kern w:val="0"/>
          <w:sz w:val="20"/>
          <w:szCs w:val="20"/>
        </w:rPr>
        <w:t xml:space="preserve">, patents and design rights—the latter, on entertainment law, adopts a comparative law (UK:US) approach to focus on the growing legal lacuna concerning music copyright infringement given the prevalence of AI generated content. The author’s explanation and analysis of the shortfalls of the domestic legislation is particularly clear and concise in underscoring the requirement for reform directed on aiding artists. </w:t>
      </w:r>
      <w:r>
        <w:rPr>
          <w:rFonts w:ascii="Times New Roman" w:hAnsi="Times New Roman" w:cs="Times New Roman"/>
          <w:b/>
          <w:bCs/>
          <w:i/>
          <w:iCs/>
          <w:color w:val="007236"/>
          <w:kern w:val="0"/>
          <w:sz w:val="20"/>
          <w:szCs w:val="20"/>
        </w:rPr>
        <w:t>*Ent. L.R. 111</w:t>
      </w:r>
    </w:p>
    <w:p w14:paraId="48FB7E67"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732D1D7E"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Overall, the text is extremely easy to read and provides much current thinking on the topics. I utilised it extensively to formulate learning materials for final year law undergraduate students studying Law and Innovation. In particular, the eminently digestible bite-size case commentaries, clear articulation of the legislative landscape, and probing essay and problem questions are very valuable.</w:t>
      </w:r>
    </w:p>
    <w:p w14:paraId="24D15014"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0CF9D8EC"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xml:space="preserve">It is clear in the writing that the author has an enduring passion with the topic and enjoys articulating the convoluted web of law that thrives in the environments of media and entertainment. Essentially, in this sixth edition, the growing dominance of AI has hastened an extensive rewriting. The overriding takeaway of this book is that the law has become highly complex in the digital age—no more so than in media and entertainment law. However, whilst the book is a dynamic representation of the law in flux, foundational underpinnings are not compromised and the main themes from earlier versions continue to be freedom of speech, media freedom, privacy and the open justice system. Accordingly, it would be most suitable for anyone interested in the regulatory environment of the internet, be they teachers, students, lawyers or </w:t>
      </w:r>
      <w:proofErr w:type="spellStart"/>
      <w:r>
        <w:rPr>
          <w:rFonts w:ascii="Times New Roman" w:hAnsi="Times New Roman" w:cs="Times New Roman"/>
          <w:color w:val="1F1F1F"/>
          <w:kern w:val="0"/>
          <w:sz w:val="20"/>
          <w:szCs w:val="20"/>
        </w:rPr>
        <w:t>practioners</w:t>
      </w:r>
      <w:proofErr w:type="spellEnd"/>
      <w:r>
        <w:rPr>
          <w:rFonts w:ascii="Times New Roman" w:hAnsi="Times New Roman" w:cs="Times New Roman"/>
          <w:color w:val="1F1F1F"/>
          <w:kern w:val="0"/>
          <w:sz w:val="20"/>
          <w:szCs w:val="20"/>
        </w:rPr>
        <w:t xml:space="preserve">. I imagine the seventh edition of this book is already in </w:t>
      </w:r>
      <w:r>
        <w:rPr>
          <w:rFonts w:ascii="Times New Roman" w:hAnsi="Times New Roman" w:cs="Times New Roman"/>
          <w:b/>
          <w:bCs/>
          <w:color w:val="252525"/>
          <w:kern w:val="0"/>
          <w:sz w:val="20"/>
          <w:szCs w:val="20"/>
          <w:shd w:val="clear" w:color="auto" w:fill="FFFF66"/>
        </w:rPr>
        <w:t>Smartt</w:t>
      </w:r>
      <w:r>
        <w:rPr>
          <w:rFonts w:ascii="Times New Roman" w:hAnsi="Times New Roman" w:cs="Times New Roman"/>
          <w:color w:val="1F1F1F"/>
          <w:kern w:val="0"/>
          <w:sz w:val="20"/>
          <w:szCs w:val="20"/>
        </w:rPr>
        <w:t>’s contemplation and will represent another impressive and authoritative read.</w:t>
      </w:r>
    </w:p>
    <w:p w14:paraId="68039E6A"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6DE129B0"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xml:space="preserve">Dr </w:t>
      </w:r>
      <w:r>
        <w:rPr>
          <w:rFonts w:ascii="Times New Roman" w:hAnsi="Times New Roman" w:cs="Times New Roman"/>
          <w:b/>
          <w:bCs/>
          <w:color w:val="252525"/>
          <w:kern w:val="0"/>
          <w:sz w:val="20"/>
          <w:szCs w:val="20"/>
          <w:shd w:val="clear" w:color="auto" w:fill="FFFF66"/>
        </w:rPr>
        <w:t>Lisa</w:t>
      </w:r>
      <w:r>
        <w:rPr>
          <w:rFonts w:ascii="Times New Roman" w:hAnsi="Times New Roman" w:cs="Times New Roman"/>
          <w:color w:val="1F1F1F"/>
          <w:kern w:val="0"/>
          <w:sz w:val="20"/>
          <w:szCs w:val="20"/>
        </w:rPr>
        <w:t xml:space="preserve"> </w:t>
      </w:r>
      <w:r>
        <w:rPr>
          <w:rFonts w:ascii="Times New Roman" w:hAnsi="Times New Roman" w:cs="Times New Roman"/>
          <w:b/>
          <w:bCs/>
          <w:color w:val="252525"/>
          <w:kern w:val="0"/>
          <w:sz w:val="20"/>
          <w:szCs w:val="20"/>
          <w:shd w:val="clear" w:color="auto" w:fill="FFFF66"/>
        </w:rPr>
        <w:t>Collingwood</w:t>
      </w:r>
    </w:p>
    <w:p w14:paraId="72093554"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664FC309"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i/>
          <w:iCs/>
          <w:color w:val="1F1F1F"/>
          <w:kern w:val="0"/>
          <w:sz w:val="20"/>
          <w:szCs w:val="20"/>
        </w:rPr>
        <w:t>Associate Professor</w:t>
      </w:r>
    </w:p>
    <w:p w14:paraId="1CFA2349"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43287A64" w14:textId="77777777" w:rsidR="00000000" w:rsidRDefault="00000000">
      <w:pPr>
        <w:widowControl w:val="0"/>
        <w:autoSpaceDE w:val="0"/>
        <w:autoSpaceDN w:val="0"/>
        <w:adjustRightInd w:val="0"/>
        <w:spacing w:after="0" w:line="240" w:lineRule="auto"/>
        <w:jc w:val="both"/>
        <w:rPr>
          <w:rFonts w:ascii="Times New Roman" w:hAnsi="Times New Roman" w:cs="Times New Roman"/>
          <w:color w:val="1F1F1F"/>
          <w:kern w:val="0"/>
          <w:sz w:val="20"/>
          <w:szCs w:val="20"/>
        </w:rPr>
      </w:pPr>
      <w:proofErr w:type="spellStart"/>
      <w:r>
        <w:rPr>
          <w:rFonts w:ascii="Times New Roman" w:hAnsi="Times New Roman" w:cs="Times New Roman"/>
          <w:i/>
          <w:iCs/>
          <w:color w:val="1F1F1F"/>
          <w:kern w:val="0"/>
          <w:sz w:val="20"/>
          <w:szCs w:val="20"/>
        </w:rPr>
        <w:t>NorthEastern</w:t>
      </w:r>
      <w:proofErr w:type="spellEnd"/>
      <w:r>
        <w:rPr>
          <w:rFonts w:ascii="Times New Roman" w:hAnsi="Times New Roman" w:cs="Times New Roman"/>
          <w:i/>
          <w:iCs/>
          <w:color w:val="1F1F1F"/>
          <w:kern w:val="0"/>
          <w:sz w:val="20"/>
          <w:szCs w:val="20"/>
        </w:rPr>
        <w:t xml:space="preserve"> University London</w:t>
      </w:r>
    </w:p>
    <w:p w14:paraId="02EC2420" w14:textId="77777777" w:rsidR="00000000" w:rsidRDefault="00000000">
      <w:pPr>
        <w:widowControl w:val="0"/>
        <w:autoSpaceDE w:val="0"/>
        <w:autoSpaceDN w:val="0"/>
        <w:adjustRightInd w:val="0"/>
        <w:spacing w:after="200" w:line="240" w:lineRule="auto"/>
        <w:jc w:val="both"/>
        <w:rPr>
          <w:rFonts w:ascii="Times New Roman" w:hAnsi="Times New Roman" w:cs="Times New Roman"/>
          <w:color w:val="1F1F1F"/>
          <w:kern w:val="0"/>
          <w:sz w:val="20"/>
          <w:szCs w:val="20"/>
        </w:rPr>
      </w:pPr>
      <w:r>
        <w:rPr>
          <w:rFonts w:ascii="Times New Roman" w:hAnsi="Times New Roman" w:cs="Times New Roman"/>
          <w:color w:val="1F1F1F"/>
          <w:kern w:val="0"/>
          <w:sz w:val="20"/>
          <w:szCs w:val="20"/>
        </w:rPr>
        <w:t> </w:t>
      </w:r>
    </w:p>
    <w:p w14:paraId="38329247" w14:textId="77777777" w:rsidR="000D29E5" w:rsidRDefault="000D29E5">
      <w:pPr>
        <w:widowControl w:val="0"/>
        <w:autoSpaceDE w:val="0"/>
        <w:autoSpaceDN w:val="0"/>
        <w:adjustRightInd w:val="0"/>
        <w:spacing w:after="0" w:line="240" w:lineRule="auto"/>
        <w:rPr>
          <w:rFonts w:ascii="Arial" w:hAnsi="Arial" w:cs="Arial"/>
          <w:kern w:val="0"/>
        </w:rPr>
      </w:pPr>
    </w:p>
    <w:sectPr w:rsidR="000D29E5">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0320D8" w14:textId="77777777" w:rsidR="000D29E5" w:rsidRDefault="000D29E5">
      <w:pPr>
        <w:spacing w:after="0" w:line="240" w:lineRule="auto"/>
      </w:pPr>
      <w:r>
        <w:separator/>
      </w:r>
    </w:p>
  </w:endnote>
  <w:endnote w:type="continuationSeparator" w:id="0">
    <w:p w14:paraId="77658F5F" w14:textId="77777777" w:rsidR="000D29E5" w:rsidRDefault="000D2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9300"/>
      <w:gridCol w:w="700"/>
    </w:tblGrid>
    <w:tr w:rsidR="00000000" w14:paraId="5DBABC56" w14:textId="77777777">
      <w:tblPrEx>
        <w:tblCellMar>
          <w:top w:w="0" w:type="dxa"/>
          <w:left w:w="0" w:type="dxa"/>
          <w:bottom w:w="0" w:type="dxa"/>
          <w:right w:w="0" w:type="dxa"/>
        </w:tblCellMar>
      </w:tblPrEx>
      <w:tc>
        <w:tcPr>
          <w:tcW w:w="9300" w:type="dxa"/>
          <w:tcBorders>
            <w:top w:val="single" w:sz="8" w:space="0" w:color="AAAAAA"/>
            <w:left w:val="nil"/>
            <w:bottom w:val="nil"/>
            <w:right w:val="nil"/>
          </w:tcBorders>
          <w:tcMar>
            <w:top w:w="60" w:type="dxa"/>
          </w:tcMar>
          <w:vAlign w:val="bottom"/>
        </w:tcPr>
        <w:p w14:paraId="2F79CCFB" w14:textId="77777777" w:rsidR="00000000" w:rsidRDefault="00000000">
          <w:pPr>
            <w:widowControl w:val="0"/>
            <w:autoSpaceDE w:val="0"/>
            <w:autoSpaceDN w:val="0"/>
            <w:adjustRightInd w:val="0"/>
            <w:spacing w:after="0" w:line="240" w:lineRule="auto"/>
            <w:rPr>
              <w:rFonts w:ascii="Arial" w:hAnsi="Arial" w:cs="Arial"/>
              <w:color w:val="666666"/>
              <w:kern w:val="0"/>
              <w:sz w:val="20"/>
              <w:szCs w:val="20"/>
            </w:rPr>
          </w:pPr>
          <w:r>
            <w:rPr>
              <w:rFonts w:ascii="Arial" w:hAnsi="Arial" w:cs="Arial"/>
              <w:color w:val="666666"/>
              <w:kern w:val="0"/>
              <w:sz w:val="20"/>
              <w:szCs w:val="20"/>
            </w:rPr>
            <w:t>© 2026 Thomson Reuters.</w:t>
          </w:r>
        </w:p>
      </w:tc>
      <w:tc>
        <w:tcPr>
          <w:tcW w:w="700" w:type="dxa"/>
          <w:tcBorders>
            <w:top w:val="single" w:sz="8" w:space="0" w:color="AAAAAA"/>
            <w:left w:val="nil"/>
            <w:bottom w:val="nil"/>
            <w:right w:val="nil"/>
          </w:tcBorders>
          <w:tcMar>
            <w:top w:w="60" w:type="dxa"/>
          </w:tcMar>
        </w:tcPr>
        <w:p w14:paraId="6EB981F0" w14:textId="77777777" w:rsidR="00000000" w:rsidRDefault="00000000">
          <w:pPr>
            <w:widowControl w:val="0"/>
            <w:autoSpaceDE w:val="0"/>
            <w:autoSpaceDN w:val="0"/>
            <w:adjustRightInd w:val="0"/>
            <w:spacing w:after="0" w:line="240" w:lineRule="auto"/>
            <w:jc w:val="right"/>
            <w:rPr>
              <w:rFonts w:ascii="Arial" w:hAnsi="Arial" w:cs="Arial"/>
              <w:color w:val="666666"/>
              <w:kern w:val="0"/>
              <w:sz w:val="20"/>
              <w:szCs w:val="20"/>
            </w:rPr>
          </w:pPr>
          <w:r>
            <w:rPr>
              <w:rFonts w:ascii="Arial" w:hAnsi="Arial" w:cs="Arial"/>
              <w:color w:val="666666"/>
              <w:kern w:val="0"/>
              <w:sz w:val="20"/>
              <w:szCs w:val="20"/>
            </w:rPr>
            <w:pgNum/>
          </w:r>
        </w:p>
      </w:tc>
    </w:tr>
  </w:tbl>
  <w:p w14:paraId="5FD81BA9" w14:textId="77777777" w:rsidR="00000000" w:rsidRDefault="00000000">
    <w:pPr>
      <w:widowControl w:val="0"/>
      <w:autoSpaceDE w:val="0"/>
      <w:autoSpaceDN w:val="0"/>
      <w:adjustRightInd w:val="0"/>
      <w:spacing w:after="0" w:line="240" w:lineRule="auto"/>
      <w:rPr>
        <w:rFonts w:ascii="Arial" w:hAnsi="Arial" w:cs="Arial"/>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02FA31" w14:textId="77777777" w:rsidR="000D29E5" w:rsidRDefault="000D29E5">
      <w:pPr>
        <w:spacing w:after="0" w:line="240" w:lineRule="auto"/>
      </w:pPr>
      <w:r>
        <w:separator/>
      </w:r>
    </w:p>
  </w:footnote>
  <w:footnote w:type="continuationSeparator" w:id="0">
    <w:p w14:paraId="42D49A4F" w14:textId="77777777" w:rsidR="000D29E5" w:rsidRDefault="000D2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9380"/>
      <w:gridCol w:w="700"/>
    </w:tblGrid>
    <w:tr w:rsidR="00000000" w14:paraId="6739C508" w14:textId="77777777">
      <w:tblPrEx>
        <w:tblCellMar>
          <w:top w:w="0" w:type="dxa"/>
          <w:left w:w="0" w:type="dxa"/>
          <w:bottom w:w="0" w:type="dxa"/>
          <w:right w:w="0" w:type="dxa"/>
        </w:tblCellMar>
      </w:tblPrEx>
      <w:tc>
        <w:tcPr>
          <w:tcW w:w="9380" w:type="dxa"/>
          <w:tcBorders>
            <w:top w:val="nil"/>
            <w:left w:val="nil"/>
            <w:bottom w:val="single" w:sz="8" w:space="0" w:color="AAAAAA"/>
            <w:right w:val="nil"/>
          </w:tcBorders>
          <w:tcMar>
            <w:top w:w="400" w:type="dxa"/>
            <w:bottom w:w="60" w:type="dxa"/>
          </w:tcMar>
          <w:vAlign w:val="bottom"/>
        </w:tcPr>
        <w:p w14:paraId="63F25F91" w14:textId="77777777" w:rsidR="00000000" w:rsidRDefault="00000000">
          <w:pPr>
            <w:widowControl w:val="0"/>
            <w:autoSpaceDE w:val="0"/>
            <w:autoSpaceDN w:val="0"/>
            <w:adjustRightInd w:val="0"/>
            <w:spacing w:after="0" w:line="240" w:lineRule="auto"/>
            <w:rPr>
              <w:rFonts w:ascii="Arial" w:hAnsi="Arial" w:cs="Arial"/>
              <w:color w:val="000000"/>
              <w:kern w:val="0"/>
              <w:sz w:val="18"/>
              <w:szCs w:val="18"/>
            </w:rPr>
          </w:pPr>
          <w:r>
            <w:rPr>
              <w:rFonts w:ascii="Arial" w:hAnsi="Arial" w:cs="Arial"/>
              <w:b/>
              <w:bCs/>
              <w:color w:val="555555"/>
              <w:kern w:val="0"/>
              <w:sz w:val="18"/>
              <w:szCs w:val="18"/>
            </w:rPr>
            <w:t>Media and Entertainment Law, Ent. L.R. 2026, 37(3), 110-111</w:t>
          </w:r>
        </w:p>
      </w:tc>
      <w:tc>
        <w:tcPr>
          <w:tcW w:w="700" w:type="dxa"/>
          <w:tcBorders>
            <w:top w:val="nil"/>
            <w:left w:val="nil"/>
            <w:bottom w:val="single" w:sz="8" w:space="0" w:color="AAAAAA"/>
            <w:right w:val="nil"/>
          </w:tcBorders>
          <w:tcMar>
            <w:top w:w="400" w:type="dxa"/>
            <w:bottom w:w="60" w:type="dxa"/>
          </w:tcMar>
        </w:tcPr>
        <w:p w14:paraId="64493316" w14:textId="77777777" w:rsidR="00000000" w:rsidRDefault="00000000">
          <w:pPr>
            <w:widowControl w:val="0"/>
            <w:autoSpaceDE w:val="0"/>
            <w:autoSpaceDN w:val="0"/>
            <w:adjustRightInd w:val="0"/>
            <w:spacing w:after="0" w:line="240" w:lineRule="auto"/>
            <w:jc w:val="right"/>
            <w:rPr>
              <w:rFonts w:ascii="Arial" w:hAnsi="Arial" w:cs="Arial"/>
              <w:color w:val="000000"/>
              <w:kern w:val="0"/>
              <w:sz w:val="18"/>
              <w:szCs w:val="18"/>
            </w:rPr>
          </w:pPr>
        </w:p>
      </w:tc>
    </w:tr>
    <w:tr w:rsidR="00000000" w14:paraId="35791BCC" w14:textId="77777777">
      <w:tblPrEx>
        <w:tblCellMar>
          <w:top w:w="0" w:type="dxa"/>
          <w:left w:w="0" w:type="dxa"/>
          <w:bottom w:w="0" w:type="dxa"/>
          <w:right w:w="0" w:type="dxa"/>
        </w:tblCellMar>
      </w:tblPrEx>
      <w:tc>
        <w:tcPr>
          <w:tcW w:w="10080" w:type="dxa"/>
          <w:gridSpan w:val="2"/>
          <w:tcBorders>
            <w:top w:val="nil"/>
            <w:left w:val="nil"/>
            <w:bottom w:val="nil"/>
            <w:right w:val="nil"/>
          </w:tcBorders>
        </w:tcPr>
        <w:p w14:paraId="2E48AF48" w14:textId="77777777" w:rsidR="00000000" w:rsidRDefault="00000000">
          <w:pPr>
            <w:widowControl w:val="0"/>
            <w:autoSpaceDE w:val="0"/>
            <w:autoSpaceDN w:val="0"/>
            <w:adjustRightInd w:val="0"/>
            <w:spacing w:after="0" w:line="240" w:lineRule="auto"/>
            <w:rPr>
              <w:rFonts w:ascii="Arial" w:hAnsi="Arial" w:cs="Arial"/>
              <w:color w:val="000000"/>
              <w:kern w:val="0"/>
              <w:sz w:val="18"/>
              <w:szCs w:val="18"/>
            </w:rPr>
          </w:pPr>
        </w:p>
      </w:tc>
    </w:tr>
  </w:tbl>
  <w:p w14:paraId="022C3542" w14:textId="77777777" w:rsidR="00000000" w:rsidRDefault="00000000">
    <w:pPr>
      <w:widowControl w:val="0"/>
      <w:autoSpaceDE w:val="0"/>
      <w:autoSpaceDN w:val="0"/>
      <w:adjustRightInd w:val="0"/>
      <w:spacing w:after="0" w:line="240" w:lineRule="auto"/>
      <w:rPr>
        <w:rFonts w:ascii="Arial" w:hAnsi="Arial" w:cs="Arial"/>
        <w:kern w:val="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692"/>
    <w:rsid w:val="000D29E5"/>
    <w:rsid w:val="003554A4"/>
    <w:rsid w:val="00C26FA3"/>
    <w:rsid w:val="00CA7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5C4BDADA"/>
  <w14:defaultImageDpi w14:val="0"/>
  <w15:docId w15:val="{EE1C0AAE-C444-8C48-8B21-BC3DB2DD7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estlaw.com/WestlawUk/Journals/Publications/Entertainment-Law-Review?contextData=(sc.Search)" TargetMode="Externa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uk.westlaw.com/Document/I062AC850238E11EFB62C9EEB92CE05BC/View/FullText.html?originationContext=document&amp;transitionType=DocumentItem&amp;vr=3.0&amp;rs=PLUK1.0&amp;contextData=(sc.Search)" TargetMode="External"/><Relationship Id="rId4" Type="http://schemas.openxmlformats.org/officeDocument/2006/relationships/footnotes" Target="footnotes.xml"/><Relationship Id="rId9" Type="http://schemas.openxmlformats.org/officeDocument/2006/relationships/hyperlink" Target="https://uk.westlaw.com/Document/I079CC2F0786811EE8E5EC3AD3AC2BBD2/View/FullText.html?originationContext=document&amp;transitionType=DocumentItem&amp;vr=3.0&amp;rs=PLUK1.0&amp;contextData=(sc.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1115</Words>
  <Characters>6358</Characters>
  <Application>Microsoft Office Word</Application>
  <DocSecurity>0</DocSecurity>
  <Lines>52</Lines>
  <Paragraphs>14</Paragraphs>
  <ScaleCrop>false</ScaleCrop>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Ursula Smartt</cp:lastModifiedBy>
  <cp:revision>2</cp:revision>
  <dcterms:created xsi:type="dcterms:W3CDTF">2026-07-07T14:04:00Z</dcterms:created>
  <dcterms:modified xsi:type="dcterms:W3CDTF">2026-07-07T14:04:00Z</dcterms:modified>
</cp:coreProperties>
</file>