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322D" w14:textId="391F0C93" w:rsidR="00A72C58" w:rsidRPr="00A72C58" w:rsidRDefault="00A72C58" w:rsidP="00E530B5">
      <w:pPr>
        <w:spacing w:line="480" w:lineRule="auto"/>
        <w:jc w:val="both"/>
        <w:rPr>
          <w:b/>
          <w:color w:val="000000" w:themeColor="text1"/>
          <w:sz w:val="24"/>
          <w:szCs w:val="24"/>
          <w:lang w:val="en-GB"/>
        </w:rPr>
      </w:pPr>
      <w:r w:rsidRPr="00A72C58">
        <w:rPr>
          <w:b/>
          <w:color w:val="000000" w:themeColor="text1"/>
          <w:sz w:val="24"/>
          <w:szCs w:val="24"/>
          <w:lang w:val="en-GB"/>
        </w:rPr>
        <w:t xml:space="preserve">Digital Haematology </w:t>
      </w:r>
    </w:p>
    <w:p w14:paraId="20FADACF" w14:textId="0149355E" w:rsidR="001C3F18" w:rsidRPr="00A72C58" w:rsidRDefault="001C3F18" w:rsidP="00E530B5">
      <w:pPr>
        <w:spacing w:line="480" w:lineRule="auto"/>
        <w:jc w:val="both"/>
        <w:rPr>
          <w:color w:val="000000" w:themeColor="text1"/>
          <w:sz w:val="24"/>
          <w:szCs w:val="24"/>
          <w:lang w:val="en-GB"/>
        </w:rPr>
      </w:pPr>
      <w:r w:rsidRPr="00A72C58">
        <w:rPr>
          <w:b/>
          <w:color w:val="000000" w:themeColor="text1"/>
          <w:sz w:val="24"/>
          <w:szCs w:val="24"/>
          <w:lang w:val="en-GB"/>
        </w:rPr>
        <w:t>Optim</w:t>
      </w:r>
      <w:r w:rsidR="00BD201A">
        <w:rPr>
          <w:b/>
          <w:color w:val="000000" w:themeColor="text1"/>
          <w:sz w:val="24"/>
          <w:szCs w:val="24"/>
          <w:lang w:val="en-GB"/>
        </w:rPr>
        <w:t>is</w:t>
      </w:r>
      <w:r w:rsidRPr="00A72C58">
        <w:rPr>
          <w:b/>
          <w:color w:val="000000" w:themeColor="text1"/>
          <w:sz w:val="24"/>
          <w:szCs w:val="24"/>
          <w:lang w:val="en-GB"/>
        </w:rPr>
        <w:t>ing communication to patients with venous thromboembolism: development of a provider toolkit</w:t>
      </w:r>
    </w:p>
    <w:p w14:paraId="706C05EC" w14:textId="77777777" w:rsidR="001C3F18" w:rsidRPr="00F16C5B" w:rsidRDefault="001C3F18">
      <w:pPr>
        <w:spacing w:after="160" w:line="480" w:lineRule="auto"/>
        <w:jc w:val="both"/>
        <w:rPr>
          <w:lang w:val="en-GB"/>
        </w:rPr>
      </w:pPr>
    </w:p>
    <w:p w14:paraId="44CC9BB3" w14:textId="4364C7F8" w:rsidR="001C3F18" w:rsidRPr="00505856" w:rsidRDefault="001C3F18" w:rsidP="00471E47">
      <w:pPr>
        <w:spacing w:line="480" w:lineRule="auto"/>
        <w:jc w:val="both"/>
        <w:rPr>
          <w:rFonts w:asciiTheme="minorHAnsi" w:hAnsiTheme="minorHAnsi" w:cstheme="minorHAnsi"/>
          <w:color w:val="000000" w:themeColor="text1"/>
          <w:lang w:val="en-GB"/>
        </w:rPr>
      </w:pPr>
      <w:r w:rsidRPr="00A72C58">
        <w:rPr>
          <w:rFonts w:asciiTheme="minorHAnsi" w:hAnsiTheme="minorHAnsi" w:cstheme="minorHAnsi"/>
          <w:lang w:val="en-GB"/>
        </w:rPr>
        <w:t>Health</w:t>
      </w:r>
      <w:r w:rsidR="0043746C">
        <w:rPr>
          <w:rFonts w:asciiTheme="minorHAnsi" w:hAnsiTheme="minorHAnsi" w:cstheme="minorHAnsi"/>
          <w:lang w:val="en-GB"/>
        </w:rPr>
        <w:t>-</w:t>
      </w:r>
      <w:r w:rsidRPr="00A72C58">
        <w:rPr>
          <w:rFonts w:asciiTheme="minorHAnsi" w:hAnsiTheme="minorHAnsi" w:cstheme="minorHAnsi"/>
          <w:lang w:val="en-GB"/>
        </w:rPr>
        <w:t xml:space="preserve">care professionals are faced with the challenge of communicating diagnostic, treatment, and prognostic information to patients. Communication about a venous thromboembolism diagnosis often occurs in a chaotic acute care setting. These settings </w:t>
      </w:r>
      <w:r w:rsidR="009D6956">
        <w:rPr>
          <w:rFonts w:asciiTheme="minorHAnsi" w:hAnsiTheme="minorHAnsi" w:cstheme="minorHAnsi"/>
          <w:lang w:val="en-GB"/>
        </w:rPr>
        <w:t>might</w:t>
      </w:r>
      <w:r w:rsidRPr="00A72C58">
        <w:rPr>
          <w:rFonts w:asciiTheme="minorHAnsi" w:hAnsiTheme="minorHAnsi" w:cstheme="minorHAnsi"/>
          <w:lang w:val="en-GB"/>
        </w:rPr>
        <w:t xml:space="preserve"> be crowded, noisy</w:t>
      </w:r>
      <w:r w:rsidR="00C44DF4">
        <w:rPr>
          <w:rFonts w:asciiTheme="minorHAnsi" w:hAnsiTheme="minorHAnsi" w:cstheme="minorHAnsi"/>
          <w:lang w:val="en-GB"/>
        </w:rPr>
        <w:t>,</w:t>
      </w:r>
      <w:r w:rsidRPr="00A72C58">
        <w:rPr>
          <w:rFonts w:asciiTheme="minorHAnsi" w:hAnsiTheme="minorHAnsi" w:cstheme="minorHAnsi"/>
          <w:lang w:val="en-GB"/>
        </w:rPr>
        <w:t xml:space="preserve"> and anxiety-</w:t>
      </w:r>
      <w:r w:rsidRPr="0009522A">
        <w:rPr>
          <w:rFonts w:asciiTheme="minorHAnsi" w:hAnsiTheme="minorHAnsi" w:cstheme="minorHAnsi"/>
          <w:lang w:val="en-GB"/>
        </w:rPr>
        <w:t>provoking</w:t>
      </w:r>
      <w:r w:rsidR="004B494D" w:rsidRPr="0009522A">
        <w:rPr>
          <w:rFonts w:asciiTheme="minorHAnsi" w:hAnsiTheme="minorHAnsi" w:cstheme="minorHAnsi"/>
          <w:lang w:val="en-GB"/>
        </w:rPr>
        <w:t>,</w:t>
      </w:r>
      <w:r w:rsidRPr="0009522A">
        <w:rPr>
          <w:rFonts w:asciiTheme="minorHAnsi" w:hAnsiTheme="minorHAnsi" w:cstheme="minorHAnsi"/>
          <w:lang w:val="en-GB"/>
        </w:rPr>
        <w:t xml:space="preserve"> making effective communication and shared decision-making challenging. As a result, patients </w:t>
      </w:r>
      <w:r w:rsidR="003A4877" w:rsidRPr="0009522A">
        <w:rPr>
          <w:rFonts w:asciiTheme="minorHAnsi" w:hAnsiTheme="minorHAnsi" w:cstheme="minorHAnsi"/>
          <w:lang w:val="en-GB"/>
        </w:rPr>
        <w:t xml:space="preserve">may </w:t>
      </w:r>
      <w:r w:rsidRPr="0009522A">
        <w:rPr>
          <w:rFonts w:asciiTheme="minorHAnsi" w:hAnsiTheme="minorHAnsi" w:cstheme="minorHAnsi"/>
          <w:lang w:val="en-GB"/>
        </w:rPr>
        <w:t xml:space="preserve">lack </w:t>
      </w:r>
      <w:r w:rsidRPr="00505856">
        <w:rPr>
          <w:rFonts w:asciiTheme="minorHAnsi" w:hAnsiTheme="minorHAnsi" w:cstheme="minorHAnsi"/>
          <w:color w:val="000000" w:themeColor="text1"/>
          <w:lang w:val="en-GB"/>
        </w:rPr>
        <w:t xml:space="preserve">trust in their </w:t>
      </w:r>
      <w:r w:rsidR="0043746C" w:rsidRPr="00505856">
        <w:rPr>
          <w:rFonts w:asciiTheme="minorHAnsi" w:hAnsiTheme="minorHAnsi" w:cstheme="minorHAnsi"/>
          <w:color w:val="000000" w:themeColor="text1"/>
          <w:lang w:val="en-GB"/>
        </w:rPr>
        <w:t>health-care professional</w:t>
      </w:r>
      <w:r w:rsidRPr="00505856">
        <w:rPr>
          <w:rFonts w:asciiTheme="minorHAnsi" w:hAnsiTheme="minorHAnsi" w:cstheme="minorHAnsi"/>
          <w:color w:val="000000" w:themeColor="text1"/>
          <w:lang w:val="en-GB"/>
        </w:rPr>
        <w:t xml:space="preserve"> and perceive their care to be inferior, which </w:t>
      </w:r>
      <w:r w:rsidR="000F1FFD" w:rsidRPr="00505856">
        <w:rPr>
          <w:rFonts w:asciiTheme="minorHAnsi" w:hAnsiTheme="minorHAnsi" w:cstheme="minorHAnsi"/>
          <w:color w:val="000000" w:themeColor="text1"/>
          <w:lang w:val="en-GB"/>
        </w:rPr>
        <w:t>could</w:t>
      </w:r>
      <w:r w:rsidRPr="00505856">
        <w:rPr>
          <w:rFonts w:asciiTheme="minorHAnsi" w:hAnsiTheme="minorHAnsi" w:cstheme="minorHAnsi"/>
          <w:color w:val="000000" w:themeColor="text1"/>
          <w:lang w:val="en-GB"/>
        </w:rPr>
        <w:t xml:space="preserve"> exacerbate anxiety.</w:t>
      </w:r>
      <w:r w:rsidRPr="00505856">
        <w:rPr>
          <w:rFonts w:asciiTheme="minorHAnsi" w:hAnsiTheme="minorHAnsi" w:cstheme="minorHAnsi"/>
          <w:color w:val="000000" w:themeColor="text1"/>
          <w:vertAlign w:val="superscript"/>
          <w:lang w:val="en-GB"/>
        </w:rPr>
        <w:t>1</w:t>
      </w:r>
      <w:r w:rsidR="00505856">
        <w:rPr>
          <w:rFonts w:asciiTheme="minorHAnsi" w:hAnsiTheme="minorHAnsi" w:cstheme="minorHAnsi"/>
          <w:color w:val="000000" w:themeColor="text1"/>
          <w:vertAlign w:val="superscript"/>
          <w:lang w:val="en-GB"/>
        </w:rPr>
        <w:t xml:space="preserve"> </w:t>
      </w:r>
      <w:r w:rsidRPr="00505856">
        <w:rPr>
          <w:rFonts w:asciiTheme="minorHAnsi" w:hAnsiTheme="minorHAnsi" w:cstheme="minorHAnsi"/>
          <w:color w:val="000000" w:themeColor="text1"/>
          <w:lang w:val="en-GB"/>
        </w:rPr>
        <w:t>Specifi</w:t>
      </w:r>
      <w:r w:rsidRPr="00A72C58">
        <w:rPr>
          <w:rFonts w:asciiTheme="minorHAnsi" w:hAnsiTheme="minorHAnsi" w:cstheme="minorHAnsi"/>
          <w:lang w:val="en-GB"/>
        </w:rPr>
        <w:t xml:space="preserve">c drivers of suboptimal </w:t>
      </w:r>
      <w:r w:rsidR="009D6956">
        <w:rPr>
          <w:rFonts w:asciiTheme="minorHAnsi" w:hAnsiTheme="minorHAnsi" w:cstheme="minorHAnsi"/>
          <w:lang w:val="en-GB"/>
        </w:rPr>
        <w:t>venous thromboembolism</w:t>
      </w:r>
      <w:r w:rsidRPr="00A72C58">
        <w:rPr>
          <w:rFonts w:asciiTheme="minorHAnsi" w:hAnsiTheme="minorHAnsi" w:cstheme="minorHAnsi"/>
          <w:lang w:val="en-GB"/>
        </w:rPr>
        <w:t xml:space="preserve"> communication include: incomplete information, information overload, e.g., giving too much information too fast and at the wrong time, and real or perceived discrepant messages from multiple </w:t>
      </w:r>
      <w:r w:rsidR="0043746C">
        <w:rPr>
          <w:rFonts w:asciiTheme="minorHAnsi" w:hAnsiTheme="minorHAnsi" w:cstheme="minorHAnsi"/>
          <w:lang w:val="en-GB"/>
        </w:rPr>
        <w:t>health-care professional</w:t>
      </w:r>
      <w:r w:rsidRPr="00A72C58">
        <w:rPr>
          <w:rFonts w:asciiTheme="minorHAnsi" w:hAnsiTheme="minorHAnsi" w:cstheme="minorHAnsi"/>
          <w:lang w:val="en-GB"/>
        </w:rPr>
        <w:t xml:space="preserve">s. </w:t>
      </w:r>
      <w:r w:rsidRPr="00505856">
        <w:rPr>
          <w:rFonts w:asciiTheme="minorHAnsi" w:hAnsiTheme="minorHAnsi" w:cstheme="minorHAnsi"/>
          <w:lang w:val="en-GB"/>
        </w:rPr>
        <w:t>Additional</w:t>
      </w:r>
      <w:r w:rsidR="00E16990" w:rsidRPr="00505856">
        <w:rPr>
          <w:rFonts w:asciiTheme="minorHAnsi" w:hAnsiTheme="minorHAnsi" w:cstheme="minorHAnsi"/>
          <w:lang w:val="en-GB"/>
        </w:rPr>
        <w:t xml:space="preserve"> </w:t>
      </w:r>
      <w:r w:rsidRPr="00505856">
        <w:rPr>
          <w:rFonts w:asciiTheme="minorHAnsi" w:hAnsiTheme="minorHAnsi" w:cstheme="minorHAnsi"/>
          <w:lang w:val="en-GB"/>
        </w:rPr>
        <w:t xml:space="preserve">pitfalls include </w:t>
      </w:r>
      <w:r w:rsidR="002958E3" w:rsidRPr="00505856">
        <w:rPr>
          <w:rFonts w:asciiTheme="minorHAnsi" w:hAnsiTheme="minorHAnsi" w:cstheme="minorHAnsi"/>
          <w:lang w:val="en-GB"/>
        </w:rPr>
        <w:t>use</w:t>
      </w:r>
      <w:r w:rsidR="002958E3">
        <w:rPr>
          <w:rFonts w:asciiTheme="minorHAnsi" w:hAnsiTheme="minorHAnsi" w:cstheme="minorHAnsi"/>
          <w:lang w:val="en-GB"/>
        </w:rPr>
        <w:t xml:space="preserve"> of</w:t>
      </w:r>
      <w:r w:rsidRPr="00A72C58">
        <w:rPr>
          <w:rFonts w:asciiTheme="minorHAnsi" w:hAnsiTheme="minorHAnsi" w:cstheme="minorHAnsi"/>
          <w:lang w:val="en-GB"/>
        </w:rPr>
        <w:t xml:space="preserve"> medical jargon, metaphors, alarmist language, adverse non</w:t>
      </w:r>
      <w:r w:rsidR="00E71EAD">
        <w:rPr>
          <w:rFonts w:asciiTheme="minorHAnsi" w:hAnsiTheme="minorHAnsi" w:cstheme="minorHAnsi"/>
          <w:lang w:val="en-GB"/>
        </w:rPr>
        <w:t>-</w:t>
      </w:r>
      <w:r w:rsidRPr="00A72C58">
        <w:rPr>
          <w:rFonts w:asciiTheme="minorHAnsi" w:hAnsiTheme="minorHAnsi" w:cstheme="minorHAnsi"/>
          <w:lang w:val="en-GB"/>
        </w:rPr>
        <w:t xml:space="preserve">verbal clues, lack of attention to health literacy, or culturally incongruent </w:t>
      </w:r>
      <w:r w:rsidRPr="00505856">
        <w:rPr>
          <w:rFonts w:asciiTheme="minorHAnsi" w:hAnsiTheme="minorHAnsi" w:cstheme="minorHAnsi"/>
          <w:color w:val="000000" w:themeColor="text1"/>
          <w:lang w:val="en-GB"/>
        </w:rPr>
        <w:t>language.</w:t>
      </w:r>
      <w:r w:rsidRPr="00505856">
        <w:rPr>
          <w:rFonts w:asciiTheme="minorHAnsi" w:hAnsiTheme="minorHAnsi" w:cstheme="minorHAnsi"/>
          <w:color w:val="000000" w:themeColor="text1"/>
          <w:vertAlign w:val="superscript"/>
          <w:lang w:val="en-GB"/>
        </w:rPr>
        <w:t>4-7</w:t>
      </w:r>
      <w:r w:rsidR="007C5679" w:rsidRPr="00505856">
        <w:rPr>
          <w:rFonts w:asciiTheme="minorHAnsi" w:hAnsiTheme="minorHAnsi" w:cstheme="minorHAnsi"/>
          <w:color w:val="000000" w:themeColor="text1"/>
          <w:vertAlign w:val="superscript"/>
          <w:lang w:val="en-GB"/>
        </w:rPr>
        <w:t xml:space="preserve"> </w:t>
      </w:r>
    </w:p>
    <w:p w14:paraId="787DF139" w14:textId="1446BB2D" w:rsidR="001C3F18" w:rsidRPr="00A72C58" w:rsidRDefault="001C3F18" w:rsidP="00C57F9E">
      <w:pPr>
        <w:spacing w:line="480" w:lineRule="auto"/>
        <w:ind w:firstLine="708"/>
        <w:jc w:val="both"/>
        <w:rPr>
          <w:rFonts w:asciiTheme="minorHAnsi" w:hAnsiTheme="minorHAnsi" w:cstheme="minorHAnsi"/>
          <w:lang w:val="en-GB"/>
        </w:rPr>
      </w:pPr>
      <w:r w:rsidRPr="00A72C58">
        <w:rPr>
          <w:rFonts w:asciiTheme="minorHAnsi" w:hAnsiTheme="minorHAnsi" w:cstheme="minorHAnsi"/>
          <w:lang w:val="en-GB"/>
        </w:rPr>
        <w:t xml:space="preserve">To aid in the complex journey of </w:t>
      </w:r>
      <w:r w:rsidR="009D6956">
        <w:rPr>
          <w:rFonts w:asciiTheme="minorHAnsi" w:hAnsiTheme="minorHAnsi" w:cstheme="minorHAnsi"/>
          <w:lang w:val="en-GB"/>
        </w:rPr>
        <w:t>venous thromboembolism</w:t>
      </w:r>
      <w:r w:rsidRPr="00A72C58">
        <w:rPr>
          <w:rFonts w:asciiTheme="minorHAnsi" w:hAnsiTheme="minorHAnsi" w:cstheme="minorHAnsi"/>
          <w:lang w:val="en-GB"/>
        </w:rPr>
        <w:t xml:space="preserve"> management, </w:t>
      </w:r>
      <w:proofErr w:type="spellStart"/>
      <w:r w:rsidRPr="00A72C58">
        <w:rPr>
          <w:rFonts w:asciiTheme="minorHAnsi" w:hAnsiTheme="minorHAnsi" w:cstheme="minorHAnsi"/>
          <w:lang w:val="en-GB"/>
        </w:rPr>
        <w:t>Vasculearn</w:t>
      </w:r>
      <w:proofErr w:type="spellEnd"/>
      <w:r w:rsidRPr="00A72C58">
        <w:rPr>
          <w:rFonts w:asciiTheme="minorHAnsi" w:hAnsiTheme="minorHAnsi" w:cstheme="minorHAnsi"/>
          <w:lang w:val="en-GB"/>
        </w:rPr>
        <w:t xml:space="preserve"> Network (formerly the North American Thrombosis Forum) </w:t>
      </w:r>
      <w:r w:rsidR="00D1125E">
        <w:rPr>
          <w:rFonts w:asciiTheme="minorHAnsi" w:hAnsiTheme="minorHAnsi" w:cstheme="minorHAnsi"/>
          <w:lang w:val="en-GB"/>
        </w:rPr>
        <w:t>established</w:t>
      </w:r>
      <w:r w:rsidR="00295535">
        <w:rPr>
          <w:rFonts w:asciiTheme="minorHAnsi" w:hAnsiTheme="minorHAnsi" w:cstheme="minorHAnsi"/>
          <w:lang w:val="en-GB"/>
        </w:rPr>
        <w:t xml:space="preserve"> a</w:t>
      </w:r>
      <w:r w:rsidRPr="00A72C58">
        <w:rPr>
          <w:rFonts w:asciiTheme="minorHAnsi" w:hAnsiTheme="minorHAnsi" w:cstheme="minorHAnsi"/>
          <w:lang w:val="en-GB"/>
        </w:rPr>
        <w:t xml:space="preserve"> global,</w:t>
      </w:r>
      <w:r w:rsidRPr="00A72C58">
        <w:rPr>
          <w:rFonts w:asciiTheme="minorHAnsi" w:hAnsiTheme="minorHAnsi" w:cstheme="minorHAnsi"/>
          <w:color w:val="000000"/>
          <w:lang w:val="en-GB"/>
        </w:rPr>
        <w:t xml:space="preserve"> multidisciplinary steering committee of </w:t>
      </w:r>
      <w:r w:rsidR="0043746C">
        <w:rPr>
          <w:rFonts w:asciiTheme="minorHAnsi" w:hAnsiTheme="minorHAnsi" w:cstheme="minorHAnsi"/>
          <w:color w:val="000000"/>
          <w:lang w:val="en-GB"/>
        </w:rPr>
        <w:t>health-care professional</w:t>
      </w:r>
      <w:r w:rsidRPr="00A72C58">
        <w:rPr>
          <w:rFonts w:asciiTheme="minorHAnsi" w:hAnsiTheme="minorHAnsi" w:cstheme="minorHAnsi"/>
          <w:color w:val="000000"/>
          <w:lang w:val="en-GB"/>
        </w:rPr>
        <w:t xml:space="preserve">s, trainees, communication experts, mental health experts, and patients with lived experience of </w:t>
      </w:r>
      <w:r w:rsidR="009D6956">
        <w:rPr>
          <w:rFonts w:asciiTheme="minorHAnsi" w:hAnsiTheme="minorHAnsi" w:cstheme="minorHAnsi"/>
          <w:color w:val="000000"/>
          <w:lang w:val="en-GB"/>
        </w:rPr>
        <w:t>venous thromboembolism</w:t>
      </w:r>
      <w:r w:rsidR="00D1125E">
        <w:rPr>
          <w:rFonts w:asciiTheme="minorHAnsi" w:hAnsiTheme="minorHAnsi" w:cstheme="minorHAnsi"/>
          <w:color w:val="000000"/>
          <w:lang w:val="en-GB"/>
        </w:rPr>
        <w:t>. Consensus was achieved</w:t>
      </w:r>
      <w:r w:rsidR="003A4877">
        <w:rPr>
          <w:rFonts w:asciiTheme="minorHAnsi" w:hAnsiTheme="minorHAnsi" w:cstheme="minorHAnsi"/>
          <w:color w:val="000000"/>
          <w:lang w:val="en-GB"/>
        </w:rPr>
        <w:t>,</w:t>
      </w:r>
      <w:r w:rsidRPr="00A72C58">
        <w:rPr>
          <w:rFonts w:asciiTheme="minorHAnsi" w:hAnsiTheme="minorHAnsi" w:cstheme="minorHAnsi"/>
          <w:color w:val="000000"/>
          <w:lang w:val="en-GB"/>
        </w:rPr>
        <w:t xml:space="preserve"> </w:t>
      </w:r>
      <w:r w:rsidRPr="00A72C58">
        <w:rPr>
          <w:rFonts w:asciiTheme="minorHAnsi" w:hAnsiTheme="minorHAnsi" w:cstheme="minorHAnsi"/>
          <w:lang w:val="en-GB"/>
        </w:rPr>
        <w:t xml:space="preserve">resulting in </w:t>
      </w:r>
      <w:r w:rsidR="00D1125E">
        <w:rPr>
          <w:rFonts w:asciiTheme="minorHAnsi" w:hAnsiTheme="minorHAnsi" w:cstheme="minorHAnsi"/>
          <w:lang w:val="en-GB"/>
        </w:rPr>
        <w:t xml:space="preserve">the development of </w:t>
      </w:r>
      <w:r w:rsidRPr="00A72C58">
        <w:rPr>
          <w:rFonts w:asciiTheme="minorHAnsi" w:hAnsiTheme="minorHAnsi" w:cstheme="minorHAnsi"/>
          <w:lang w:val="en-GB"/>
        </w:rPr>
        <w:t>an educational communication toolkit (</w:t>
      </w:r>
      <w:r w:rsidR="00A05536">
        <w:rPr>
          <w:rFonts w:asciiTheme="minorHAnsi" w:hAnsiTheme="minorHAnsi" w:cstheme="minorHAnsi"/>
          <w:lang w:val="en-GB"/>
        </w:rPr>
        <w:t>a</w:t>
      </w:r>
      <w:r w:rsidRPr="00A05536">
        <w:rPr>
          <w:rFonts w:asciiTheme="minorHAnsi" w:hAnsiTheme="minorHAnsi" w:cstheme="minorHAnsi"/>
          <w:lang w:val="en-GB"/>
        </w:rPr>
        <w:t>ppendix</w:t>
      </w:r>
      <w:r w:rsidRPr="00A72C58">
        <w:rPr>
          <w:rFonts w:asciiTheme="minorHAnsi" w:hAnsiTheme="minorHAnsi" w:cstheme="minorHAnsi"/>
          <w:lang w:val="en-GB"/>
        </w:rPr>
        <w:t xml:space="preserve">). The interactive, evidence-based resource describes methods for optimal communication and enhances patient engagement with the objective to improve therapeutic compliance along with patient-experience and </w:t>
      </w:r>
      <w:r w:rsidR="009D6956">
        <w:rPr>
          <w:rFonts w:asciiTheme="minorHAnsi" w:hAnsiTheme="minorHAnsi" w:cstheme="minorHAnsi"/>
          <w:lang w:val="en-GB"/>
        </w:rPr>
        <w:t>venous thromboembolism</w:t>
      </w:r>
      <w:r w:rsidRPr="00A72C58">
        <w:rPr>
          <w:rFonts w:asciiTheme="minorHAnsi" w:hAnsiTheme="minorHAnsi" w:cstheme="minorHAnsi"/>
          <w:lang w:val="en-GB"/>
        </w:rPr>
        <w:t xml:space="preserve"> quality outcomes. The taskforce conceptual</w:t>
      </w:r>
      <w:r w:rsidR="00BD201A">
        <w:rPr>
          <w:rFonts w:asciiTheme="minorHAnsi" w:hAnsiTheme="minorHAnsi" w:cstheme="minorHAnsi"/>
          <w:lang w:val="en-GB"/>
        </w:rPr>
        <w:t>is</w:t>
      </w:r>
      <w:r w:rsidRPr="00A72C58">
        <w:rPr>
          <w:rFonts w:asciiTheme="minorHAnsi" w:hAnsiTheme="minorHAnsi" w:cstheme="minorHAnsi"/>
          <w:lang w:val="en-GB"/>
        </w:rPr>
        <w:t xml:space="preserve">ed a </w:t>
      </w:r>
      <w:r w:rsidR="0043746C">
        <w:rPr>
          <w:rFonts w:asciiTheme="minorHAnsi" w:hAnsiTheme="minorHAnsi" w:cstheme="minorHAnsi"/>
          <w:lang w:val="en-GB"/>
        </w:rPr>
        <w:t>health-care professional</w:t>
      </w:r>
      <w:r w:rsidRPr="00A72C58">
        <w:rPr>
          <w:rFonts w:asciiTheme="minorHAnsi" w:hAnsiTheme="minorHAnsi" w:cstheme="minorHAnsi"/>
          <w:lang w:val="en-GB"/>
        </w:rPr>
        <w:t xml:space="preserve">-facing tool to convey essential information for communication at the time of a </w:t>
      </w:r>
      <w:r w:rsidR="009D6956">
        <w:rPr>
          <w:rFonts w:asciiTheme="minorHAnsi" w:hAnsiTheme="minorHAnsi" w:cstheme="minorHAnsi"/>
          <w:lang w:val="en-GB"/>
        </w:rPr>
        <w:t>venous thromboembolism</w:t>
      </w:r>
      <w:r w:rsidRPr="00A72C58">
        <w:rPr>
          <w:rFonts w:asciiTheme="minorHAnsi" w:hAnsiTheme="minorHAnsi" w:cstheme="minorHAnsi"/>
          <w:lang w:val="en-GB"/>
        </w:rPr>
        <w:t xml:space="preserve"> diagnosis and in the weeks</w:t>
      </w:r>
      <w:r w:rsidR="00F533DF">
        <w:rPr>
          <w:rFonts w:asciiTheme="minorHAnsi" w:hAnsiTheme="minorHAnsi" w:cstheme="minorHAnsi"/>
          <w:lang w:val="en-GB"/>
        </w:rPr>
        <w:t xml:space="preserve"> or </w:t>
      </w:r>
      <w:r w:rsidRPr="00A72C58">
        <w:rPr>
          <w:rFonts w:asciiTheme="minorHAnsi" w:hAnsiTheme="minorHAnsi" w:cstheme="minorHAnsi"/>
          <w:lang w:val="en-GB"/>
        </w:rPr>
        <w:t xml:space="preserve">months that follow using best practices for </w:t>
      </w:r>
      <w:r w:rsidRPr="00A72C58">
        <w:rPr>
          <w:rFonts w:asciiTheme="minorHAnsi" w:hAnsiTheme="minorHAnsi" w:cstheme="minorHAnsi"/>
          <w:lang w:val="en-GB"/>
        </w:rPr>
        <w:lastRenderedPageBreak/>
        <w:t xml:space="preserve">communication. </w:t>
      </w:r>
      <w:r w:rsidRPr="00A72C58">
        <w:rPr>
          <w:rFonts w:asciiTheme="minorHAnsi" w:hAnsiTheme="minorHAnsi" w:cstheme="minorHAnsi"/>
          <w:color w:val="000000"/>
          <w:lang w:val="en-GB"/>
        </w:rPr>
        <w:t xml:space="preserve">The target audience for this toolkit is any </w:t>
      </w:r>
      <w:r w:rsidR="0043746C">
        <w:rPr>
          <w:rFonts w:asciiTheme="minorHAnsi" w:hAnsiTheme="minorHAnsi" w:cstheme="minorHAnsi"/>
          <w:color w:val="000000"/>
          <w:lang w:val="en-GB"/>
        </w:rPr>
        <w:t>health-care professional</w:t>
      </w:r>
      <w:r w:rsidRPr="00A72C58">
        <w:rPr>
          <w:rFonts w:asciiTheme="minorHAnsi" w:hAnsiTheme="minorHAnsi" w:cstheme="minorHAnsi"/>
          <w:color w:val="000000"/>
          <w:lang w:val="en-GB"/>
        </w:rPr>
        <w:t xml:space="preserve"> involved in the care of patients with </w:t>
      </w:r>
      <w:r w:rsidR="009D6956">
        <w:rPr>
          <w:rFonts w:asciiTheme="minorHAnsi" w:hAnsiTheme="minorHAnsi" w:cstheme="minorHAnsi"/>
          <w:color w:val="000000"/>
          <w:lang w:val="en-GB"/>
        </w:rPr>
        <w:t>venous thromboembolism</w:t>
      </w:r>
      <w:r w:rsidRPr="00A72C58">
        <w:rPr>
          <w:rFonts w:asciiTheme="minorHAnsi" w:hAnsiTheme="minorHAnsi" w:cstheme="minorHAnsi"/>
          <w:color w:val="000000"/>
          <w:lang w:val="en-GB"/>
        </w:rPr>
        <w:t xml:space="preserve"> from diagnosis onwards. </w:t>
      </w:r>
    </w:p>
    <w:p w14:paraId="67C6C7F0" w14:textId="7E91ED64" w:rsidR="009539F1" w:rsidRPr="00A72C58" w:rsidRDefault="001C3F18" w:rsidP="009539F1">
      <w:pPr>
        <w:spacing w:line="480" w:lineRule="auto"/>
        <w:jc w:val="both"/>
        <w:rPr>
          <w:rFonts w:asciiTheme="minorHAnsi" w:hAnsiTheme="minorHAnsi" w:cstheme="minorHAnsi"/>
          <w:lang w:val="en-GB"/>
        </w:rPr>
      </w:pPr>
      <w:r w:rsidRPr="00A72C58">
        <w:rPr>
          <w:rFonts w:asciiTheme="minorHAnsi" w:hAnsiTheme="minorHAnsi" w:cstheme="minorHAnsi"/>
          <w:lang w:val="en-GB"/>
        </w:rPr>
        <w:t xml:space="preserve">The content generation strategy comprised three phases: </w:t>
      </w:r>
      <w:r w:rsidRPr="00A72C58">
        <w:rPr>
          <w:rFonts w:asciiTheme="minorHAnsi" w:hAnsiTheme="minorHAnsi" w:cstheme="minorHAnsi"/>
          <w:color w:val="000000"/>
          <w:lang w:val="en-GB"/>
        </w:rPr>
        <w:t xml:space="preserve">mapping </w:t>
      </w:r>
      <w:r w:rsidRPr="00A72C58">
        <w:rPr>
          <w:rFonts w:asciiTheme="minorHAnsi" w:hAnsiTheme="minorHAnsi" w:cstheme="minorHAnsi"/>
          <w:lang w:val="en-GB"/>
        </w:rPr>
        <w:t xml:space="preserve">a </w:t>
      </w:r>
      <w:r w:rsidR="009D6956">
        <w:rPr>
          <w:rFonts w:asciiTheme="minorHAnsi" w:hAnsiTheme="minorHAnsi" w:cstheme="minorHAnsi"/>
          <w:lang w:val="en-GB"/>
        </w:rPr>
        <w:t>venous thromboembolism</w:t>
      </w:r>
      <w:r w:rsidRPr="00A72C58">
        <w:rPr>
          <w:rFonts w:asciiTheme="minorHAnsi" w:hAnsiTheme="minorHAnsi" w:cstheme="minorHAnsi"/>
          <w:lang w:val="en-GB"/>
        </w:rPr>
        <w:t xml:space="preserve"> patient journey,</w:t>
      </w:r>
      <w:r w:rsidRPr="00A72C58">
        <w:rPr>
          <w:rFonts w:asciiTheme="minorHAnsi" w:hAnsiTheme="minorHAnsi" w:cstheme="minorHAnsi"/>
          <w:color w:val="000000"/>
          <w:lang w:val="en-GB"/>
        </w:rPr>
        <w:t xml:space="preserve"> </w:t>
      </w:r>
      <w:r w:rsidRPr="00A72C58">
        <w:rPr>
          <w:rFonts w:asciiTheme="minorHAnsi" w:hAnsiTheme="minorHAnsi" w:cstheme="minorHAnsi"/>
          <w:lang w:val="en-GB"/>
        </w:rPr>
        <w:t xml:space="preserve">conducting an </w:t>
      </w:r>
      <w:r w:rsidRPr="00A72C58">
        <w:rPr>
          <w:rFonts w:asciiTheme="minorHAnsi" w:hAnsiTheme="minorHAnsi" w:cstheme="minorHAnsi"/>
          <w:color w:val="000000"/>
          <w:lang w:val="en-GB"/>
        </w:rPr>
        <w:t xml:space="preserve">inventory of relevant patient information, and </w:t>
      </w:r>
      <w:r w:rsidRPr="00A72C58">
        <w:rPr>
          <w:rFonts w:asciiTheme="minorHAnsi" w:hAnsiTheme="minorHAnsi" w:cstheme="minorHAnsi"/>
          <w:lang w:val="en-GB"/>
        </w:rPr>
        <w:t xml:space="preserve">identifying </w:t>
      </w:r>
      <w:r w:rsidRPr="00A72C58">
        <w:rPr>
          <w:rFonts w:asciiTheme="minorHAnsi" w:hAnsiTheme="minorHAnsi" w:cstheme="minorHAnsi"/>
          <w:color w:val="000000"/>
          <w:lang w:val="en-GB"/>
        </w:rPr>
        <w:t xml:space="preserve">best practices for communication. </w:t>
      </w:r>
      <w:r w:rsidRPr="0009522A">
        <w:rPr>
          <w:rFonts w:asciiTheme="minorHAnsi" w:hAnsiTheme="minorHAnsi" w:cstheme="minorHAnsi"/>
          <w:lang w:val="en-GB"/>
        </w:rPr>
        <w:t xml:space="preserve">Patient journey mapping is </w:t>
      </w:r>
      <w:r w:rsidRPr="00505856">
        <w:rPr>
          <w:rFonts w:asciiTheme="minorHAnsi" w:hAnsiTheme="minorHAnsi" w:cstheme="minorHAnsi"/>
          <w:color w:val="000000" w:themeColor="text1"/>
          <w:lang w:val="en-GB"/>
        </w:rPr>
        <w:t>a method to understand opportunities for enhancing communication of diagnoses and diseases.</w:t>
      </w:r>
      <w:r w:rsidRPr="00505856">
        <w:rPr>
          <w:rFonts w:asciiTheme="minorHAnsi" w:hAnsiTheme="minorHAnsi" w:cstheme="minorHAnsi"/>
          <w:color w:val="000000" w:themeColor="text1"/>
          <w:vertAlign w:val="superscript"/>
          <w:lang w:val="en-GB"/>
        </w:rPr>
        <w:t>8,9</w:t>
      </w:r>
      <w:r w:rsidRPr="00505856">
        <w:rPr>
          <w:rFonts w:asciiTheme="minorHAnsi" w:hAnsiTheme="minorHAnsi" w:cstheme="minorHAnsi"/>
          <w:color w:val="000000" w:themeColor="text1"/>
          <w:lang w:val="en-GB"/>
        </w:rPr>
        <w:t xml:space="preserve"> </w:t>
      </w:r>
    </w:p>
    <w:p w14:paraId="3D0DCA8B" w14:textId="71F47B11" w:rsidR="001C3F18" w:rsidRPr="001F2797" w:rsidRDefault="001C3F18" w:rsidP="001F2797">
      <w:pPr>
        <w:spacing w:after="160" w:line="480" w:lineRule="auto"/>
        <w:ind w:firstLine="708"/>
        <w:jc w:val="both"/>
        <w:rPr>
          <w:rFonts w:asciiTheme="minorHAnsi" w:hAnsiTheme="minorHAnsi" w:cstheme="minorHAnsi"/>
          <w:lang w:val="en-GB"/>
        </w:rPr>
      </w:pPr>
      <w:r w:rsidRPr="00A72C58">
        <w:rPr>
          <w:rFonts w:asciiTheme="minorHAnsi" w:hAnsiTheme="minorHAnsi" w:cstheme="minorHAnsi"/>
          <w:lang w:val="en-GB"/>
        </w:rPr>
        <w:t>The structure of the toolkit was based on timepoints, key topics, and pivotal moments within the patient journey (</w:t>
      </w:r>
      <w:r w:rsidR="0043746C">
        <w:rPr>
          <w:rFonts w:asciiTheme="minorHAnsi" w:hAnsiTheme="minorHAnsi" w:cstheme="minorHAnsi"/>
          <w:lang w:val="en-GB"/>
        </w:rPr>
        <w:t>a</w:t>
      </w:r>
      <w:r w:rsidRPr="0043746C">
        <w:rPr>
          <w:rFonts w:asciiTheme="minorHAnsi" w:hAnsiTheme="minorHAnsi" w:cstheme="minorHAnsi"/>
          <w:lang w:val="en-GB"/>
        </w:rPr>
        <w:t>ppendix</w:t>
      </w:r>
      <w:r w:rsidRPr="00A72C58">
        <w:rPr>
          <w:rFonts w:asciiTheme="minorHAnsi" w:hAnsiTheme="minorHAnsi" w:cstheme="minorHAnsi"/>
          <w:lang w:val="en-GB"/>
        </w:rPr>
        <w:t xml:space="preserve">). </w:t>
      </w:r>
      <w:r w:rsidRPr="00A72C58">
        <w:rPr>
          <w:rFonts w:asciiTheme="minorHAnsi" w:hAnsiTheme="minorHAnsi" w:cstheme="minorHAnsi"/>
          <w:color w:val="000000" w:themeColor="text1"/>
          <w:lang w:val="en-GB"/>
        </w:rPr>
        <w:t>Three main time</w:t>
      </w:r>
      <w:r w:rsidR="0009522A">
        <w:rPr>
          <w:rFonts w:asciiTheme="minorHAnsi" w:hAnsiTheme="minorHAnsi" w:cstheme="minorHAnsi"/>
          <w:color w:val="000000" w:themeColor="text1"/>
          <w:lang w:val="en-GB"/>
        </w:rPr>
        <w:t xml:space="preserve"> </w:t>
      </w:r>
      <w:r w:rsidRPr="00A72C58">
        <w:rPr>
          <w:rFonts w:asciiTheme="minorHAnsi" w:hAnsiTheme="minorHAnsi" w:cstheme="minorHAnsi"/>
          <w:color w:val="000000" w:themeColor="text1"/>
          <w:lang w:val="en-GB"/>
        </w:rPr>
        <w:t>periods were identified</w:t>
      </w:r>
      <w:r w:rsidR="001F2797">
        <w:rPr>
          <w:rFonts w:asciiTheme="minorHAnsi" w:hAnsiTheme="minorHAnsi" w:cstheme="minorHAnsi"/>
          <w:color w:val="000000" w:themeColor="text1"/>
          <w:lang w:val="en-GB"/>
        </w:rPr>
        <w:t>.</w:t>
      </w:r>
      <w:r w:rsidRPr="00A72C58">
        <w:rPr>
          <w:rFonts w:asciiTheme="minorHAnsi" w:hAnsiTheme="minorHAnsi" w:cstheme="minorHAnsi"/>
          <w:lang w:val="en-GB"/>
        </w:rPr>
        <w:t xml:space="preserve"> </w:t>
      </w:r>
      <w:r w:rsidR="001F2797">
        <w:rPr>
          <w:rFonts w:asciiTheme="minorHAnsi" w:hAnsiTheme="minorHAnsi" w:cstheme="minorHAnsi"/>
          <w:lang w:val="en-GB"/>
        </w:rPr>
        <w:t>T</w:t>
      </w:r>
      <w:r w:rsidRPr="00A72C58">
        <w:rPr>
          <w:rFonts w:asciiTheme="minorHAnsi" w:hAnsiTheme="minorHAnsi" w:cstheme="minorHAnsi"/>
          <w:lang w:val="en-GB"/>
        </w:rPr>
        <w:t xml:space="preserve">he </w:t>
      </w:r>
      <w:r w:rsidRPr="001F2797">
        <w:rPr>
          <w:rFonts w:asciiTheme="minorHAnsi" w:hAnsiTheme="minorHAnsi" w:cstheme="minorHAnsi"/>
          <w:lang w:val="en-GB"/>
        </w:rPr>
        <w:t>immediate</w:t>
      </w:r>
      <w:r w:rsidRPr="00A72C58">
        <w:rPr>
          <w:rFonts w:asciiTheme="minorHAnsi" w:hAnsiTheme="minorHAnsi" w:cstheme="minorHAnsi"/>
          <w:lang w:val="en-GB"/>
        </w:rPr>
        <w:t xml:space="preserve"> phase includes </w:t>
      </w:r>
      <w:r w:rsidRPr="00A72C58">
        <w:rPr>
          <w:rFonts w:asciiTheme="minorHAnsi" w:hAnsiTheme="minorHAnsi" w:cstheme="minorHAnsi"/>
          <w:color w:val="000000"/>
          <w:lang w:val="en-GB"/>
        </w:rPr>
        <w:t xml:space="preserve">the diagnostic encounter, immediate management decisions, </w:t>
      </w:r>
      <w:r w:rsidRPr="00A72C58">
        <w:rPr>
          <w:rFonts w:asciiTheme="minorHAnsi" w:hAnsiTheme="minorHAnsi" w:cstheme="minorHAnsi"/>
          <w:lang w:val="en-GB"/>
        </w:rPr>
        <w:t xml:space="preserve">and </w:t>
      </w:r>
      <w:r w:rsidRPr="00A72C58">
        <w:rPr>
          <w:rFonts w:asciiTheme="minorHAnsi" w:hAnsiTheme="minorHAnsi" w:cstheme="minorHAnsi"/>
          <w:color w:val="000000"/>
          <w:lang w:val="en-GB"/>
        </w:rPr>
        <w:t xml:space="preserve">patient orientation to the diagnosis and treatment of acute </w:t>
      </w:r>
      <w:r w:rsidR="009D6956">
        <w:rPr>
          <w:rFonts w:asciiTheme="minorHAnsi" w:hAnsiTheme="minorHAnsi" w:cstheme="minorHAnsi"/>
          <w:color w:val="000000"/>
          <w:lang w:val="en-GB"/>
        </w:rPr>
        <w:t>venous thromboembolism</w:t>
      </w:r>
      <w:r w:rsidRPr="00A72C58">
        <w:rPr>
          <w:rFonts w:asciiTheme="minorHAnsi" w:hAnsiTheme="minorHAnsi" w:cstheme="minorHAnsi"/>
          <w:color w:val="000000"/>
          <w:lang w:val="en-GB"/>
        </w:rPr>
        <w:t xml:space="preserve">, representing </w:t>
      </w:r>
      <w:r w:rsidRPr="00A72C58">
        <w:rPr>
          <w:rFonts w:asciiTheme="minorHAnsi" w:hAnsiTheme="minorHAnsi" w:cstheme="minorHAnsi"/>
          <w:lang w:val="en-GB"/>
        </w:rPr>
        <w:t>the time from diagnosis to about 1 week</w:t>
      </w:r>
      <w:r w:rsidR="001F2797">
        <w:rPr>
          <w:rFonts w:asciiTheme="minorHAnsi" w:hAnsiTheme="minorHAnsi" w:cstheme="minorHAnsi"/>
          <w:lang w:val="en-GB"/>
        </w:rPr>
        <w:t>. T</w:t>
      </w:r>
      <w:r w:rsidRPr="00A72C58">
        <w:rPr>
          <w:rFonts w:asciiTheme="minorHAnsi" w:hAnsiTheme="minorHAnsi" w:cstheme="minorHAnsi"/>
          <w:color w:val="000000" w:themeColor="text1"/>
          <w:lang w:val="en-GB"/>
        </w:rPr>
        <w:t xml:space="preserve">he </w:t>
      </w:r>
      <w:r w:rsidRPr="00A17066">
        <w:rPr>
          <w:rFonts w:asciiTheme="minorHAnsi" w:hAnsiTheme="minorHAnsi" w:cstheme="minorHAnsi"/>
          <w:color w:val="000000" w:themeColor="text1"/>
          <w:lang w:val="en-GB"/>
        </w:rPr>
        <w:t>intermediate</w:t>
      </w:r>
      <w:r w:rsidRPr="00A72C58">
        <w:rPr>
          <w:rFonts w:asciiTheme="minorHAnsi" w:hAnsiTheme="minorHAnsi" w:cstheme="minorHAnsi"/>
          <w:color w:val="000000" w:themeColor="text1"/>
          <w:lang w:val="en-GB"/>
        </w:rPr>
        <w:t xml:space="preserve"> phase</w:t>
      </w:r>
      <w:r w:rsidRPr="00A72C58">
        <w:rPr>
          <w:rFonts w:asciiTheme="minorHAnsi" w:hAnsiTheme="minorHAnsi" w:cstheme="minorHAnsi"/>
          <w:lang w:val="en-GB"/>
        </w:rPr>
        <w:t xml:space="preserve"> includes </w:t>
      </w:r>
      <w:r w:rsidRPr="00A72C58">
        <w:rPr>
          <w:rFonts w:asciiTheme="minorHAnsi" w:hAnsiTheme="minorHAnsi" w:cstheme="minorHAnsi"/>
          <w:color w:val="000000" w:themeColor="text1"/>
          <w:lang w:val="en-GB"/>
        </w:rPr>
        <w:t>the initial response to therapy and resumption of usual activities, occurs</w:t>
      </w:r>
      <w:r w:rsidRPr="00A72C58">
        <w:rPr>
          <w:rFonts w:asciiTheme="minorHAnsi" w:hAnsiTheme="minorHAnsi" w:cstheme="minorHAnsi"/>
          <w:lang w:val="en-GB"/>
        </w:rPr>
        <w:t xml:space="preserve"> primarily in the </w:t>
      </w:r>
      <w:r w:rsidRPr="00A72C58">
        <w:rPr>
          <w:rFonts w:asciiTheme="minorHAnsi" w:hAnsiTheme="minorHAnsi" w:cstheme="minorHAnsi"/>
          <w:color w:val="000000" w:themeColor="text1"/>
          <w:lang w:val="en-GB"/>
        </w:rPr>
        <w:t>outpatient setting, and covers the first 1</w:t>
      </w:r>
      <w:r w:rsidR="00A17066">
        <w:rPr>
          <w:rFonts w:asciiTheme="minorHAnsi" w:hAnsiTheme="minorHAnsi" w:cstheme="minorHAnsi"/>
          <w:color w:val="000000" w:themeColor="text1"/>
          <w:lang w:val="en-GB"/>
        </w:rPr>
        <w:t>–</w:t>
      </w:r>
      <w:r w:rsidRPr="00A72C58">
        <w:rPr>
          <w:rFonts w:asciiTheme="minorHAnsi" w:hAnsiTheme="minorHAnsi" w:cstheme="minorHAnsi"/>
          <w:color w:val="000000" w:themeColor="text1"/>
          <w:lang w:val="en-GB"/>
        </w:rPr>
        <w:t xml:space="preserve">2 months </w:t>
      </w:r>
      <w:r w:rsidRPr="00A72C58">
        <w:rPr>
          <w:rFonts w:asciiTheme="minorHAnsi" w:hAnsiTheme="minorHAnsi" w:cstheme="minorHAnsi"/>
          <w:color w:val="000000"/>
          <w:lang w:val="en-GB"/>
        </w:rPr>
        <w:t xml:space="preserve">of </w:t>
      </w:r>
      <w:r w:rsidRPr="00A72C58">
        <w:rPr>
          <w:rFonts w:asciiTheme="minorHAnsi" w:hAnsiTheme="minorHAnsi" w:cstheme="minorHAnsi"/>
          <w:color w:val="000000" w:themeColor="text1"/>
          <w:lang w:val="en-GB"/>
        </w:rPr>
        <w:t>treatment</w:t>
      </w:r>
      <w:r w:rsidR="001F2797">
        <w:rPr>
          <w:rFonts w:asciiTheme="minorHAnsi" w:hAnsiTheme="minorHAnsi" w:cstheme="minorHAnsi"/>
          <w:color w:val="000000" w:themeColor="text1"/>
          <w:lang w:val="en-GB"/>
        </w:rPr>
        <w:t>. T</w:t>
      </w:r>
      <w:r w:rsidRPr="00A72C58">
        <w:rPr>
          <w:rFonts w:asciiTheme="minorHAnsi" w:hAnsiTheme="minorHAnsi" w:cstheme="minorHAnsi"/>
          <w:color w:val="000000"/>
          <w:lang w:val="en-GB"/>
        </w:rPr>
        <w:t xml:space="preserve">he </w:t>
      </w:r>
      <w:r w:rsidRPr="00A17066">
        <w:rPr>
          <w:rFonts w:asciiTheme="minorHAnsi" w:hAnsiTheme="minorHAnsi" w:cstheme="minorHAnsi"/>
          <w:color w:val="000000"/>
          <w:lang w:val="en-GB"/>
        </w:rPr>
        <w:t>long-</w:t>
      </w:r>
      <w:r w:rsidRPr="00A17066">
        <w:rPr>
          <w:rFonts w:asciiTheme="minorHAnsi" w:hAnsiTheme="minorHAnsi" w:cstheme="minorHAnsi"/>
          <w:lang w:val="en-GB"/>
        </w:rPr>
        <w:t>term</w:t>
      </w:r>
      <w:r w:rsidRPr="00A72C58">
        <w:rPr>
          <w:rFonts w:asciiTheme="minorHAnsi" w:hAnsiTheme="minorHAnsi" w:cstheme="minorHAnsi"/>
          <w:lang w:val="en-GB"/>
        </w:rPr>
        <w:t xml:space="preserve"> phase captures </w:t>
      </w:r>
      <w:r w:rsidRPr="00A72C58">
        <w:rPr>
          <w:rFonts w:asciiTheme="minorHAnsi" w:hAnsiTheme="minorHAnsi" w:cstheme="minorHAnsi"/>
          <w:color w:val="000000"/>
          <w:lang w:val="en-GB"/>
        </w:rPr>
        <w:t xml:space="preserve">concerns surrounding extended-phase treatment and response to </w:t>
      </w:r>
      <w:r w:rsidR="009D6956">
        <w:rPr>
          <w:rFonts w:asciiTheme="minorHAnsi" w:hAnsiTheme="minorHAnsi" w:cstheme="minorHAnsi"/>
          <w:color w:val="000000"/>
          <w:lang w:val="en-GB"/>
        </w:rPr>
        <w:t>venous thromboembolism</w:t>
      </w:r>
      <w:r w:rsidRPr="00A72C58">
        <w:rPr>
          <w:rFonts w:asciiTheme="minorHAnsi" w:hAnsiTheme="minorHAnsi" w:cstheme="minorHAnsi"/>
          <w:color w:val="000000"/>
          <w:lang w:val="en-GB"/>
        </w:rPr>
        <w:t xml:space="preserve"> therapy, including the selection and duration of anticoagulation,</w:t>
      </w:r>
      <w:r w:rsidRPr="00A72C58">
        <w:rPr>
          <w:rFonts w:asciiTheme="minorHAnsi" w:hAnsiTheme="minorHAnsi" w:cstheme="minorHAnsi"/>
          <w:lang w:val="en-GB"/>
        </w:rPr>
        <w:t xml:space="preserve"> risk for recurrent </w:t>
      </w:r>
      <w:r w:rsidR="009D6956">
        <w:rPr>
          <w:rFonts w:asciiTheme="minorHAnsi" w:hAnsiTheme="minorHAnsi" w:cstheme="minorHAnsi"/>
          <w:lang w:val="en-GB"/>
        </w:rPr>
        <w:t>venous thromboembolism</w:t>
      </w:r>
      <w:r w:rsidRPr="00A72C58">
        <w:rPr>
          <w:rFonts w:asciiTheme="minorHAnsi" w:hAnsiTheme="minorHAnsi" w:cstheme="minorHAnsi"/>
          <w:lang w:val="en-GB"/>
        </w:rPr>
        <w:t>, and identification of any complications or underlying conditions that impact management</w:t>
      </w:r>
      <w:r w:rsidRPr="00A72C58">
        <w:rPr>
          <w:rFonts w:asciiTheme="minorHAnsi" w:hAnsiTheme="minorHAnsi" w:cstheme="minorHAnsi"/>
          <w:color w:val="000000"/>
          <w:lang w:val="en-GB"/>
        </w:rPr>
        <w:t>. This period is defined as 3</w:t>
      </w:r>
      <w:r w:rsidR="00202DA9">
        <w:rPr>
          <w:rFonts w:asciiTheme="minorHAnsi" w:hAnsiTheme="minorHAnsi" w:cstheme="minorHAnsi"/>
          <w:color w:val="000000"/>
          <w:lang w:val="en-GB"/>
        </w:rPr>
        <w:t>–</w:t>
      </w:r>
      <w:r w:rsidRPr="00A72C58">
        <w:rPr>
          <w:rFonts w:asciiTheme="minorHAnsi" w:hAnsiTheme="minorHAnsi" w:cstheme="minorHAnsi"/>
          <w:color w:val="000000"/>
          <w:lang w:val="en-GB"/>
        </w:rPr>
        <w:t>6 months post-event and beyond.</w:t>
      </w:r>
    </w:p>
    <w:p w14:paraId="55200CD0" w14:textId="160EB461" w:rsidR="001C3F18" w:rsidRPr="00A72C58" w:rsidRDefault="001C3F18" w:rsidP="00416ED4">
      <w:pPr>
        <w:pStyle w:val="NormalWeb"/>
        <w:spacing w:line="480" w:lineRule="auto"/>
        <w:rPr>
          <w:rFonts w:asciiTheme="minorHAnsi" w:hAnsiTheme="minorHAnsi" w:cstheme="minorHAnsi"/>
          <w:sz w:val="22"/>
          <w:szCs w:val="22"/>
          <w:lang w:val="en-GB"/>
        </w:rPr>
      </w:pPr>
      <w:r w:rsidRPr="00A72C58">
        <w:rPr>
          <w:rFonts w:asciiTheme="minorHAnsi" w:hAnsiTheme="minorHAnsi" w:cstheme="minorHAnsi"/>
          <w:sz w:val="22"/>
          <w:szCs w:val="22"/>
          <w:lang w:val="en-GB"/>
        </w:rPr>
        <w:t xml:space="preserve">We </w:t>
      </w:r>
      <w:r w:rsidR="00720183" w:rsidRPr="00A72C58">
        <w:rPr>
          <w:rFonts w:asciiTheme="minorHAnsi" w:hAnsiTheme="minorHAnsi" w:cstheme="minorHAnsi"/>
          <w:sz w:val="22"/>
          <w:szCs w:val="22"/>
          <w:lang w:val="en-GB"/>
        </w:rPr>
        <w:t>comp</w:t>
      </w:r>
      <w:r w:rsidR="00720183">
        <w:rPr>
          <w:rFonts w:asciiTheme="minorHAnsi" w:hAnsiTheme="minorHAnsi" w:cstheme="minorHAnsi"/>
          <w:sz w:val="22"/>
          <w:szCs w:val="22"/>
          <w:lang w:val="en-GB"/>
        </w:rPr>
        <w:t>il</w:t>
      </w:r>
      <w:r w:rsidR="00720183" w:rsidRPr="00A72C58">
        <w:rPr>
          <w:rFonts w:asciiTheme="minorHAnsi" w:hAnsiTheme="minorHAnsi" w:cstheme="minorHAnsi"/>
          <w:sz w:val="22"/>
          <w:szCs w:val="22"/>
          <w:lang w:val="en-GB"/>
        </w:rPr>
        <w:t xml:space="preserve">ed </w:t>
      </w:r>
      <w:r w:rsidRPr="00A72C58">
        <w:rPr>
          <w:rFonts w:asciiTheme="minorHAnsi" w:hAnsiTheme="minorHAnsi" w:cstheme="minorHAnsi"/>
          <w:sz w:val="22"/>
          <w:szCs w:val="22"/>
          <w:lang w:val="en-GB"/>
        </w:rPr>
        <w:t xml:space="preserve">common experienced-based patient and caregiver questions about </w:t>
      </w:r>
      <w:r w:rsidR="009D6956">
        <w:rPr>
          <w:rFonts w:asciiTheme="minorHAnsi" w:hAnsiTheme="minorHAnsi" w:cstheme="minorHAnsi"/>
          <w:sz w:val="22"/>
          <w:szCs w:val="22"/>
          <w:lang w:val="en-GB"/>
        </w:rPr>
        <w:t>venous thromboembolism</w:t>
      </w:r>
      <w:r w:rsidRPr="00A72C58">
        <w:rPr>
          <w:rFonts w:asciiTheme="minorHAnsi" w:hAnsiTheme="minorHAnsi" w:cstheme="minorHAnsi"/>
          <w:sz w:val="22"/>
          <w:szCs w:val="22"/>
          <w:lang w:val="en-GB"/>
        </w:rPr>
        <w:t xml:space="preserve">. Existing resources from the National Blood Clot Alliance, World Thrombosis Day, Thrombosis Canada, and </w:t>
      </w:r>
      <w:proofErr w:type="spellStart"/>
      <w:r w:rsidR="00E71EAD" w:rsidRPr="00E71EAD">
        <w:rPr>
          <w:rFonts w:asciiTheme="minorHAnsi" w:hAnsiTheme="minorHAnsi" w:cstheme="minorHAnsi"/>
          <w:sz w:val="22"/>
          <w:szCs w:val="22"/>
          <w:lang w:val="en-GB"/>
        </w:rPr>
        <w:t>Vasculearn</w:t>
      </w:r>
      <w:proofErr w:type="spellEnd"/>
      <w:r w:rsidR="00E71EAD" w:rsidRPr="00E71EAD">
        <w:rPr>
          <w:rFonts w:asciiTheme="minorHAnsi" w:hAnsiTheme="minorHAnsi" w:cstheme="minorHAnsi"/>
          <w:sz w:val="22"/>
          <w:szCs w:val="22"/>
          <w:lang w:val="en-GB"/>
        </w:rPr>
        <w:t xml:space="preserve"> Network</w:t>
      </w:r>
      <w:r w:rsidRPr="00A72C58">
        <w:rPr>
          <w:rFonts w:asciiTheme="minorHAnsi" w:hAnsiTheme="minorHAnsi" w:cstheme="minorHAnsi"/>
          <w:sz w:val="22"/>
          <w:szCs w:val="22"/>
          <w:lang w:val="en-GB"/>
        </w:rPr>
        <w:t xml:space="preserve">’s patient content </w:t>
      </w:r>
      <w:r w:rsidR="00720183">
        <w:rPr>
          <w:rFonts w:asciiTheme="minorHAnsi" w:hAnsiTheme="minorHAnsi" w:cstheme="minorHAnsi"/>
          <w:sz w:val="22"/>
          <w:szCs w:val="22"/>
          <w:lang w:val="en-GB"/>
        </w:rPr>
        <w:t>database</w:t>
      </w:r>
      <w:r w:rsidRPr="00A72C58">
        <w:rPr>
          <w:rFonts w:asciiTheme="minorHAnsi" w:hAnsiTheme="minorHAnsi" w:cstheme="minorHAnsi"/>
          <w:sz w:val="22"/>
          <w:szCs w:val="22"/>
          <w:lang w:val="en-GB"/>
        </w:rPr>
        <w:t xml:space="preserve"> were reviewed. The essential communication content was then mapped onto the patient journey timeline.</w:t>
      </w:r>
      <w:r w:rsidRPr="00A72C58">
        <w:rPr>
          <w:rFonts w:asciiTheme="minorHAnsi" w:hAnsiTheme="minorHAnsi" w:cstheme="minorHAnsi"/>
          <w:lang w:val="en-GB"/>
        </w:rPr>
        <w:t xml:space="preserve"> </w:t>
      </w:r>
      <w:r w:rsidRPr="00A72C58">
        <w:rPr>
          <w:rFonts w:asciiTheme="minorHAnsi" w:hAnsiTheme="minorHAnsi" w:cstheme="minorHAnsi"/>
          <w:sz w:val="22"/>
          <w:szCs w:val="22"/>
          <w:lang w:val="en-GB"/>
        </w:rPr>
        <w:t xml:space="preserve">A </w:t>
      </w:r>
      <w:r w:rsidRPr="0009522A">
        <w:rPr>
          <w:rFonts w:asciiTheme="minorHAnsi" w:hAnsiTheme="minorHAnsi" w:cstheme="minorHAnsi"/>
          <w:sz w:val="22"/>
          <w:szCs w:val="22"/>
          <w:lang w:val="en-GB"/>
        </w:rPr>
        <w:t>comprehensive literature review was conducted to identify tools and best practices for effective patient communication</w:t>
      </w:r>
      <w:r w:rsidRPr="0009522A">
        <w:rPr>
          <w:rFonts w:asciiTheme="minorHAnsi" w:hAnsiTheme="minorHAnsi" w:cstheme="minorHAnsi"/>
          <w:color w:val="000000"/>
          <w:sz w:val="22"/>
          <w:szCs w:val="22"/>
          <w:lang w:val="en-GB"/>
        </w:rPr>
        <w:t xml:space="preserve">. </w:t>
      </w:r>
      <w:r w:rsidRPr="0009522A">
        <w:rPr>
          <w:rFonts w:asciiTheme="minorHAnsi" w:hAnsiTheme="minorHAnsi" w:cstheme="minorHAnsi"/>
          <w:sz w:val="22"/>
          <w:szCs w:val="22"/>
          <w:lang w:val="en-GB"/>
        </w:rPr>
        <w:t xml:space="preserve">Evidence from the review </w:t>
      </w:r>
      <w:r w:rsidRPr="0009522A">
        <w:rPr>
          <w:rFonts w:asciiTheme="minorHAnsi" w:hAnsiTheme="minorHAnsi" w:cstheme="minorHAnsi"/>
          <w:color w:val="000000"/>
          <w:sz w:val="22"/>
          <w:szCs w:val="22"/>
          <w:lang w:val="en-GB"/>
        </w:rPr>
        <w:t>was su</w:t>
      </w:r>
      <w:r w:rsidRPr="0009522A">
        <w:rPr>
          <w:rFonts w:asciiTheme="minorHAnsi" w:hAnsiTheme="minorHAnsi" w:cstheme="minorHAnsi"/>
          <w:sz w:val="22"/>
          <w:szCs w:val="22"/>
          <w:lang w:val="en-GB"/>
        </w:rPr>
        <w:t xml:space="preserve">pplemented with </w:t>
      </w:r>
      <w:r w:rsidRPr="0009522A">
        <w:rPr>
          <w:rFonts w:asciiTheme="minorHAnsi" w:hAnsiTheme="minorHAnsi" w:cstheme="minorHAnsi"/>
          <w:color w:val="000000"/>
          <w:sz w:val="22"/>
          <w:szCs w:val="22"/>
          <w:lang w:val="en-GB"/>
        </w:rPr>
        <w:t xml:space="preserve">personal experiences reported by taskforce members, health communication guidelines, the </w:t>
      </w:r>
      <w:hyperlink r:id="rId7" w:history="1">
        <w:proofErr w:type="spellStart"/>
        <w:r w:rsidRPr="00505856">
          <w:rPr>
            <w:rStyle w:val="Hyperlink"/>
            <w:rFonts w:asciiTheme="minorHAnsi" w:hAnsiTheme="minorHAnsi" w:cstheme="minorHAnsi"/>
            <w:sz w:val="22"/>
            <w:szCs w:val="22"/>
            <w:lang w:val="en-GB"/>
          </w:rPr>
          <w:t>VitalTalk</w:t>
        </w:r>
        <w:proofErr w:type="spellEnd"/>
        <w:r w:rsidRPr="00505856">
          <w:rPr>
            <w:rStyle w:val="Hyperlink"/>
            <w:rFonts w:asciiTheme="minorHAnsi" w:hAnsiTheme="minorHAnsi" w:cstheme="minorHAnsi"/>
            <w:sz w:val="22"/>
            <w:szCs w:val="22"/>
            <w:lang w:val="en-GB"/>
          </w:rPr>
          <w:t xml:space="preserve"> tool</w:t>
        </w:r>
      </w:hyperlink>
      <w:r w:rsidRPr="0009522A">
        <w:rPr>
          <w:rFonts w:asciiTheme="minorHAnsi" w:hAnsiTheme="minorHAnsi" w:cstheme="minorHAnsi"/>
          <w:color w:val="000000"/>
          <w:sz w:val="22"/>
          <w:szCs w:val="22"/>
          <w:lang w:val="en-GB"/>
        </w:rPr>
        <w:t xml:space="preserve">, and the </w:t>
      </w:r>
      <w:hyperlink r:id="rId8" w:history="1">
        <w:r w:rsidRPr="00505856">
          <w:rPr>
            <w:rStyle w:val="Hyperlink"/>
            <w:rFonts w:asciiTheme="minorHAnsi" w:hAnsiTheme="minorHAnsi" w:cstheme="minorHAnsi"/>
            <w:sz w:val="22"/>
            <w:szCs w:val="22"/>
            <w:lang w:val="en-GB"/>
          </w:rPr>
          <w:t>Serious Illness Conversation Guide</w:t>
        </w:r>
      </w:hyperlink>
      <w:r w:rsidRPr="0009522A">
        <w:rPr>
          <w:rFonts w:asciiTheme="minorHAnsi" w:hAnsiTheme="minorHAnsi" w:cstheme="minorHAnsi"/>
          <w:color w:val="000000"/>
          <w:sz w:val="22"/>
          <w:szCs w:val="22"/>
          <w:lang w:val="en-GB"/>
        </w:rPr>
        <w:t>. Taskforce review and discussion about</w:t>
      </w:r>
      <w:r w:rsidRPr="0009522A">
        <w:rPr>
          <w:rFonts w:asciiTheme="minorHAnsi" w:hAnsiTheme="minorHAnsi" w:cstheme="minorHAnsi"/>
          <w:sz w:val="22"/>
          <w:szCs w:val="22"/>
          <w:lang w:val="en-GB"/>
        </w:rPr>
        <w:t xml:space="preserve"> the </w:t>
      </w:r>
      <w:r w:rsidRPr="0009522A">
        <w:rPr>
          <w:rFonts w:asciiTheme="minorHAnsi" w:hAnsiTheme="minorHAnsi" w:cstheme="minorHAnsi"/>
          <w:color w:val="000000"/>
          <w:sz w:val="22"/>
          <w:szCs w:val="22"/>
          <w:lang w:val="en-GB"/>
        </w:rPr>
        <w:t>quality of identified best practices led to</w:t>
      </w:r>
      <w:r w:rsidRPr="0009522A">
        <w:rPr>
          <w:rFonts w:asciiTheme="minorHAnsi" w:hAnsiTheme="minorHAnsi" w:cstheme="minorHAnsi"/>
          <w:sz w:val="22"/>
          <w:szCs w:val="22"/>
          <w:lang w:val="en-GB"/>
        </w:rPr>
        <w:t xml:space="preserve"> a consensus list of </w:t>
      </w:r>
      <w:r w:rsidRPr="0009522A">
        <w:rPr>
          <w:rFonts w:asciiTheme="minorHAnsi" w:hAnsiTheme="minorHAnsi" w:cstheme="minorHAnsi"/>
          <w:color w:val="000000"/>
          <w:sz w:val="22"/>
          <w:szCs w:val="22"/>
          <w:lang w:val="en-GB"/>
        </w:rPr>
        <w:t>final recommendations (</w:t>
      </w:r>
      <w:r w:rsidR="00125486" w:rsidRPr="0009522A">
        <w:rPr>
          <w:rFonts w:asciiTheme="minorHAnsi" w:hAnsiTheme="minorHAnsi" w:cstheme="minorHAnsi"/>
          <w:color w:val="000000"/>
          <w:sz w:val="22"/>
          <w:szCs w:val="22"/>
          <w:lang w:val="en-GB"/>
        </w:rPr>
        <w:t>a</w:t>
      </w:r>
      <w:r w:rsidRPr="0009522A">
        <w:rPr>
          <w:rFonts w:asciiTheme="minorHAnsi" w:hAnsiTheme="minorHAnsi" w:cstheme="minorHAnsi"/>
          <w:color w:val="000000"/>
          <w:sz w:val="22"/>
          <w:szCs w:val="22"/>
          <w:lang w:val="en-GB"/>
        </w:rPr>
        <w:t>ppendix).</w:t>
      </w:r>
    </w:p>
    <w:p w14:paraId="774D6D88" w14:textId="59308BAD" w:rsidR="001C3F18" w:rsidRPr="00A72C58" w:rsidRDefault="001C3F18" w:rsidP="0087767C">
      <w:pPr>
        <w:pBdr>
          <w:top w:val="nil"/>
          <w:left w:val="nil"/>
          <w:bottom w:val="nil"/>
          <w:right w:val="nil"/>
          <w:between w:val="nil"/>
        </w:pBdr>
        <w:spacing w:line="480" w:lineRule="auto"/>
        <w:jc w:val="both"/>
        <w:rPr>
          <w:rFonts w:asciiTheme="minorHAnsi" w:hAnsiTheme="minorHAnsi" w:cstheme="minorHAnsi"/>
          <w:lang w:val="en-GB"/>
        </w:rPr>
      </w:pPr>
      <w:r w:rsidRPr="00A72C58">
        <w:rPr>
          <w:rFonts w:cstheme="minorHAnsi"/>
          <w:color w:val="000000"/>
          <w:lang w:val="en-GB"/>
        </w:rPr>
        <w:tab/>
      </w:r>
      <w:r w:rsidR="00360BF6">
        <w:rPr>
          <w:rFonts w:asciiTheme="minorHAnsi" w:hAnsiTheme="minorHAnsi" w:cstheme="minorHAnsi"/>
          <w:color w:val="000000"/>
          <w:lang w:val="en-GB"/>
        </w:rPr>
        <w:t>The resulting</w:t>
      </w:r>
      <w:r w:rsidRPr="00A72C58">
        <w:rPr>
          <w:rFonts w:asciiTheme="minorHAnsi" w:hAnsiTheme="minorHAnsi" w:cstheme="minorHAnsi"/>
          <w:color w:val="000000"/>
          <w:lang w:val="en-GB"/>
        </w:rPr>
        <w:t xml:space="preserve"> digital </w:t>
      </w:r>
      <w:r w:rsidR="0043746C">
        <w:rPr>
          <w:rFonts w:asciiTheme="minorHAnsi" w:hAnsiTheme="minorHAnsi" w:cstheme="minorHAnsi"/>
          <w:color w:val="000000"/>
          <w:lang w:val="en-GB"/>
        </w:rPr>
        <w:t>health-care professional</w:t>
      </w:r>
      <w:r w:rsidRPr="00A72C58">
        <w:rPr>
          <w:rFonts w:asciiTheme="minorHAnsi" w:hAnsiTheme="minorHAnsi" w:cstheme="minorHAnsi"/>
          <w:color w:val="000000"/>
          <w:lang w:val="en-GB"/>
        </w:rPr>
        <w:t xml:space="preserve"> toolkit</w:t>
      </w:r>
      <w:r w:rsidR="00B6713A">
        <w:rPr>
          <w:rFonts w:asciiTheme="minorHAnsi" w:hAnsiTheme="minorHAnsi" w:cstheme="minorHAnsi"/>
          <w:color w:val="000000"/>
          <w:lang w:val="en-GB"/>
        </w:rPr>
        <w:t xml:space="preserve"> is </w:t>
      </w:r>
      <w:r w:rsidRPr="00A72C58">
        <w:rPr>
          <w:rFonts w:asciiTheme="minorHAnsi" w:hAnsiTheme="minorHAnsi" w:cstheme="minorHAnsi"/>
          <w:color w:val="000000"/>
          <w:lang w:val="en-GB"/>
        </w:rPr>
        <w:t xml:space="preserve">accessible by computer, tablet, or mobile phone. Using the patient journey as a cornerstone, visitors can delve into topics relevant to </w:t>
      </w:r>
      <w:r w:rsidR="009D6956">
        <w:rPr>
          <w:rFonts w:asciiTheme="minorHAnsi" w:hAnsiTheme="minorHAnsi" w:cstheme="minorHAnsi"/>
          <w:color w:val="000000"/>
          <w:lang w:val="en-GB"/>
        </w:rPr>
        <w:t>venous thromboembolism</w:t>
      </w:r>
      <w:r w:rsidRPr="00A72C58">
        <w:rPr>
          <w:rFonts w:asciiTheme="minorHAnsi" w:hAnsiTheme="minorHAnsi" w:cstheme="minorHAnsi"/>
          <w:color w:val="000000"/>
          <w:lang w:val="en-GB"/>
        </w:rPr>
        <w:t xml:space="preserve"> diagnosis or treatment by either scrolling or filtering based on their interests. A tab was created to toggle between the </w:t>
      </w:r>
      <w:r w:rsidR="0043746C">
        <w:rPr>
          <w:rFonts w:asciiTheme="minorHAnsi" w:hAnsiTheme="minorHAnsi" w:cstheme="minorHAnsi"/>
          <w:color w:val="000000"/>
          <w:lang w:val="en-GB"/>
        </w:rPr>
        <w:t>health-care professional</w:t>
      </w:r>
      <w:r w:rsidRPr="00A72C58">
        <w:rPr>
          <w:rFonts w:asciiTheme="minorHAnsi" w:hAnsiTheme="minorHAnsi" w:cstheme="minorHAnsi"/>
          <w:color w:val="000000"/>
          <w:lang w:val="en-GB"/>
        </w:rPr>
        <w:t xml:space="preserve"> and patient perspectives to emphas</w:t>
      </w:r>
      <w:r w:rsidR="00BD201A">
        <w:rPr>
          <w:rFonts w:asciiTheme="minorHAnsi" w:hAnsiTheme="minorHAnsi" w:cstheme="minorHAnsi"/>
          <w:color w:val="000000"/>
          <w:lang w:val="en-GB"/>
        </w:rPr>
        <w:t>is</w:t>
      </w:r>
      <w:r w:rsidRPr="00A72C58">
        <w:rPr>
          <w:rFonts w:asciiTheme="minorHAnsi" w:hAnsiTheme="minorHAnsi" w:cstheme="minorHAnsi"/>
          <w:color w:val="000000"/>
          <w:lang w:val="en-GB"/>
        </w:rPr>
        <w:t>e the contrast between informational needs across the timeline (</w:t>
      </w:r>
      <w:r w:rsidR="00F1283C" w:rsidRPr="00F1283C">
        <w:rPr>
          <w:rFonts w:asciiTheme="minorHAnsi" w:hAnsiTheme="minorHAnsi" w:cstheme="minorHAnsi"/>
          <w:color w:val="000000"/>
          <w:lang w:val="en-GB"/>
        </w:rPr>
        <w:t>f</w:t>
      </w:r>
      <w:r w:rsidRPr="00F1283C">
        <w:rPr>
          <w:rFonts w:asciiTheme="minorHAnsi" w:hAnsiTheme="minorHAnsi" w:cstheme="minorHAnsi"/>
          <w:color w:val="000000"/>
          <w:lang w:val="en-GB"/>
        </w:rPr>
        <w:t>igure</w:t>
      </w:r>
      <w:r w:rsidRPr="00A72C58">
        <w:rPr>
          <w:rFonts w:asciiTheme="minorHAnsi" w:hAnsiTheme="minorHAnsi" w:cstheme="minorHAnsi"/>
          <w:color w:val="000000"/>
          <w:lang w:val="en-GB"/>
        </w:rPr>
        <w:t xml:space="preserve">). </w:t>
      </w:r>
      <w:r w:rsidRPr="00A72C58">
        <w:rPr>
          <w:rFonts w:asciiTheme="minorHAnsi" w:hAnsiTheme="minorHAnsi" w:cstheme="minorHAnsi"/>
          <w:iCs/>
          <w:color w:val="000000"/>
          <w:lang w:val="en-GB"/>
        </w:rPr>
        <w:t xml:space="preserve">In an </w:t>
      </w:r>
      <w:r w:rsidRPr="00A72C58">
        <w:rPr>
          <w:rFonts w:asciiTheme="minorHAnsi" w:hAnsiTheme="minorHAnsi" w:cstheme="minorHAnsi"/>
          <w:bCs/>
          <w:lang w:val="en-GB"/>
        </w:rPr>
        <w:t>open review at the 2024 Internation</w:t>
      </w:r>
      <w:r w:rsidR="00360BF6">
        <w:rPr>
          <w:rFonts w:asciiTheme="minorHAnsi" w:hAnsiTheme="minorHAnsi" w:cstheme="minorHAnsi"/>
          <w:bCs/>
          <w:lang w:val="en-GB"/>
        </w:rPr>
        <w:t>al</w:t>
      </w:r>
      <w:r w:rsidRPr="00A72C58">
        <w:rPr>
          <w:rFonts w:asciiTheme="minorHAnsi" w:hAnsiTheme="minorHAnsi" w:cstheme="minorHAnsi"/>
          <w:bCs/>
          <w:lang w:val="en-GB"/>
        </w:rPr>
        <w:t xml:space="preserve"> Society of Thrombosis and Haemostasis Congress (with 20 respondents), 70% reported that they agreed or strongly agreed with the following statements: </w:t>
      </w:r>
      <w:r w:rsidR="009B597E">
        <w:rPr>
          <w:rFonts w:asciiTheme="minorHAnsi" w:hAnsiTheme="minorHAnsi" w:cstheme="minorHAnsi"/>
          <w:bCs/>
          <w:lang w:val="en-GB"/>
        </w:rPr>
        <w:t>“</w:t>
      </w:r>
      <w:r w:rsidRPr="00A72C58">
        <w:rPr>
          <w:rFonts w:asciiTheme="minorHAnsi" w:hAnsiTheme="minorHAnsi" w:cstheme="minorHAnsi"/>
          <w:bCs/>
          <w:lang w:val="en-GB"/>
        </w:rPr>
        <w:t>The toolkit design is intuitive and easy to navigate</w:t>
      </w:r>
      <w:r w:rsidR="009B597E">
        <w:rPr>
          <w:rFonts w:asciiTheme="minorHAnsi" w:hAnsiTheme="minorHAnsi" w:cstheme="minorHAnsi"/>
          <w:bCs/>
          <w:lang w:val="en-GB"/>
        </w:rPr>
        <w:t>”</w:t>
      </w:r>
      <w:r w:rsidRPr="00A72C58">
        <w:rPr>
          <w:rFonts w:asciiTheme="minorHAnsi" w:hAnsiTheme="minorHAnsi" w:cstheme="minorHAnsi"/>
          <w:bCs/>
          <w:lang w:val="en-GB"/>
        </w:rPr>
        <w:t xml:space="preserve">, </w:t>
      </w:r>
      <w:r w:rsidR="009B597E">
        <w:rPr>
          <w:rFonts w:asciiTheme="minorHAnsi" w:hAnsiTheme="minorHAnsi" w:cstheme="minorHAnsi"/>
          <w:bCs/>
          <w:lang w:val="en-GB"/>
        </w:rPr>
        <w:t>“</w:t>
      </w:r>
      <w:r w:rsidRPr="00A72C58">
        <w:rPr>
          <w:rFonts w:asciiTheme="minorHAnsi" w:hAnsiTheme="minorHAnsi" w:cstheme="minorHAnsi"/>
          <w:bCs/>
          <w:lang w:val="en-GB"/>
        </w:rPr>
        <w:t>the toolkit content is clear</w:t>
      </w:r>
      <w:r w:rsidR="009B597E">
        <w:rPr>
          <w:rFonts w:asciiTheme="minorHAnsi" w:hAnsiTheme="minorHAnsi" w:cstheme="minorHAnsi"/>
          <w:bCs/>
          <w:lang w:val="en-GB"/>
        </w:rPr>
        <w:t>”</w:t>
      </w:r>
      <w:r w:rsidRPr="00A72C58">
        <w:rPr>
          <w:rFonts w:asciiTheme="minorHAnsi" w:hAnsiTheme="minorHAnsi" w:cstheme="minorHAnsi"/>
          <w:bCs/>
          <w:lang w:val="en-GB"/>
        </w:rPr>
        <w:t xml:space="preserve">, and </w:t>
      </w:r>
      <w:r w:rsidR="009B597E">
        <w:rPr>
          <w:rFonts w:asciiTheme="minorHAnsi" w:hAnsiTheme="minorHAnsi" w:cstheme="minorHAnsi"/>
          <w:bCs/>
          <w:lang w:val="en-GB"/>
        </w:rPr>
        <w:t>“</w:t>
      </w:r>
      <w:r w:rsidRPr="00A72C58">
        <w:rPr>
          <w:rFonts w:asciiTheme="minorHAnsi" w:hAnsiTheme="minorHAnsi" w:cstheme="minorHAnsi"/>
          <w:bCs/>
          <w:lang w:val="en-GB"/>
        </w:rPr>
        <w:t xml:space="preserve">the toolkit is useful for teaching </w:t>
      </w:r>
      <w:r w:rsidR="0043746C">
        <w:rPr>
          <w:rFonts w:asciiTheme="minorHAnsi" w:hAnsiTheme="minorHAnsi" w:cstheme="minorHAnsi"/>
          <w:bCs/>
          <w:lang w:val="en-GB"/>
        </w:rPr>
        <w:t>health-care professional</w:t>
      </w:r>
      <w:r w:rsidRPr="00A72C58">
        <w:rPr>
          <w:rFonts w:asciiTheme="minorHAnsi" w:hAnsiTheme="minorHAnsi" w:cstheme="minorHAnsi"/>
          <w:bCs/>
          <w:lang w:val="en-GB"/>
        </w:rPr>
        <w:t>s how to communicate with patients</w:t>
      </w:r>
      <w:r w:rsidR="009B597E">
        <w:rPr>
          <w:rFonts w:asciiTheme="minorHAnsi" w:hAnsiTheme="minorHAnsi" w:cstheme="minorHAnsi"/>
          <w:bCs/>
          <w:lang w:val="en-GB"/>
        </w:rPr>
        <w:t>”</w:t>
      </w:r>
      <w:r w:rsidRPr="00A72C58">
        <w:rPr>
          <w:rFonts w:asciiTheme="minorHAnsi" w:hAnsiTheme="minorHAnsi" w:cstheme="minorHAnsi"/>
          <w:bCs/>
          <w:lang w:val="en-GB"/>
        </w:rPr>
        <w:t xml:space="preserve">. </w:t>
      </w:r>
      <w:r w:rsidRPr="00A72C58">
        <w:rPr>
          <w:rFonts w:asciiTheme="minorHAnsi" w:hAnsiTheme="minorHAnsi" w:cstheme="minorHAnsi"/>
          <w:color w:val="000000"/>
          <w:lang w:val="en-GB"/>
        </w:rPr>
        <w:t xml:space="preserve">The final toolkit is freely </w:t>
      </w:r>
      <w:r w:rsidRPr="0009522A">
        <w:rPr>
          <w:rFonts w:asciiTheme="minorHAnsi" w:hAnsiTheme="minorHAnsi" w:cstheme="minorHAnsi"/>
          <w:color w:val="000000"/>
          <w:lang w:val="en-GB"/>
        </w:rPr>
        <w:t>available online</w:t>
      </w:r>
      <w:r w:rsidR="007E384F" w:rsidRPr="0009522A">
        <w:rPr>
          <w:rFonts w:asciiTheme="minorHAnsi" w:hAnsiTheme="minorHAnsi" w:cstheme="minorHAnsi"/>
          <w:color w:val="000000"/>
          <w:lang w:val="en-GB"/>
        </w:rPr>
        <w:t xml:space="preserve"> at </w:t>
      </w:r>
      <w:r w:rsidR="0087767C" w:rsidRPr="0009522A">
        <w:rPr>
          <w:rFonts w:asciiTheme="minorHAnsi" w:hAnsiTheme="minorHAnsi" w:cstheme="minorHAnsi"/>
          <w:color w:val="000000"/>
          <w:lang w:val="en-GB"/>
        </w:rPr>
        <w:t>http://communication</w:t>
      </w:r>
      <w:r w:rsidR="0087767C" w:rsidRPr="0087767C">
        <w:rPr>
          <w:rFonts w:asciiTheme="minorHAnsi" w:hAnsiTheme="minorHAnsi" w:cstheme="minorHAnsi"/>
          <w:color w:val="000000"/>
          <w:lang w:val="en-GB"/>
        </w:rPr>
        <w:t>.thrombosis.org/</w:t>
      </w:r>
      <w:r w:rsidR="0009522A">
        <w:rPr>
          <w:rFonts w:asciiTheme="minorHAnsi" w:hAnsiTheme="minorHAnsi" w:cstheme="minorHAnsi"/>
          <w:color w:val="000000"/>
          <w:lang w:val="en-GB"/>
        </w:rPr>
        <w:t>.</w:t>
      </w:r>
    </w:p>
    <w:p w14:paraId="4BD068F2" w14:textId="77777777" w:rsidR="0009522A" w:rsidRDefault="0009522A" w:rsidP="004D3598">
      <w:pPr>
        <w:spacing w:line="480" w:lineRule="auto"/>
        <w:jc w:val="both"/>
        <w:rPr>
          <w:rFonts w:asciiTheme="minorHAnsi" w:hAnsiTheme="minorHAnsi" w:cstheme="minorHAnsi"/>
          <w:lang w:val="en-GB"/>
        </w:rPr>
      </w:pPr>
    </w:p>
    <w:p w14:paraId="707003BF" w14:textId="3F4D12AF" w:rsidR="001C3F18" w:rsidRDefault="001C3F18" w:rsidP="004D3598">
      <w:pPr>
        <w:spacing w:line="480" w:lineRule="auto"/>
        <w:jc w:val="both"/>
        <w:rPr>
          <w:lang w:val="en-GB"/>
        </w:rPr>
      </w:pPr>
      <w:r w:rsidRPr="00A72C58">
        <w:rPr>
          <w:rFonts w:asciiTheme="minorHAnsi" w:hAnsiTheme="minorHAnsi" w:cstheme="minorHAnsi"/>
          <w:lang w:val="en-GB"/>
        </w:rPr>
        <w:t xml:space="preserve">In conclusion, we have developed a novel communication toolkit to enhance </w:t>
      </w:r>
      <w:r w:rsidR="0043746C">
        <w:rPr>
          <w:rFonts w:asciiTheme="minorHAnsi" w:hAnsiTheme="minorHAnsi" w:cstheme="minorHAnsi"/>
          <w:lang w:val="en-GB"/>
        </w:rPr>
        <w:t>health-care professional</w:t>
      </w:r>
      <w:r w:rsidRPr="00A72C58">
        <w:rPr>
          <w:rFonts w:asciiTheme="minorHAnsi" w:hAnsiTheme="minorHAnsi" w:cstheme="minorHAnsi"/>
          <w:lang w:val="en-GB"/>
        </w:rPr>
        <w:t xml:space="preserve"> and patient understanding of the patient journey </w:t>
      </w:r>
      <w:r w:rsidR="004813DA">
        <w:rPr>
          <w:rFonts w:asciiTheme="minorHAnsi" w:hAnsiTheme="minorHAnsi" w:cstheme="minorHAnsi"/>
          <w:lang w:val="en-GB"/>
        </w:rPr>
        <w:t>along the spectrum of</w:t>
      </w:r>
      <w:r w:rsidR="004813DA" w:rsidRPr="00A72C58">
        <w:rPr>
          <w:rFonts w:asciiTheme="minorHAnsi" w:hAnsiTheme="minorHAnsi" w:cstheme="minorHAnsi"/>
          <w:lang w:val="en-GB"/>
        </w:rPr>
        <w:t xml:space="preserve"> </w:t>
      </w:r>
      <w:r w:rsidR="009D6956">
        <w:rPr>
          <w:rFonts w:asciiTheme="minorHAnsi" w:hAnsiTheme="minorHAnsi" w:cstheme="minorHAnsi"/>
          <w:lang w:val="en-GB"/>
        </w:rPr>
        <w:t xml:space="preserve">venous </w:t>
      </w:r>
      <w:r w:rsidR="004813DA">
        <w:rPr>
          <w:rFonts w:asciiTheme="minorHAnsi" w:hAnsiTheme="minorHAnsi" w:cstheme="minorHAnsi"/>
          <w:lang w:val="en-GB"/>
        </w:rPr>
        <w:t>thromboembolic</w:t>
      </w:r>
      <w:r w:rsidR="004813DA" w:rsidRPr="00A72C58">
        <w:rPr>
          <w:rFonts w:asciiTheme="minorHAnsi" w:hAnsiTheme="minorHAnsi" w:cstheme="minorHAnsi"/>
          <w:lang w:val="en-GB"/>
        </w:rPr>
        <w:t xml:space="preserve"> </w:t>
      </w:r>
      <w:r w:rsidRPr="00A72C58">
        <w:rPr>
          <w:rFonts w:asciiTheme="minorHAnsi" w:hAnsiTheme="minorHAnsi" w:cstheme="minorHAnsi"/>
          <w:lang w:val="en-GB"/>
        </w:rPr>
        <w:t xml:space="preserve">disease. We highlight key aspects of communication with the intention of </w:t>
      </w:r>
      <w:r w:rsidRPr="00A72C58">
        <w:rPr>
          <w:lang w:val="en-GB"/>
        </w:rPr>
        <w:t xml:space="preserve">facilitating stronger communication </w:t>
      </w:r>
      <w:r w:rsidR="00456AEB">
        <w:rPr>
          <w:lang w:val="en-GB"/>
        </w:rPr>
        <w:t>between health-care professional</w:t>
      </w:r>
      <w:r w:rsidR="005919FC">
        <w:rPr>
          <w:lang w:val="en-GB"/>
        </w:rPr>
        <w:t>s</w:t>
      </w:r>
      <w:r w:rsidR="00456AEB">
        <w:rPr>
          <w:lang w:val="en-GB"/>
        </w:rPr>
        <w:t xml:space="preserve"> and </w:t>
      </w:r>
      <w:r w:rsidR="00456AEB" w:rsidRPr="00A72C58">
        <w:rPr>
          <w:lang w:val="en-GB"/>
        </w:rPr>
        <w:t>patient</w:t>
      </w:r>
      <w:r w:rsidR="00456AEB">
        <w:rPr>
          <w:lang w:val="en-GB"/>
        </w:rPr>
        <w:t>s</w:t>
      </w:r>
      <w:r w:rsidR="00456AEB" w:rsidRPr="00A72C58">
        <w:rPr>
          <w:lang w:val="en-GB"/>
        </w:rPr>
        <w:t xml:space="preserve"> </w:t>
      </w:r>
      <w:r w:rsidRPr="00A72C58">
        <w:rPr>
          <w:lang w:val="en-GB"/>
        </w:rPr>
        <w:t>and improving outcomes of care for patients and their caregivers. We are planning implementation and impact studies.</w:t>
      </w:r>
    </w:p>
    <w:p w14:paraId="0AD29912" w14:textId="77777777" w:rsidR="00505856" w:rsidRPr="00A72C58" w:rsidRDefault="00505856" w:rsidP="004D3598">
      <w:pPr>
        <w:spacing w:line="480" w:lineRule="auto"/>
        <w:jc w:val="both"/>
        <w:rPr>
          <w:rFonts w:asciiTheme="minorHAnsi" w:eastAsia="Roboto" w:hAnsiTheme="minorHAnsi" w:cstheme="minorHAnsi"/>
          <w:color w:val="444746"/>
          <w:lang w:val="en-GB"/>
        </w:rPr>
      </w:pPr>
    </w:p>
    <w:p w14:paraId="45237B30" w14:textId="6FDE22A1" w:rsidR="00EB6C8A" w:rsidRPr="0009522A" w:rsidRDefault="00F757F3" w:rsidP="00335286">
      <w:pPr>
        <w:pBdr>
          <w:top w:val="nil"/>
          <w:left w:val="nil"/>
          <w:bottom w:val="nil"/>
          <w:right w:val="nil"/>
          <w:between w:val="nil"/>
        </w:pBdr>
        <w:spacing w:line="480" w:lineRule="auto"/>
        <w:jc w:val="both"/>
        <w:rPr>
          <w:rFonts w:asciiTheme="minorHAnsi" w:hAnsiTheme="minorHAnsi" w:cstheme="minorHAnsi"/>
          <w:i/>
          <w:iCs/>
          <w:color w:val="000000" w:themeColor="text1"/>
          <w:lang w:val="en-GB"/>
        </w:rPr>
      </w:pPr>
      <w:proofErr w:type="spellStart"/>
      <w:r w:rsidRPr="0009522A">
        <w:rPr>
          <w:rFonts w:asciiTheme="minorHAnsi" w:hAnsiTheme="minorHAnsi" w:cstheme="minorHAnsi"/>
          <w:i/>
          <w:iCs/>
          <w:color w:val="000000" w:themeColor="text1"/>
          <w:lang w:val="en-GB"/>
        </w:rPr>
        <w:t>Frederikus</w:t>
      </w:r>
      <w:proofErr w:type="spellEnd"/>
      <w:r w:rsidRPr="0009522A">
        <w:rPr>
          <w:rFonts w:asciiTheme="minorHAnsi" w:hAnsiTheme="minorHAnsi" w:cstheme="minorHAnsi"/>
          <w:i/>
          <w:iCs/>
          <w:color w:val="000000" w:themeColor="text1"/>
          <w:lang w:val="en-GB"/>
        </w:rPr>
        <w:t xml:space="preserve"> A </w:t>
      </w:r>
      <w:proofErr w:type="spellStart"/>
      <w:r w:rsidRPr="0009522A">
        <w:rPr>
          <w:rFonts w:asciiTheme="minorHAnsi" w:hAnsiTheme="minorHAnsi" w:cstheme="minorHAnsi"/>
          <w:i/>
          <w:iCs/>
          <w:color w:val="000000" w:themeColor="text1"/>
          <w:lang w:val="en-GB"/>
        </w:rPr>
        <w:t>Klok</w:t>
      </w:r>
      <w:proofErr w:type="spellEnd"/>
      <w:r w:rsidRPr="0009522A">
        <w:rPr>
          <w:rFonts w:asciiTheme="minorHAnsi" w:hAnsiTheme="minorHAnsi" w:cstheme="minorHAnsi"/>
          <w:i/>
          <w:iCs/>
          <w:color w:val="000000" w:themeColor="text1"/>
          <w:lang w:val="en-GB"/>
        </w:rPr>
        <w:t>, Scott C Woller,</w:t>
      </w:r>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Aviva Schwartz,</w:t>
      </w:r>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S</w:t>
      </w:r>
      <w:r w:rsidR="005919FC" w:rsidRPr="0009522A">
        <w:rPr>
          <w:rFonts w:asciiTheme="minorHAnsi" w:hAnsiTheme="minorHAnsi" w:cstheme="minorHAnsi"/>
          <w:i/>
          <w:iCs/>
          <w:color w:val="000000" w:themeColor="text1"/>
          <w:lang w:val="en-GB"/>
        </w:rPr>
        <w:t>amarth</w:t>
      </w:r>
      <w:r w:rsidRPr="0009522A">
        <w:rPr>
          <w:rFonts w:asciiTheme="minorHAnsi" w:hAnsiTheme="minorHAnsi" w:cstheme="minorHAnsi"/>
          <w:i/>
          <w:iCs/>
          <w:color w:val="000000" w:themeColor="text1"/>
          <w:lang w:val="en-GB"/>
        </w:rPr>
        <w:t xml:space="preserve"> Mishra,</w:t>
      </w:r>
      <w:r w:rsidR="00335286" w:rsidRPr="0009522A">
        <w:rPr>
          <w:rFonts w:asciiTheme="minorHAnsi" w:hAnsiTheme="minorHAnsi" w:cstheme="minorHAnsi"/>
          <w:i/>
          <w:iCs/>
          <w:color w:val="000000" w:themeColor="text1"/>
          <w:lang w:val="en-GB"/>
        </w:rPr>
        <w:t xml:space="preserve"> </w:t>
      </w:r>
      <w:proofErr w:type="spellStart"/>
      <w:r w:rsidRPr="0009522A">
        <w:rPr>
          <w:rFonts w:asciiTheme="minorHAnsi" w:hAnsiTheme="minorHAnsi" w:cstheme="minorHAnsi"/>
          <w:i/>
          <w:iCs/>
          <w:color w:val="000000" w:themeColor="text1"/>
          <w:lang w:val="en-GB"/>
        </w:rPr>
        <w:t>P</w:t>
      </w:r>
      <w:r w:rsidR="005919FC" w:rsidRPr="0009522A">
        <w:rPr>
          <w:rFonts w:asciiTheme="minorHAnsi" w:hAnsiTheme="minorHAnsi" w:cstheme="minorHAnsi"/>
          <w:i/>
          <w:iCs/>
          <w:color w:val="000000" w:themeColor="text1"/>
          <w:lang w:val="en-GB"/>
        </w:rPr>
        <w:t>antep</w:t>
      </w:r>
      <w:proofErr w:type="spellEnd"/>
      <w:r w:rsidRPr="0009522A">
        <w:rPr>
          <w:rFonts w:asciiTheme="minorHAnsi" w:hAnsiTheme="minorHAnsi" w:cstheme="minorHAnsi"/>
          <w:i/>
          <w:iCs/>
          <w:color w:val="000000" w:themeColor="text1"/>
          <w:lang w:val="en-GB"/>
        </w:rPr>
        <w:t xml:space="preserve"> </w:t>
      </w:r>
      <w:proofErr w:type="spellStart"/>
      <w:r w:rsidRPr="0009522A">
        <w:rPr>
          <w:rFonts w:asciiTheme="minorHAnsi" w:hAnsiTheme="minorHAnsi" w:cstheme="minorHAnsi"/>
          <w:i/>
          <w:iCs/>
          <w:color w:val="000000" w:themeColor="text1"/>
          <w:lang w:val="en-GB"/>
        </w:rPr>
        <w:t>Angchaisuksiri</w:t>
      </w:r>
      <w:proofErr w:type="spellEnd"/>
      <w:r w:rsidRPr="0009522A">
        <w:rPr>
          <w:rFonts w:asciiTheme="minorHAnsi" w:hAnsiTheme="minorHAnsi" w:cstheme="minorHAnsi"/>
          <w:i/>
          <w:iCs/>
          <w:color w:val="000000" w:themeColor="text1"/>
          <w:lang w:val="en-GB"/>
        </w:rPr>
        <w:t>,</w:t>
      </w:r>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Julie Bayley,</w:t>
      </w:r>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J</w:t>
      </w:r>
      <w:r w:rsidR="005919FC" w:rsidRPr="0009522A">
        <w:rPr>
          <w:rFonts w:asciiTheme="minorHAnsi" w:hAnsiTheme="minorHAnsi" w:cstheme="minorHAnsi"/>
          <w:i/>
          <w:iCs/>
          <w:color w:val="000000" w:themeColor="text1"/>
          <w:lang w:val="en-GB"/>
        </w:rPr>
        <w:t>effrey</w:t>
      </w:r>
      <w:r w:rsidRPr="0009522A">
        <w:rPr>
          <w:rFonts w:asciiTheme="minorHAnsi" w:hAnsiTheme="minorHAnsi" w:cstheme="minorHAnsi"/>
          <w:i/>
          <w:iCs/>
          <w:color w:val="000000" w:themeColor="text1"/>
          <w:lang w:val="en-GB"/>
        </w:rPr>
        <w:t xml:space="preserve"> Habert,</w:t>
      </w:r>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J</w:t>
      </w:r>
      <w:r w:rsidR="005919FC" w:rsidRPr="0009522A">
        <w:rPr>
          <w:rFonts w:asciiTheme="minorHAnsi" w:hAnsiTheme="minorHAnsi" w:cstheme="minorHAnsi"/>
          <w:i/>
          <w:iCs/>
          <w:color w:val="000000" w:themeColor="text1"/>
          <w:lang w:val="en-GB"/>
        </w:rPr>
        <w:t>ackeline</w:t>
      </w:r>
      <w:r w:rsidRPr="0009522A">
        <w:rPr>
          <w:rFonts w:asciiTheme="minorHAnsi" w:hAnsiTheme="minorHAnsi" w:cstheme="minorHAnsi"/>
          <w:i/>
          <w:iCs/>
          <w:color w:val="000000" w:themeColor="text1"/>
          <w:lang w:val="en-GB"/>
        </w:rPr>
        <w:t xml:space="preserve"> Hernandez-Nino,</w:t>
      </w:r>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Rach</w:t>
      </w:r>
      <w:r w:rsidR="00D92C35" w:rsidRPr="0009522A">
        <w:rPr>
          <w:rFonts w:asciiTheme="minorHAnsi" w:hAnsiTheme="minorHAnsi" w:cstheme="minorHAnsi"/>
          <w:i/>
          <w:iCs/>
          <w:color w:val="000000" w:themeColor="text1"/>
          <w:lang w:val="en-GB"/>
        </w:rPr>
        <w:t>a</w:t>
      </w:r>
      <w:r w:rsidRPr="0009522A">
        <w:rPr>
          <w:rFonts w:asciiTheme="minorHAnsi" w:hAnsiTheme="minorHAnsi" w:cstheme="minorHAnsi"/>
          <w:i/>
          <w:iCs/>
          <w:color w:val="000000" w:themeColor="text1"/>
          <w:lang w:val="en-GB"/>
        </w:rPr>
        <w:t>el Hunter,</w:t>
      </w:r>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J</w:t>
      </w:r>
      <w:r w:rsidR="005919FC" w:rsidRPr="0009522A">
        <w:rPr>
          <w:rFonts w:asciiTheme="minorHAnsi" w:hAnsiTheme="minorHAnsi" w:cstheme="minorHAnsi"/>
          <w:i/>
          <w:iCs/>
          <w:color w:val="000000" w:themeColor="text1"/>
          <w:lang w:val="en-GB"/>
        </w:rPr>
        <w:t>effrey A</w:t>
      </w:r>
      <w:r w:rsidRPr="0009522A">
        <w:rPr>
          <w:rFonts w:asciiTheme="minorHAnsi" w:hAnsiTheme="minorHAnsi" w:cstheme="minorHAnsi"/>
          <w:i/>
          <w:iCs/>
          <w:color w:val="000000" w:themeColor="text1"/>
          <w:lang w:val="en-GB"/>
        </w:rPr>
        <w:t xml:space="preserve"> Kline,</w:t>
      </w:r>
      <w:r w:rsidR="00335286" w:rsidRPr="0009522A">
        <w:rPr>
          <w:rFonts w:asciiTheme="minorHAnsi" w:hAnsiTheme="minorHAnsi" w:cstheme="minorHAnsi"/>
          <w:i/>
          <w:iCs/>
          <w:color w:val="000000" w:themeColor="text1"/>
          <w:lang w:val="en-GB"/>
        </w:rPr>
        <w:t xml:space="preserve"> </w:t>
      </w:r>
      <w:proofErr w:type="spellStart"/>
      <w:r w:rsidRPr="0009522A">
        <w:rPr>
          <w:rFonts w:asciiTheme="minorHAnsi" w:hAnsiTheme="minorHAnsi" w:cstheme="minorHAnsi"/>
          <w:i/>
          <w:iCs/>
          <w:color w:val="000000" w:themeColor="text1"/>
          <w:lang w:val="en-GB"/>
        </w:rPr>
        <w:t>Dieuwke</w:t>
      </w:r>
      <w:proofErr w:type="spellEnd"/>
      <w:r w:rsidRPr="0009522A">
        <w:rPr>
          <w:rFonts w:asciiTheme="minorHAnsi" w:hAnsiTheme="minorHAnsi" w:cstheme="minorHAnsi"/>
          <w:i/>
          <w:iCs/>
          <w:color w:val="000000" w:themeColor="text1"/>
          <w:lang w:val="en-GB"/>
        </w:rPr>
        <w:t xml:space="preserve"> </w:t>
      </w:r>
      <w:proofErr w:type="spellStart"/>
      <w:r w:rsidRPr="0009522A">
        <w:rPr>
          <w:rFonts w:asciiTheme="minorHAnsi" w:hAnsiTheme="minorHAnsi" w:cstheme="minorHAnsi"/>
          <w:i/>
          <w:iCs/>
          <w:color w:val="000000" w:themeColor="text1"/>
          <w:lang w:val="en-GB"/>
        </w:rPr>
        <w:t>Luijten</w:t>
      </w:r>
      <w:proofErr w:type="spellEnd"/>
      <w:r w:rsidRPr="0009522A">
        <w:rPr>
          <w:rFonts w:asciiTheme="minorHAnsi" w:hAnsiTheme="minorHAnsi" w:cstheme="minorHAnsi"/>
          <w:i/>
          <w:iCs/>
          <w:color w:val="000000" w:themeColor="text1"/>
          <w:lang w:val="en-GB"/>
        </w:rPr>
        <w:t>,</w:t>
      </w:r>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 xml:space="preserve">Hart K </w:t>
      </w:r>
      <w:proofErr w:type="spellStart"/>
      <w:r w:rsidRPr="0009522A">
        <w:rPr>
          <w:rFonts w:asciiTheme="minorHAnsi" w:hAnsiTheme="minorHAnsi" w:cstheme="minorHAnsi"/>
          <w:i/>
          <w:iCs/>
          <w:color w:val="000000" w:themeColor="text1"/>
          <w:lang w:val="en-GB"/>
        </w:rPr>
        <w:t>MacDur</w:t>
      </w:r>
      <w:proofErr w:type="spellEnd"/>
      <w:r w:rsidRPr="0009522A">
        <w:rPr>
          <w:rFonts w:asciiTheme="minorHAnsi" w:hAnsiTheme="minorHAnsi" w:cstheme="minorHAnsi"/>
          <w:i/>
          <w:iCs/>
          <w:color w:val="000000" w:themeColor="text1"/>
          <w:lang w:val="en-GB"/>
        </w:rPr>
        <w:t>,</w:t>
      </w:r>
      <w:r w:rsidR="00335286" w:rsidRPr="0009522A">
        <w:rPr>
          <w:rFonts w:asciiTheme="minorHAnsi" w:hAnsiTheme="minorHAnsi" w:cstheme="minorHAnsi"/>
          <w:i/>
          <w:iCs/>
          <w:color w:val="000000" w:themeColor="text1"/>
          <w:lang w:val="en-GB"/>
        </w:rPr>
        <w:t xml:space="preserve"> </w:t>
      </w:r>
      <w:proofErr w:type="spellStart"/>
      <w:r w:rsidRPr="0009522A">
        <w:rPr>
          <w:rFonts w:asciiTheme="minorHAnsi" w:hAnsiTheme="minorHAnsi" w:cstheme="minorHAnsi"/>
          <w:i/>
          <w:iCs/>
          <w:color w:val="000000" w:themeColor="text1"/>
          <w:lang w:val="en-GB"/>
        </w:rPr>
        <w:t>Z</w:t>
      </w:r>
      <w:r w:rsidR="00C71896" w:rsidRPr="0009522A">
        <w:rPr>
          <w:rFonts w:asciiTheme="minorHAnsi" w:hAnsiTheme="minorHAnsi" w:cstheme="minorHAnsi"/>
          <w:i/>
          <w:iCs/>
          <w:color w:val="000000" w:themeColor="text1"/>
          <w:lang w:val="en-GB"/>
        </w:rPr>
        <w:t>oubida</w:t>
      </w:r>
      <w:proofErr w:type="spellEnd"/>
      <w:r w:rsidRPr="0009522A">
        <w:rPr>
          <w:rFonts w:asciiTheme="minorHAnsi" w:hAnsiTheme="minorHAnsi" w:cstheme="minorHAnsi"/>
          <w:i/>
          <w:iCs/>
          <w:color w:val="000000" w:themeColor="text1"/>
          <w:lang w:val="en-GB"/>
        </w:rPr>
        <w:t xml:space="preserve"> Tazi </w:t>
      </w:r>
      <w:proofErr w:type="spellStart"/>
      <w:r w:rsidRPr="0009522A">
        <w:rPr>
          <w:rFonts w:asciiTheme="minorHAnsi" w:hAnsiTheme="minorHAnsi" w:cstheme="minorHAnsi"/>
          <w:i/>
          <w:iCs/>
          <w:color w:val="000000" w:themeColor="text1"/>
          <w:lang w:val="en-GB"/>
        </w:rPr>
        <w:t>Mezalek</w:t>
      </w:r>
      <w:proofErr w:type="spellEnd"/>
      <w:r w:rsidRPr="0009522A">
        <w:rPr>
          <w:rFonts w:asciiTheme="minorHAnsi" w:hAnsiTheme="minorHAnsi" w:cstheme="minorHAnsi"/>
          <w:i/>
          <w:iCs/>
          <w:color w:val="000000" w:themeColor="text1"/>
          <w:lang w:val="en-GB"/>
        </w:rPr>
        <w:t>,</w:t>
      </w:r>
      <w:r w:rsidR="00335286" w:rsidRPr="0009522A">
        <w:rPr>
          <w:rFonts w:asciiTheme="minorHAnsi" w:hAnsiTheme="minorHAnsi" w:cstheme="minorHAnsi"/>
          <w:i/>
          <w:iCs/>
          <w:color w:val="000000" w:themeColor="text1"/>
          <w:lang w:val="en-GB"/>
        </w:rPr>
        <w:t xml:space="preserve"> N</w:t>
      </w:r>
      <w:r w:rsidR="005919FC" w:rsidRPr="0009522A">
        <w:rPr>
          <w:rFonts w:asciiTheme="minorHAnsi" w:hAnsiTheme="minorHAnsi" w:cstheme="minorHAnsi"/>
          <w:i/>
          <w:iCs/>
          <w:color w:val="000000" w:themeColor="text1"/>
          <w:lang w:val="en-GB"/>
        </w:rPr>
        <w:t>ancy</w:t>
      </w:r>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Mburu</w:t>
      </w:r>
      <w:r w:rsidR="00335286" w:rsidRPr="0009522A">
        <w:rPr>
          <w:rFonts w:asciiTheme="minorHAnsi" w:hAnsiTheme="minorHAnsi" w:cstheme="minorHAnsi"/>
          <w:i/>
          <w:iCs/>
          <w:color w:val="000000" w:themeColor="text1"/>
          <w:lang w:val="en-GB"/>
        </w:rPr>
        <w:t xml:space="preserve">, Simon </w:t>
      </w:r>
      <w:r w:rsidRPr="0009522A">
        <w:rPr>
          <w:rFonts w:asciiTheme="minorHAnsi" w:hAnsiTheme="minorHAnsi" w:cstheme="minorHAnsi"/>
          <w:i/>
          <w:iCs/>
          <w:color w:val="000000" w:themeColor="text1"/>
          <w:lang w:val="en-GB"/>
        </w:rPr>
        <w:t>Nobl</w:t>
      </w:r>
      <w:r w:rsidR="00335286" w:rsidRPr="0009522A">
        <w:rPr>
          <w:rFonts w:asciiTheme="minorHAnsi" w:hAnsiTheme="minorHAnsi" w:cstheme="minorHAnsi"/>
          <w:i/>
          <w:iCs/>
          <w:color w:val="000000" w:themeColor="text1"/>
          <w:lang w:val="en-GB"/>
        </w:rPr>
        <w:t xml:space="preserve">e, Toby </w:t>
      </w:r>
      <w:r w:rsidRPr="0009522A">
        <w:rPr>
          <w:rFonts w:asciiTheme="minorHAnsi" w:hAnsiTheme="minorHAnsi" w:cstheme="minorHAnsi"/>
          <w:i/>
          <w:iCs/>
          <w:color w:val="000000" w:themeColor="text1"/>
          <w:lang w:val="en-GB"/>
        </w:rPr>
        <w:t>Richards</w:t>
      </w:r>
      <w:r w:rsidR="00335286" w:rsidRPr="0009522A">
        <w:rPr>
          <w:rFonts w:asciiTheme="minorHAnsi" w:hAnsiTheme="minorHAnsi" w:cstheme="minorHAnsi"/>
          <w:i/>
          <w:iCs/>
          <w:color w:val="000000" w:themeColor="text1"/>
          <w:lang w:val="en-GB"/>
        </w:rPr>
        <w:t>, A</w:t>
      </w:r>
      <w:r w:rsidR="005919FC" w:rsidRPr="0009522A">
        <w:rPr>
          <w:rFonts w:asciiTheme="minorHAnsi" w:hAnsiTheme="minorHAnsi" w:cstheme="minorHAnsi"/>
          <w:i/>
          <w:iCs/>
          <w:color w:val="000000" w:themeColor="text1"/>
          <w:lang w:val="en-GB"/>
        </w:rPr>
        <w:t>na</w:t>
      </w:r>
      <w:r w:rsidR="00335286" w:rsidRPr="0009522A">
        <w:rPr>
          <w:rFonts w:asciiTheme="minorHAnsi" w:hAnsiTheme="minorHAnsi" w:cstheme="minorHAnsi"/>
          <w:i/>
          <w:iCs/>
          <w:color w:val="000000" w:themeColor="text1"/>
          <w:lang w:val="en-GB"/>
        </w:rPr>
        <w:t xml:space="preserve"> </w:t>
      </w:r>
      <w:proofErr w:type="spellStart"/>
      <w:r w:rsidR="00DF1AE0" w:rsidRPr="0009522A">
        <w:rPr>
          <w:rFonts w:asciiTheme="minorHAnsi" w:hAnsiTheme="minorHAnsi" w:cstheme="minorHAnsi"/>
          <w:i/>
          <w:iCs/>
          <w:color w:val="000000" w:themeColor="text1"/>
          <w:lang w:val="en-GB"/>
        </w:rPr>
        <w:t>Thereza</w:t>
      </w:r>
      <w:proofErr w:type="spellEnd"/>
      <w:r w:rsidR="00DF1AE0" w:rsidRPr="0009522A">
        <w:rPr>
          <w:rFonts w:asciiTheme="minorHAnsi" w:hAnsiTheme="minorHAnsi" w:cstheme="minorHAnsi"/>
          <w:i/>
          <w:iCs/>
          <w:color w:val="000000" w:themeColor="text1"/>
          <w:lang w:val="en-GB"/>
        </w:rPr>
        <w:t xml:space="preserve"> C </w:t>
      </w:r>
      <w:r w:rsidRPr="0009522A">
        <w:rPr>
          <w:rFonts w:asciiTheme="minorHAnsi" w:hAnsiTheme="minorHAnsi" w:cstheme="minorHAnsi"/>
          <w:i/>
          <w:iCs/>
          <w:color w:val="000000" w:themeColor="text1"/>
          <w:lang w:val="en-GB"/>
        </w:rPr>
        <w:t>Rocha</w:t>
      </w:r>
      <w:r w:rsidR="00335286" w:rsidRPr="0009522A">
        <w:rPr>
          <w:rFonts w:asciiTheme="minorHAnsi" w:hAnsiTheme="minorHAnsi" w:cstheme="minorHAnsi"/>
          <w:i/>
          <w:iCs/>
          <w:color w:val="000000" w:themeColor="text1"/>
          <w:lang w:val="en-GB"/>
        </w:rPr>
        <w:t xml:space="preserve">, Parham </w:t>
      </w:r>
      <w:proofErr w:type="spellStart"/>
      <w:r w:rsidRPr="0009522A">
        <w:rPr>
          <w:rFonts w:asciiTheme="minorHAnsi" w:hAnsiTheme="minorHAnsi" w:cstheme="minorHAnsi"/>
          <w:i/>
          <w:iCs/>
          <w:color w:val="000000" w:themeColor="text1"/>
          <w:lang w:val="en-GB"/>
        </w:rPr>
        <w:t>Sadeghipour</w:t>
      </w:r>
      <w:proofErr w:type="spellEnd"/>
      <w:r w:rsidR="00335286" w:rsidRPr="0009522A">
        <w:rPr>
          <w:rFonts w:asciiTheme="minorHAnsi" w:hAnsiTheme="minorHAnsi" w:cstheme="minorHAnsi"/>
          <w:i/>
          <w:iCs/>
          <w:color w:val="000000" w:themeColor="text1"/>
          <w:lang w:val="en-GB"/>
        </w:rPr>
        <w:t xml:space="preserve">, Rosa </w:t>
      </w:r>
      <w:proofErr w:type="spellStart"/>
      <w:r w:rsidRPr="0009522A">
        <w:rPr>
          <w:rFonts w:asciiTheme="minorHAnsi" w:hAnsiTheme="minorHAnsi" w:cstheme="minorHAnsi"/>
          <w:i/>
          <w:iCs/>
          <w:color w:val="000000" w:themeColor="text1"/>
          <w:lang w:val="en-GB"/>
        </w:rPr>
        <w:t>Taleric</w:t>
      </w:r>
      <w:r w:rsidR="00335286" w:rsidRPr="0009522A">
        <w:rPr>
          <w:rFonts w:asciiTheme="minorHAnsi" w:hAnsiTheme="minorHAnsi" w:cstheme="minorHAnsi"/>
          <w:i/>
          <w:iCs/>
          <w:color w:val="000000" w:themeColor="text1"/>
          <w:lang w:val="en-GB"/>
        </w:rPr>
        <w:t>o</w:t>
      </w:r>
      <w:proofErr w:type="spellEnd"/>
      <w:r w:rsidR="00335286" w:rsidRPr="0009522A">
        <w:rPr>
          <w:rFonts w:asciiTheme="minorHAnsi" w:hAnsiTheme="minorHAnsi" w:cstheme="minorHAnsi"/>
          <w:i/>
          <w:iCs/>
          <w:color w:val="000000" w:themeColor="text1"/>
          <w:lang w:val="en-GB"/>
        </w:rPr>
        <w:t xml:space="preserve">, </w:t>
      </w:r>
      <w:proofErr w:type="spellStart"/>
      <w:r w:rsidR="00335286" w:rsidRPr="0009522A">
        <w:rPr>
          <w:rFonts w:asciiTheme="minorHAnsi" w:hAnsiTheme="minorHAnsi" w:cstheme="minorHAnsi"/>
          <w:i/>
          <w:iCs/>
          <w:color w:val="000000" w:themeColor="text1"/>
          <w:lang w:val="en-GB"/>
        </w:rPr>
        <w:t>Liesbeth</w:t>
      </w:r>
      <w:proofErr w:type="spellEnd"/>
      <w:r w:rsidR="00335286" w:rsidRPr="0009522A">
        <w:rPr>
          <w:rFonts w:asciiTheme="minorHAnsi" w:hAnsiTheme="minorHAnsi" w:cstheme="minorHAnsi"/>
          <w:i/>
          <w:iCs/>
          <w:color w:val="000000" w:themeColor="text1"/>
          <w:lang w:val="en-GB"/>
        </w:rPr>
        <w:t xml:space="preserve"> </w:t>
      </w:r>
      <w:r w:rsidRPr="0009522A">
        <w:rPr>
          <w:rFonts w:asciiTheme="minorHAnsi" w:hAnsiTheme="minorHAnsi" w:cstheme="minorHAnsi"/>
          <w:i/>
          <w:iCs/>
          <w:color w:val="000000" w:themeColor="text1"/>
          <w:lang w:val="en-GB"/>
        </w:rPr>
        <w:t>van Vliet</w:t>
      </w:r>
      <w:r w:rsidR="00335286" w:rsidRPr="0009522A">
        <w:rPr>
          <w:rFonts w:asciiTheme="minorHAnsi" w:hAnsiTheme="minorHAnsi" w:cstheme="minorHAnsi"/>
          <w:i/>
          <w:iCs/>
          <w:color w:val="000000" w:themeColor="text1"/>
          <w:lang w:val="en-GB"/>
        </w:rPr>
        <w:t xml:space="preserve">, Kerstin </w:t>
      </w:r>
      <w:r w:rsidRPr="0009522A">
        <w:rPr>
          <w:rFonts w:asciiTheme="minorHAnsi" w:hAnsiTheme="minorHAnsi" w:cstheme="minorHAnsi"/>
          <w:i/>
          <w:iCs/>
          <w:color w:val="000000" w:themeColor="text1"/>
          <w:lang w:val="en-GB"/>
        </w:rPr>
        <w:t>de Wit</w:t>
      </w:r>
      <w:r w:rsidR="00335286" w:rsidRPr="0009522A">
        <w:rPr>
          <w:rFonts w:asciiTheme="minorHAnsi" w:hAnsiTheme="minorHAnsi" w:cstheme="minorHAnsi"/>
          <w:i/>
          <w:iCs/>
          <w:color w:val="000000" w:themeColor="text1"/>
          <w:lang w:val="en-GB"/>
        </w:rPr>
        <w:t>, Gr</w:t>
      </w:r>
      <w:r w:rsidR="00DF1AE0" w:rsidRPr="0009522A">
        <w:rPr>
          <w:i/>
          <w:iCs/>
          <w:color w:val="000000" w:themeColor="text1"/>
          <w:lang w:val="en-GB"/>
        </w:rPr>
        <w:t>é</w:t>
      </w:r>
      <w:r w:rsidR="00335286" w:rsidRPr="0009522A">
        <w:rPr>
          <w:rFonts w:asciiTheme="minorHAnsi" w:hAnsiTheme="minorHAnsi" w:cstheme="minorHAnsi"/>
          <w:i/>
          <w:iCs/>
          <w:color w:val="000000" w:themeColor="text1"/>
          <w:lang w:val="en-GB"/>
        </w:rPr>
        <w:t xml:space="preserve">goire </w:t>
      </w:r>
      <w:r w:rsidRPr="0009522A">
        <w:rPr>
          <w:rFonts w:asciiTheme="minorHAnsi" w:hAnsiTheme="minorHAnsi" w:cstheme="minorHAnsi"/>
          <w:i/>
          <w:iCs/>
          <w:color w:val="000000" w:themeColor="text1"/>
          <w:lang w:val="en-GB"/>
        </w:rPr>
        <w:t>Le Gal</w:t>
      </w:r>
      <w:r w:rsidR="00335286" w:rsidRPr="0009522A">
        <w:rPr>
          <w:rFonts w:asciiTheme="minorHAnsi" w:hAnsiTheme="minorHAnsi" w:cstheme="minorHAnsi"/>
          <w:i/>
          <w:iCs/>
          <w:color w:val="000000" w:themeColor="text1"/>
          <w:lang w:val="en-GB"/>
        </w:rPr>
        <w:t xml:space="preserve"> </w:t>
      </w:r>
    </w:p>
    <w:p w14:paraId="29D4712A" w14:textId="77777777" w:rsidR="00EB6C8A" w:rsidRPr="0009522A" w:rsidRDefault="00EB6C8A" w:rsidP="008179D5">
      <w:pPr>
        <w:pBdr>
          <w:top w:val="nil"/>
          <w:left w:val="nil"/>
          <w:bottom w:val="nil"/>
          <w:right w:val="nil"/>
          <w:between w:val="nil"/>
        </w:pBdr>
        <w:spacing w:line="480" w:lineRule="auto"/>
        <w:jc w:val="both"/>
        <w:rPr>
          <w:rFonts w:asciiTheme="minorHAnsi" w:hAnsiTheme="minorHAnsi" w:cstheme="minorHAnsi"/>
          <w:color w:val="000000" w:themeColor="text1"/>
          <w:lang w:val="en-GB"/>
        </w:rPr>
      </w:pPr>
    </w:p>
    <w:p w14:paraId="2B18DE53" w14:textId="44483452" w:rsidR="00EB6C8A" w:rsidRPr="00F16C5B" w:rsidRDefault="00EB6C8A" w:rsidP="00EB6C8A">
      <w:pPr>
        <w:spacing w:after="160" w:line="480" w:lineRule="auto"/>
        <w:jc w:val="both"/>
        <w:rPr>
          <w:lang w:val="en-GB"/>
        </w:rPr>
      </w:pPr>
      <w:r>
        <w:rPr>
          <w:b/>
          <w:bCs/>
          <w:lang w:val="en-GB"/>
        </w:rPr>
        <w:lastRenderedPageBreak/>
        <w:t>D</w:t>
      </w:r>
      <w:r w:rsidRPr="00DB5AE5">
        <w:rPr>
          <w:b/>
          <w:bCs/>
          <w:lang w:val="en-GB"/>
        </w:rPr>
        <w:t xml:space="preserve">epartment of Medicine - Thrombosis and </w:t>
      </w:r>
      <w:proofErr w:type="spellStart"/>
      <w:r w:rsidRPr="00DB5AE5">
        <w:rPr>
          <w:b/>
          <w:bCs/>
          <w:lang w:val="en-GB"/>
        </w:rPr>
        <w:t>Hemostasis</w:t>
      </w:r>
      <w:proofErr w:type="spellEnd"/>
      <w:r w:rsidRPr="00DB5AE5">
        <w:rPr>
          <w:b/>
          <w:bCs/>
          <w:lang w:val="en-GB"/>
        </w:rPr>
        <w:t xml:space="preserve">, Leiden University Medical </w:t>
      </w:r>
      <w:proofErr w:type="spellStart"/>
      <w:r w:rsidRPr="00DB5AE5">
        <w:rPr>
          <w:b/>
          <w:bCs/>
          <w:lang w:val="en-GB"/>
        </w:rPr>
        <w:t>Center</w:t>
      </w:r>
      <w:proofErr w:type="spellEnd"/>
      <w:r w:rsidRPr="00DB5AE5">
        <w:rPr>
          <w:b/>
          <w:bCs/>
          <w:lang w:val="en-GB"/>
        </w:rPr>
        <w:t>, Leiden, Netherlands</w:t>
      </w:r>
      <w:r>
        <w:rPr>
          <w:b/>
          <w:bCs/>
          <w:lang w:val="en-GB"/>
        </w:rPr>
        <w:t xml:space="preserve"> </w:t>
      </w:r>
      <w:r>
        <w:rPr>
          <w:lang w:val="en-GB"/>
        </w:rPr>
        <w:t>(</w:t>
      </w:r>
      <w:r w:rsidRPr="00A72C58">
        <w:rPr>
          <w:lang w:val="en-GB"/>
        </w:rPr>
        <w:t>FA</w:t>
      </w:r>
      <w:r>
        <w:rPr>
          <w:lang w:val="en-GB"/>
        </w:rPr>
        <w:t>K, DL)</w:t>
      </w:r>
      <w:r w:rsidRPr="00DB5AE5">
        <w:rPr>
          <w:b/>
          <w:bCs/>
          <w:lang w:val="en-GB"/>
        </w:rPr>
        <w:t>;</w:t>
      </w:r>
      <w:r>
        <w:rPr>
          <w:b/>
          <w:bCs/>
          <w:lang w:val="en-GB"/>
        </w:rPr>
        <w:t xml:space="preserve"> </w:t>
      </w:r>
      <w:r w:rsidRPr="00DB5AE5">
        <w:rPr>
          <w:b/>
          <w:bCs/>
          <w:lang w:val="en-GB"/>
        </w:rPr>
        <w:t xml:space="preserve">Department of Medicine, Intermountain Medical </w:t>
      </w:r>
      <w:proofErr w:type="spellStart"/>
      <w:r w:rsidRPr="00DB5AE5">
        <w:rPr>
          <w:b/>
          <w:bCs/>
          <w:lang w:val="en-GB"/>
        </w:rPr>
        <w:t>Center</w:t>
      </w:r>
      <w:proofErr w:type="spellEnd"/>
      <w:r w:rsidRPr="00DB5AE5">
        <w:rPr>
          <w:b/>
          <w:bCs/>
          <w:lang w:val="en-GB"/>
        </w:rPr>
        <w:t>, Murray, UT, USA</w:t>
      </w:r>
      <w:r>
        <w:rPr>
          <w:b/>
          <w:bCs/>
          <w:lang w:val="en-GB"/>
        </w:rPr>
        <w:t xml:space="preserve"> </w:t>
      </w:r>
      <w:r>
        <w:rPr>
          <w:lang w:val="en-GB"/>
        </w:rPr>
        <w:t>(</w:t>
      </w:r>
      <w:r w:rsidRPr="00A72C58">
        <w:rPr>
          <w:lang w:val="en-GB"/>
        </w:rPr>
        <w:t>SC</w:t>
      </w:r>
      <w:r>
        <w:rPr>
          <w:lang w:val="en-GB"/>
        </w:rPr>
        <w:t>W)</w:t>
      </w:r>
      <w:r w:rsidRPr="00DB5AE5">
        <w:rPr>
          <w:b/>
          <w:bCs/>
          <w:lang w:val="en-GB"/>
        </w:rPr>
        <w:t>;</w:t>
      </w:r>
      <w:r>
        <w:rPr>
          <w:b/>
          <w:bCs/>
          <w:lang w:val="en-GB"/>
        </w:rPr>
        <w:t xml:space="preserve"> </w:t>
      </w:r>
      <w:r w:rsidRPr="00DB5AE5">
        <w:rPr>
          <w:b/>
          <w:bCs/>
          <w:lang w:val="en-GB"/>
        </w:rPr>
        <w:t>Department of Internal Medicine, University of Utah School of Medicine, Salt Lake City, UT, USA</w:t>
      </w:r>
      <w:r>
        <w:rPr>
          <w:b/>
          <w:bCs/>
          <w:lang w:val="en-GB"/>
        </w:rPr>
        <w:t xml:space="preserve"> </w:t>
      </w:r>
      <w:r>
        <w:rPr>
          <w:lang w:val="en-GB"/>
        </w:rPr>
        <w:t>(</w:t>
      </w:r>
      <w:r w:rsidRPr="00A72C58">
        <w:rPr>
          <w:lang w:val="en-GB"/>
        </w:rPr>
        <w:t>SC</w:t>
      </w:r>
      <w:r>
        <w:rPr>
          <w:lang w:val="en-GB"/>
        </w:rPr>
        <w:t>W)</w:t>
      </w:r>
      <w:r w:rsidRPr="00DB5AE5">
        <w:rPr>
          <w:b/>
          <w:bCs/>
          <w:lang w:val="en-GB"/>
        </w:rPr>
        <w:t>;</w:t>
      </w:r>
      <w:r>
        <w:rPr>
          <w:b/>
          <w:bCs/>
          <w:lang w:val="en-GB"/>
        </w:rPr>
        <w:t xml:space="preserve"> </w:t>
      </w:r>
      <w:proofErr w:type="spellStart"/>
      <w:r w:rsidRPr="00DB5AE5">
        <w:rPr>
          <w:b/>
          <w:bCs/>
          <w:lang w:val="en-GB"/>
        </w:rPr>
        <w:t>Vasculearn</w:t>
      </w:r>
      <w:proofErr w:type="spellEnd"/>
      <w:r w:rsidRPr="00DB5AE5">
        <w:rPr>
          <w:b/>
          <w:bCs/>
          <w:lang w:val="en-GB"/>
        </w:rPr>
        <w:t xml:space="preserve"> Network, </w:t>
      </w:r>
      <w:r w:rsidR="00E37D48">
        <w:rPr>
          <w:b/>
          <w:bCs/>
          <w:lang w:val="en-GB"/>
        </w:rPr>
        <w:t>Wakefield</w:t>
      </w:r>
      <w:r w:rsidRPr="00DB5AE5">
        <w:rPr>
          <w:b/>
          <w:bCs/>
          <w:lang w:val="en-GB"/>
        </w:rPr>
        <w:t>, MA, USA</w:t>
      </w:r>
      <w:r>
        <w:rPr>
          <w:b/>
          <w:bCs/>
          <w:lang w:val="en-GB"/>
        </w:rPr>
        <w:t xml:space="preserve"> </w:t>
      </w:r>
      <w:r>
        <w:rPr>
          <w:lang w:val="en-GB"/>
        </w:rPr>
        <w:t>(</w:t>
      </w:r>
      <w:r w:rsidRPr="00A72C58">
        <w:rPr>
          <w:lang w:val="en-GB"/>
        </w:rPr>
        <w:t>A</w:t>
      </w:r>
      <w:r>
        <w:rPr>
          <w:lang w:val="en-GB"/>
        </w:rPr>
        <w:t>S)</w:t>
      </w:r>
      <w:r>
        <w:rPr>
          <w:b/>
          <w:bCs/>
          <w:lang w:val="en-GB"/>
        </w:rPr>
        <w:t xml:space="preserve">; </w:t>
      </w:r>
      <w:r w:rsidRPr="00DB5AE5">
        <w:rPr>
          <w:b/>
          <w:bCs/>
          <w:lang w:val="en-GB"/>
        </w:rPr>
        <w:t>Medical College of Georgia, Augusta, GA, USA</w:t>
      </w:r>
      <w:r>
        <w:rPr>
          <w:b/>
          <w:bCs/>
          <w:lang w:val="en-GB"/>
        </w:rPr>
        <w:t xml:space="preserve"> </w:t>
      </w:r>
      <w:r>
        <w:rPr>
          <w:lang w:val="en-GB"/>
        </w:rPr>
        <w:t>(SM)</w:t>
      </w:r>
      <w:r>
        <w:rPr>
          <w:b/>
          <w:bCs/>
          <w:lang w:val="en-GB"/>
        </w:rPr>
        <w:t xml:space="preserve">; </w:t>
      </w:r>
      <w:r w:rsidRPr="00DB5AE5">
        <w:rPr>
          <w:b/>
          <w:bCs/>
          <w:lang w:val="en-GB"/>
        </w:rPr>
        <w:t xml:space="preserve">Department of Medicine, </w:t>
      </w:r>
      <w:proofErr w:type="spellStart"/>
      <w:r w:rsidRPr="00DB5AE5">
        <w:rPr>
          <w:b/>
          <w:bCs/>
          <w:lang w:val="en-GB"/>
        </w:rPr>
        <w:t>Ramathibodi</w:t>
      </w:r>
      <w:proofErr w:type="spellEnd"/>
      <w:r w:rsidRPr="00DB5AE5">
        <w:rPr>
          <w:b/>
          <w:bCs/>
          <w:lang w:val="en-GB"/>
        </w:rPr>
        <w:t xml:space="preserve"> Hospital, Mahidol University, Bangkok, Thailand</w:t>
      </w:r>
      <w:r>
        <w:rPr>
          <w:b/>
          <w:bCs/>
          <w:lang w:val="en-GB"/>
        </w:rPr>
        <w:t xml:space="preserve"> </w:t>
      </w:r>
      <w:r>
        <w:rPr>
          <w:lang w:val="en-GB"/>
        </w:rPr>
        <w:t>(PA)</w:t>
      </w:r>
      <w:r>
        <w:rPr>
          <w:b/>
          <w:bCs/>
          <w:lang w:val="en-GB"/>
        </w:rPr>
        <w:t xml:space="preserve">; </w:t>
      </w:r>
      <w:r w:rsidRPr="00DB5AE5">
        <w:rPr>
          <w:b/>
          <w:bCs/>
          <w:lang w:val="en-GB"/>
        </w:rPr>
        <w:t xml:space="preserve">Patient representative, </w:t>
      </w:r>
      <w:proofErr w:type="spellStart"/>
      <w:r w:rsidRPr="00DB5AE5">
        <w:rPr>
          <w:b/>
          <w:bCs/>
          <w:lang w:val="en-GB"/>
        </w:rPr>
        <w:t>Northeastern</w:t>
      </w:r>
      <w:proofErr w:type="spellEnd"/>
      <w:r w:rsidRPr="00DB5AE5">
        <w:rPr>
          <w:b/>
          <w:bCs/>
          <w:lang w:val="en-GB"/>
        </w:rPr>
        <w:t xml:space="preserve"> University London, London, UK</w:t>
      </w:r>
      <w:r>
        <w:rPr>
          <w:b/>
          <w:bCs/>
          <w:lang w:val="en-GB"/>
        </w:rPr>
        <w:t xml:space="preserve"> </w:t>
      </w:r>
      <w:r>
        <w:rPr>
          <w:lang w:val="en-GB"/>
        </w:rPr>
        <w:t>(JB)</w:t>
      </w:r>
      <w:r>
        <w:rPr>
          <w:b/>
          <w:bCs/>
          <w:lang w:val="en-GB"/>
        </w:rPr>
        <w:t xml:space="preserve">; </w:t>
      </w:r>
      <w:r w:rsidRPr="00DB5AE5">
        <w:rPr>
          <w:b/>
          <w:bCs/>
          <w:lang w:val="en-GB"/>
        </w:rPr>
        <w:t>University of Toronto, Toronto, ON, Canada</w:t>
      </w:r>
      <w:r>
        <w:rPr>
          <w:b/>
          <w:bCs/>
          <w:lang w:val="en-GB"/>
        </w:rPr>
        <w:t xml:space="preserve"> </w:t>
      </w:r>
      <w:r>
        <w:rPr>
          <w:lang w:val="en-GB"/>
        </w:rPr>
        <w:t>(JH)</w:t>
      </w:r>
      <w:r w:rsidRPr="00DB5AE5">
        <w:rPr>
          <w:b/>
          <w:bCs/>
          <w:lang w:val="en-GB"/>
        </w:rPr>
        <w:t>;</w:t>
      </w:r>
      <w:r>
        <w:rPr>
          <w:b/>
          <w:bCs/>
          <w:lang w:val="en-GB"/>
        </w:rPr>
        <w:t xml:space="preserve"> </w:t>
      </w:r>
      <w:r w:rsidRPr="00DB5AE5">
        <w:rPr>
          <w:b/>
          <w:bCs/>
          <w:lang w:val="en-GB"/>
        </w:rPr>
        <w:t>Atrium Health – Wake Forest University School of Medicine, Winston-Salem, NC, USA</w:t>
      </w:r>
      <w:r>
        <w:rPr>
          <w:b/>
          <w:bCs/>
          <w:lang w:val="en-GB"/>
        </w:rPr>
        <w:t xml:space="preserve"> </w:t>
      </w:r>
      <w:r>
        <w:rPr>
          <w:lang w:val="en-GB"/>
        </w:rPr>
        <w:t>(J</w:t>
      </w:r>
      <w:r w:rsidRPr="00A72C58">
        <w:rPr>
          <w:lang w:val="en-GB"/>
        </w:rPr>
        <w:t>H-N</w:t>
      </w:r>
      <w:r>
        <w:rPr>
          <w:lang w:val="en-GB"/>
        </w:rPr>
        <w:t>)</w:t>
      </w:r>
      <w:r>
        <w:rPr>
          <w:b/>
          <w:bCs/>
          <w:lang w:val="en-GB"/>
        </w:rPr>
        <w:t xml:space="preserve">; </w:t>
      </w:r>
      <w:r w:rsidRPr="00DB5AE5">
        <w:rPr>
          <w:b/>
          <w:bCs/>
          <w:lang w:val="en-GB"/>
        </w:rPr>
        <w:t>Swansea University, Swansea, UK</w:t>
      </w:r>
      <w:r>
        <w:rPr>
          <w:b/>
          <w:bCs/>
          <w:lang w:val="en-GB"/>
        </w:rPr>
        <w:t xml:space="preserve"> </w:t>
      </w:r>
      <w:r>
        <w:rPr>
          <w:lang w:val="en-GB"/>
        </w:rPr>
        <w:t>(</w:t>
      </w:r>
      <w:r w:rsidRPr="00A72C58">
        <w:rPr>
          <w:lang w:val="en-GB"/>
        </w:rPr>
        <w:t>R</w:t>
      </w:r>
      <w:r>
        <w:rPr>
          <w:lang w:val="en-GB"/>
        </w:rPr>
        <w:t>H)</w:t>
      </w:r>
      <w:r>
        <w:rPr>
          <w:b/>
          <w:bCs/>
          <w:lang w:val="en-GB"/>
        </w:rPr>
        <w:t xml:space="preserve">; </w:t>
      </w:r>
      <w:r w:rsidRPr="00DB5AE5">
        <w:rPr>
          <w:b/>
          <w:bCs/>
          <w:lang w:val="en-GB"/>
        </w:rPr>
        <w:t>Wayne State University, Detroit, MI, USA</w:t>
      </w:r>
      <w:r>
        <w:rPr>
          <w:b/>
          <w:bCs/>
          <w:lang w:val="en-GB"/>
        </w:rPr>
        <w:t xml:space="preserve"> </w:t>
      </w:r>
      <w:r>
        <w:rPr>
          <w:lang w:val="en-GB"/>
        </w:rPr>
        <w:t>(J</w:t>
      </w:r>
      <w:r w:rsidR="00E37D48">
        <w:rPr>
          <w:lang w:val="en-GB"/>
        </w:rPr>
        <w:t>A</w:t>
      </w:r>
      <w:r>
        <w:rPr>
          <w:lang w:val="en-GB"/>
        </w:rPr>
        <w:t>K)</w:t>
      </w:r>
      <w:r>
        <w:rPr>
          <w:b/>
          <w:bCs/>
          <w:lang w:val="en-GB"/>
        </w:rPr>
        <w:t xml:space="preserve">; </w:t>
      </w:r>
      <w:r w:rsidRPr="00DB5AE5">
        <w:rPr>
          <w:b/>
          <w:bCs/>
          <w:lang w:val="en-GB"/>
        </w:rPr>
        <w:t>Patient representative, USA</w:t>
      </w:r>
      <w:r>
        <w:rPr>
          <w:b/>
          <w:bCs/>
          <w:lang w:val="en-GB"/>
        </w:rPr>
        <w:t xml:space="preserve"> </w:t>
      </w:r>
      <w:r>
        <w:rPr>
          <w:lang w:val="en-GB"/>
        </w:rPr>
        <w:t>(</w:t>
      </w:r>
      <w:r w:rsidRPr="00A72C58">
        <w:rPr>
          <w:lang w:val="en-GB"/>
        </w:rPr>
        <w:t>HK</w:t>
      </w:r>
      <w:r>
        <w:rPr>
          <w:lang w:val="en-GB"/>
        </w:rPr>
        <w:t>M)</w:t>
      </w:r>
      <w:r w:rsidRPr="00DB5AE5">
        <w:rPr>
          <w:b/>
          <w:bCs/>
          <w:lang w:val="en-GB"/>
        </w:rPr>
        <w:t>;</w:t>
      </w:r>
      <w:r>
        <w:rPr>
          <w:b/>
          <w:bCs/>
          <w:lang w:val="en-GB"/>
        </w:rPr>
        <w:t xml:space="preserve"> </w:t>
      </w:r>
      <w:r w:rsidRPr="00DB5AE5">
        <w:rPr>
          <w:b/>
          <w:bCs/>
          <w:lang w:val="en-GB"/>
        </w:rPr>
        <w:t>Mohamed V University, Rabat, Morocco</w:t>
      </w:r>
      <w:r>
        <w:rPr>
          <w:b/>
          <w:bCs/>
          <w:lang w:val="en-GB"/>
        </w:rPr>
        <w:t xml:space="preserve"> </w:t>
      </w:r>
      <w:r>
        <w:rPr>
          <w:lang w:val="en-GB"/>
        </w:rPr>
        <w:t>(Z</w:t>
      </w:r>
      <w:r w:rsidRPr="00A72C58">
        <w:rPr>
          <w:lang w:val="en-GB"/>
        </w:rPr>
        <w:t>TM</w:t>
      </w:r>
      <w:r>
        <w:rPr>
          <w:lang w:val="en-GB"/>
        </w:rPr>
        <w:t>)</w:t>
      </w:r>
      <w:r>
        <w:rPr>
          <w:b/>
          <w:bCs/>
          <w:lang w:val="en-GB"/>
        </w:rPr>
        <w:t xml:space="preserve">; </w:t>
      </w:r>
      <w:r w:rsidRPr="00DB5AE5">
        <w:rPr>
          <w:b/>
          <w:bCs/>
          <w:lang w:val="en-GB"/>
        </w:rPr>
        <w:t xml:space="preserve">Patient representative, </w:t>
      </w:r>
      <w:r w:rsidR="00C613D4">
        <w:rPr>
          <w:b/>
          <w:bCs/>
          <w:lang w:val="en-GB"/>
        </w:rPr>
        <w:t xml:space="preserve">Nairobi, </w:t>
      </w:r>
      <w:r w:rsidRPr="00DB5AE5">
        <w:rPr>
          <w:b/>
          <w:bCs/>
          <w:lang w:val="en-GB"/>
        </w:rPr>
        <w:t>Kenya</w:t>
      </w:r>
      <w:r>
        <w:rPr>
          <w:b/>
          <w:bCs/>
          <w:lang w:val="en-GB"/>
        </w:rPr>
        <w:t xml:space="preserve"> </w:t>
      </w:r>
      <w:r>
        <w:rPr>
          <w:lang w:val="en-GB"/>
        </w:rPr>
        <w:t>(</w:t>
      </w:r>
      <w:r w:rsidRPr="00A72C58">
        <w:rPr>
          <w:lang w:val="en-GB"/>
        </w:rPr>
        <w:t>N</w:t>
      </w:r>
      <w:r>
        <w:rPr>
          <w:lang w:val="en-GB"/>
        </w:rPr>
        <w:t>M)</w:t>
      </w:r>
      <w:r>
        <w:rPr>
          <w:b/>
          <w:bCs/>
          <w:lang w:val="en-GB"/>
        </w:rPr>
        <w:t>;</w:t>
      </w:r>
      <w:r w:rsidRPr="00A72C58">
        <w:rPr>
          <w:lang w:val="en-GB"/>
        </w:rPr>
        <w:tab/>
      </w:r>
      <w:r>
        <w:rPr>
          <w:b/>
          <w:bCs/>
          <w:lang w:val="en-GB"/>
        </w:rPr>
        <w:t xml:space="preserve"> </w:t>
      </w:r>
      <w:r w:rsidRPr="00DB5AE5">
        <w:rPr>
          <w:b/>
          <w:bCs/>
          <w:lang w:val="en-GB"/>
        </w:rPr>
        <w:t>Cardiff University, Cardiff, UK</w:t>
      </w:r>
      <w:r>
        <w:rPr>
          <w:b/>
          <w:bCs/>
          <w:lang w:val="en-GB"/>
        </w:rPr>
        <w:t xml:space="preserve"> </w:t>
      </w:r>
      <w:r>
        <w:rPr>
          <w:lang w:val="en-GB"/>
        </w:rPr>
        <w:t>(</w:t>
      </w:r>
      <w:r w:rsidRPr="00A72C58">
        <w:rPr>
          <w:lang w:val="en-GB"/>
        </w:rPr>
        <w:t>S</w:t>
      </w:r>
      <w:r>
        <w:rPr>
          <w:lang w:val="en-GB"/>
        </w:rPr>
        <w:t>N)</w:t>
      </w:r>
      <w:r>
        <w:rPr>
          <w:b/>
          <w:bCs/>
          <w:lang w:val="en-GB"/>
        </w:rPr>
        <w:t>;</w:t>
      </w:r>
      <w:r>
        <w:rPr>
          <w:lang w:val="en-GB"/>
        </w:rPr>
        <w:t xml:space="preserve"> </w:t>
      </w:r>
      <w:r w:rsidRPr="00DB5AE5">
        <w:rPr>
          <w:b/>
          <w:bCs/>
          <w:lang w:val="en-GB"/>
        </w:rPr>
        <w:t>University of East London, London, UK</w:t>
      </w:r>
      <w:r>
        <w:rPr>
          <w:b/>
          <w:bCs/>
          <w:lang w:val="en-GB"/>
        </w:rPr>
        <w:t xml:space="preserve"> </w:t>
      </w:r>
      <w:r>
        <w:rPr>
          <w:lang w:val="en-GB"/>
        </w:rPr>
        <w:t>(</w:t>
      </w:r>
      <w:r w:rsidRPr="00A72C58">
        <w:rPr>
          <w:lang w:val="en-GB"/>
        </w:rPr>
        <w:t>T</w:t>
      </w:r>
      <w:r>
        <w:rPr>
          <w:lang w:val="en-GB"/>
        </w:rPr>
        <w:t>R)</w:t>
      </w:r>
      <w:r>
        <w:rPr>
          <w:b/>
          <w:bCs/>
          <w:lang w:val="en-GB"/>
        </w:rPr>
        <w:t xml:space="preserve">; </w:t>
      </w:r>
      <w:r w:rsidRPr="00DB5AE5">
        <w:rPr>
          <w:b/>
          <w:bCs/>
          <w:lang w:val="en-GB"/>
        </w:rPr>
        <w:t>Universidad Federal de Bahia Salvador de Bahia, Salvador, Brazil</w:t>
      </w:r>
      <w:r>
        <w:rPr>
          <w:b/>
          <w:bCs/>
          <w:lang w:val="en-GB"/>
        </w:rPr>
        <w:t xml:space="preserve"> </w:t>
      </w:r>
      <w:r>
        <w:rPr>
          <w:lang w:val="en-GB"/>
        </w:rPr>
        <w:t>(A</w:t>
      </w:r>
      <w:r w:rsidR="00314B7B">
        <w:rPr>
          <w:lang w:val="en-GB"/>
        </w:rPr>
        <w:t>TC</w:t>
      </w:r>
      <w:r>
        <w:rPr>
          <w:lang w:val="en-GB"/>
        </w:rPr>
        <w:t>R)</w:t>
      </w:r>
      <w:r>
        <w:rPr>
          <w:b/>
          <w:bCs/>
          <w:lang w:val="en-GB"/>
        </w:rPr>
        <w:t xml:space="preserve">; </w:t>
      </w:r>
      <w:r w:rsidRPr="00DB5AE5">
        <w:rPr>
          <w:b/>
          <w:bCs/>
          <w:lang w:val="en-GB"/>
        </w:rPr>
        <w:t>Vascular Disease and Thrombosis Research</w:t>
      </w:r>
      <w:r>
        <w:rPr>
          <w:b/>
          <w:bCs/>
          <w:lang w:val="en-GB"/>
        </w:rPr>
        <w:t xml:space="preserve"> </w:t>
      </w:r>
      <w:proofErr w:type="spellStart"/>
      <w:r w:rsidRPr="00DB5AE5">
        <w:rPr>
          <w:b/>
          <w:bCs/>
          <w:lang w:val="en-GB"/>
        </w:rPr>
        <w:t>Center</w:t>
      </w:r>
      <w:proofErr w:type="spellEnd"/>
      <w:r w:rsidRPr="00DB5AE5">
        <w:rPr>
          <w:b/>
          <w:bCs/>
          <w:lang w:val="en-GB"/>
        </w:rPr>
        <w:t xml:space="preserve">, </w:t>
      </w:r>
      <w:proofErr w:type="spellStart"/>
      <w:r w:rsidRPr="00DB5AE5">
        <w:rPr>
          <w:b/>
          <w:bCs/>
          <w:lang w:val="en-GB"/>
        </w:rPr>
        <w:t>Rajaie</w:t>
      </w:r>
      <w:proofErr w:type="spellEnd"/>
      <w:r w:rsidRPr="00DB5AE5">
        <w:rPr>
          <w:b/>
          <w:bCs/>
          <w:lang w:val="en-GB"/>
        </w:rPr>
        <w:t xml:space="preserve"> Cardiovascular Institute, Tehran, Iran</w:t>
      </w:r>
      <w:r>
        <w:rPr>
          <w:b/>
          <w:bCs/>
          <w:lang w:val="en-GB"/>
        </w:rPr>
        <w:t xml:space="preserve"> </w:t>
      </w:r>
      <w:r>
        <w:rPr>
          <w:lang w:val="en-GB"/>
        </w:rPr>
        <w:t>(PS)</w:t>
      </w:r>
      <w:r>
        <w:rPr>
          <w:b/>
          <w:bCs/>
          <w:lang w:val="en-GB"/>
        </w:rPr>
        <w:t xml:space="preserve">; </w:t>
      </w:r>
      <w:proofErr w:type="spellStart"/>
      <w:r w:rsidRPr="00DB5AE5">
        <w:rPr>
          <w:b/>
          <w:bCs/>
          <w:lang w:val="en-GB"/>
        </w:rPr>
        <w:t>Università</w:t>
      </w:r>
      <w:proofErr w:type="spellEnd"/>
      <w:r w:rsidRPr="00DB5AE5">
        <w:rPr>
          <w:b/>
          <w:bCs/>
          <w:lang w:val="en-GB"/>
        </w:rPr>
        <w:t xml:space="preserve"> Cattolica del Sacro Cuore, Milan, Italy</w:t>
      </w:r>
      <w:r>
        <w:rPr>
          <w:b/>
          <w:bCs/>
          <w:lang w:val="en-GB"/>
        </w:rPr>
        <w:t xml:space="preserve"> </w:t>
      </w:r>
      <w:r>
        <w:rPr>
          <w:lang w:val="en-GB"/>
        </w:rPr>
        <w:t>(RT)</w:t>
      </w:r>
      <w:r w:rsidRPr="00DB5AE5">
        <w:rPr>
          <w:b/>
          <w:bCs/>
          <w:lang w:val="en-GB"/>
        </w:rPr>
        <w:t>;</w:t>
      </w:r>
      <w:r>
        <w:rPr>
          <w:b/>
          <w:bCs/>
          <w:lang w:val="en-GB"/>
        </w:rPr>
        <w:t xml:space="preserve"> </w:t>
      </w:r>
      <w:r w:rsidRPr="00DB5AE5">
        <w:rPr>
          <w:b/>
          <w:bCs/>
          <w:lang w:val="en-GB"/>
        </w:rPr>
        <w:t>Leiden University, Leiden, Netherlands</w:t>
      </w:r>
      <w:r>
        <w:rPr>
          <w:b/>
          <w:bCs/>
          <w:lang w:val="en-GB"/>
        </w:rPr>
        <w:t xml:space="preserve"> </w:t>
      </w:r>
      <w:r>
        <w:rPr>
          <w:lang w:val="en-GB"/>
        </w:rPr>
        <w:t>(</w:t>
      </w:r>
      <w:proofErr w:type="spellStart"/>
      <w:r>
        <w:rPr>
          <w:lang w:val="en-GB"/>
        </w:rPr>
        <w:t>LM</w:t>
      </w:r>
      <w:r w:rsidRPr="00A72C58">
        <w:rPr>
          <w:lang w:val="en-GB"/>
        </w:rPr>
        <w:t>vV</w:t>
      </w:r>
      <w:proofErr w:type="spellEnd"/>
      <w:r>
        <w:rPr>
          <w:lang w:val="en-GB"/>
        </w:rPr>
        <w:t>)</w:t>
      </w:r>
      <w:r w:rsidRPr="00DB5AE5">
        <w:rPr>
          <w:b/>
          <w:bCs/>
          <w:lang w:val="en-GB"/>
        </w:rPr>
        <w:t>;</w:t>
      </w:r>
      <w:r>
        <w:rPr>
          <w:b/>
          <w:bCs/>
          <w:lang w:val="en-GB"/>
        </w:rPr>
        <w:t xml:space="preserve"> </w:t>
      </w:r>
      <w:r w:rsidRPr="00DB5AE5">
        <w:rPr>
          <w:b/>
          <w:bCs/>
          <w:lang w:val="en-GB"/>
        </w:rPr>
        <w:t>Queens University,</w:t>
      </w:r>
      <w:r w:rsidRPr="00DB5AE5">
        <w:rPr>
          <w:rFonts w:ascii="Arial" w:hAnsi="Arial" w:cs="Arial"/>
          <w:b/>
          <w:bCs/>
          <w:color w:val="474747"/>
          <w:sz w:val="21"/>
          <w:szCs w:val="21"/>
          <w:shd w:val="clear" w:color="auto" w:fill="FFFFFF"/>
        </w:rPr>
        <w:t xml:space="preserve"> </w:t>
      </w:r>
      <w:r w:rsidRPr="00DB5AE5">
        <w:rPr>
          <w:b/>
          <w:bCs/>
        </w:rPr>
        <w:t>Kingston, ON,</w:t>
      </w:r>
      <w:r w:rsidRPr="00DB5AE5">
        <w:rPr>
          <w:b/>
          <w:bCs/>
          <w:lang w:val="en-GB"/>
        </w:rPr>
        <w:t xml:space="preserve"> Canada</w:t>
      </w:r>
      <w:r w:rsidR="0009522A">
        <w:rPr>
          <w:b/>
          <w:bCs/>
          <w:lang w:val="en-GB"/>
        </w:rPr>
        <w:t xml:space="preserve"> </w:t>
      </w:r>
      <w:r>
        <w:rPr>
          <w:lang w:val="en-GB"/>
        </w:rPr>
        <w:t>(</w:t>
      </w:r>
      <w:proofErr w:type="spellStart"/>
      <w:r>
        <w:rPr>
          <w:lang w:val="en-GB"/>
        </w:rPr>
        <w:t>K</w:t>
      </w:r>
      <w:r w:rsidRPr="00A72C58">
        <w:rPr>
          <w:lang w:val="en-GB"/>
        </w:rPr>
        <w:t>dW</w:t>
      </w:r>
      <w:proofErr w:type="spellEnd"/>
      <w:r>
        <w:rPr>
          <w:lang w:val="en-GB"/>
        </w:rPr>
        <w:t>)</w:t>
      </w:r>
      <w:r>
        <w:rPr>
          <w:b/>
          <w:bCs/>
          <w:lang w:val="en-GB"/>
        </w:rPr>
        <w:t xml:space="preserve">; </w:t>
      </w:r>
      <w:r w:rsidRPr="00DB5AE5">
        <w:rPr>
          <w:b/>
          <w:bCs/>
          <w:lang w:val="en-GB"/>
        </w:rPr>
        <w:t>Department of Medicine, Ottawa Hospital Research Institute at the University of Ottawa, Ottawa, ON, Canada</w:t>
      </w:r>
      <w:r>
        <w:rPr>
          <w:b/>
          <w:bCs/>
          <w:lang w:val="en-GB"/>
        </w:rPr>
        <w:t xml:space="preserve"> </w:t>
      </w:r>
      <w:r>
        <w:rPr>
          <w:lang w:val="en-GB"/>
        </w:rPr>
        <w:t>(G</w:t>
      </w:r>
      <w:r w:rsidRPr="00A72C58">
        <w:rPr>
          <w:lang w:val="en-GB"/>
        </w:rPr>
        <w:t>LG</w:t>
      </w:r>
      <w:r>
        <w:rPr>
          <w:lang w:val="en-GB"/>
        </w:rPr>
        <w:t>)</w:t>
      </w:r>
    </w:p>
    <w:p w14:paraId="7415E580" w14:textId="77777777" w:rsidR="00EB6C8A" w:rsidRPr="00CD446D" w:rsidRDefault="00EB6C8A" w:rsidP="00505856">
      <w:pPr>
        <w:spacing w:after="160" w:line="480" w:lineRule="auto"/>
        <w:jc w:val="both"/>
        <w:rPr>
          <w:b/>
          <w:bCs/>
          <w:lang w:val="en-GB"/>
        </w:rPr>
      </w:pPr>
      <w:r w:rsidRPr="00CD446D">
        <w:rPr>
          <w:b/>
          <w:bCs/>
          <w:lang w:val="en-GB"/>
        </w:rPr>
        <w:t xml:space="preserve">f.a.klok@LUMC.nl </w:t>
      </w:r>
    </w:p>
    <w:p w14:paraId="0712470E" w14:textId="1E832E28" w:rsidR="00EB6C8A" w:rsidRPr="009E38F0" w:rsidRDefault="00F53479" w:rsidP="00505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Helvetica Neue" w:eastAsiaTheme="minorHAnsi" w:hAnsi="Helvetica Neue" w:cs="Helvetica Neue"/>
          <w:color w:val="000000"/>
          <w:sz w:val="26"/>
          <w:szCs w:val="26"/>
          <w:lang w:eastAsia="en-US"/>
          <w14:ligatures w14:val="standardContextual"/>
        </w:rPr>
      </w:pPr>
      <w:proofErr w:type="spellStart"/>
      <w:r>
        <w:rPr>
          <w:rFonts w:asciiTheme="minorHAnsi" w:hAnsiTheme="minorHAnsi" w:cstheme="minorHAnsi"/>
          <w:lang w:val="en-GB"/>
        </w:rPr>
        <w:t>Frederikus</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Klok</w:t>
      </w:r>
      <w:proofErr w:type="spellEnd"/>
      <w:r w:rsidRPr="00A72C58">
        <w:rPr>
          <w:rFonts w:asciiTheme="minorHAnsi" w:hAnsiTheme="minorHAnsi" w:cstheme="minorHAnsi"/>
          <w:lang w:val="en-GB"/>
        </w:rPr>
        <w:t xml:space="preserve"> </w:t>
      </w:r>
      <w:r w:rsidR="0005219D" w:rsidRPr="00A72C58">
        <w:rPr>
          <w:rFonts w:asciiTheme="minorHAnsi" w:hAnsiTheme="minorHAnsi" w:cstheme="minorHAnsi"/>
          <w:lang w:val="en-GB"/>
        </w:rPr>
        <w:t>received research funding from Bayer</w:t>
      </w:r>
      <w:r w:rsidR="0005219D" w:rsidRPr="00AE528E">
        <w:rPr>
          <w:lang w:val="en-GB"/>
        </w:rPr>
        <w:t xml:space="preserve">, </w:t>
      </w:r>
      <w:r w:rsidR="00AE528E" w:rsidRPr="00AE528E">
        <w:rPr>
          <w:rFonts w:eastAsiaTheme="minorHAnsi"/>
          <w:color w:val="000000"/>
          <w:lang w:eastAsia="en-US"/>
          <w14:ligatures w14:val="standardContextual"/>
        </w:rPr>
        <w:t>Bristol Myers Squibb</w:t>
      </w:r>
      <w:r w:rsidR="0005219D" w:rsidRPr="00AE528E">
        <w:rPr>
          <w:lang w:val="en-GB"/>
        </w:rPr>
        <w:t>,</w:t>
      </w:r>
      <w:r w:rsidR="0005219D" w:rsidRPr="00A72C58">
        <w:rPr>
          <w:rFonts w:asciiTheme="minorHAnsi" w:hAnsiTheme="minorHAnsi" w:cstheme="minorHAnsi"/>
          <w:lang w:val="en-GB"/>
        </w:rPr>
        <w:t xml:space="preserve"> BSCI, AstraZeneca, MSD, Leo Pharma, Actelion, Farm-X, The Netherlands Organisation for Health Research and Development, The Dutch Heart Foundation, and the Horizon Europe Program, all outside this work and paid to his institution. </w:t>
      </w:r>
      <w:r>
        <w:rPr>
          <w:lang w:val="en-GB"/>
        </w:rPr>
        <w:t xml:space="preserve">Scott </w:t>
      </w:r>
      <w:proofErr w:type="spellStart"/>
      <w:r>
        <w:rPr>
          <w:lang w:val="en-GB"/>
        </w:rPr>
        <w:t>Woller</w:t>
      </w:r>
      <w:proofErr w:type="spellEnd"/>
      <w:r w:rsidRPr="00A72C58">
        <w:rPr>
          <w:lang w:val="en-GB"/>
        </w:rPr>
        <w:t xml:space="preserve"> </w:t>
      </w:r>
      <w:r w:rsidR="0005219D" w:rsidRPr="00A72C58">
        <w:rPr>
          <w:lang w:val="en-GB"/>
        </w:rPr>
        <w:t xml:space="preserve">received research funding from </w:t>
      </w:r>
      <w:r w:rsidR="009A64B8" w:rsidRPr="009A64B8">
        <w:rPr>
          <w:rFonts w:asciiTheme="minorHAnsi" w:eastAsiaTheme="minorHAnsi" w:hAnsiTheme="minorHAnsi" w:cstheme="minorHAnsi"/>
          <w:color w:val="000000"/>
          <w:lang w:eastAsia="en-US"/>
          <w14:ligatures w14:val="standardContextual"/>
        </w:rPr>
        <w:t>Johnson &amp; Johnson Innovative Medicine</w:t>
      </w:r>
      <w:r w:rsidR="009A64B8">
        <w:rPr>
          <w:rFonts w:ascii="Helvetica Neue" w:eastAsiaTheme="minorHAnsi" w:hAnsi="Helvetica Neue" w:cs="Helvetica Neue"/>
          <w:color w:val="000000"/>
          <w:sz w:val="26"/>
          <w:szCs w:val="26"/>
          <w:lang w:eastAsia="en-US"/>
          <w14:ligatures w14:val="standardContextual"/>
        </w:rPr>
        <w:t xml:space="preserve"> </w:t>
      </w:r>
      <w:r w:rsidR="0005219D" w:rsidRPr="00A72C58">
        <w:rPr>
          <w:lang w:val="en-GB"/>
        </w:rPr>
        <w:t>paid to his employer without direct salary benefit or support; all outside this work and paid to his institution</w:t>
      </w:r>
      <w:r w:rsidR="0005219D" w:rsidRPr="00A72C58">
        <w:rPr>
          <w:rFonts w:asciiTheme="minorHAnsi" w:hAnsiTheme="minorHAnsi" w:cstheme="minorHAnsi"/>
          <w:lang w:val="en-GB"/>
        </w:rPr>
        <w:t xml:space="preserve">. </w:t>
      </w:r>
      <w:r w:rsidRPr="00F53479">
        <w:rPr>
          <w:lang w:val="en-GB"/>
        </w:rPr>
        <w:t>Aviva Schwartz</w:t>
      </w:r>
      <w:r w:rsidR="0005219D" w:rsidRPr="00A72C58">
        <w:rPr>
          <w:lang w:val="en-GB"/>
        </w:rPr>
        <w:t xml:space="preserve"> received consulting fees from Novartis outside of this work and is Co-Chair of the </w:t>
      </w:r>
      <w:proofErr w:type="spellStart"/>
      <w:r w:rsidR="0005219D" w:rsidRPr="00A72C58">
        <w:rPr>
          <w:lang w:val="en-GB"/>
        </w:rPr>
        <w:t>Vasculearn</w:t>
      </w:r>
      <w:proofErr w:type="spellEnd"/>
      <w:r w:rsidR="0005219D" w:rsidRPr="00A72C58">
        <w:rPr>
          <w:lang w:val="en-GB"/>
        </w:rPr>
        <w:t xml:space="preserve"> Network Medical Advisory Board. </w:t>
      </w:r>
      <w:proofErr w:type="spellStart"/>
      <w:r w:rsidRPr="00F53479">
        <w:rPr>
          <w:rFonts w:asciiTheme="minorHAnsi" w:hAnsiTheme="minorHAnsi" w:cstheme="minorHAnsi"/>
          <w:color w:val="000000"/>
          <w:lang w:val="en-GB"/>
        </w:rPr>
        <w:t>P</w:t>
      </w:r>
      <w:r>
        <w:rPr>
          <w:rFonts w:asciiTheme="minorHAnsi" w:hAnsiTheme="minorHAnsi" w:cstheme="minorHAnsi"/>
          <w:color w:val="000000"/>
          <w:lang w:val="en-GB"/>
        </w:rPr>
        <w:t>antep</w:t>
      </w:r>
      <w:proofErr w:type="spellEnd"/>
      <w:r w:rsidRPr="00F53479">
        <w:rPr>
          <w:rFonts w:asciiTheme="minorHAnsi" w:hAnsiTheme="minorHAnsi" w:cstheme="minorHAnsi"/>
          <w:color w:val="000000"/>
          <w:lang w:val="en-GB"/>
        </w:rPr>
        <w:t xml:space="preserve"> </w:t>
      </w:r>
      <w:proofErr w:type="spellStart"/>
      <w:r w:rsidRPr="00F53479">
        <w:rPr>
          <w:rFonts w:asciiTheme="minorHAnsi" w:hAnsiTheme="minorHAnsi" w:cstheme="minorHAnsi"/>
          <w:color w:val="000000"/>
          <w:lang w:val="en-GB"/>
        </w:rPr>
        <w:t>Angchaisuksiri</w:t>
      </w:r>
      <w:proofErr w:type="spellEnd"/>
      <w:r w:rsidRPr="00F53479">
        <w:rPr>
          <w:rFonts w:asciiTheme="minorHAnsi" w:hAnsiTheme="minorHAnsi" w:cstheme="minorHAnsi"/>
          <w:color w:val="000000"/>
          <w:lang w:val="en-GB"/>
        </w:rPr>
        <w:t xml:space="preserve"> </w:t>
      </w:r>
      <w:r w:rsidR="0005219D" w:rsidRPr="00A72C58">
        <w:rPr>
          <w:rFonts w:asciiTheme="minorHAnsi" w:hAnsiTheme="minorHAnsi" w:cstheme="minorHAnsi"/>
          <w:color w:val="000000"/>
          <w:lang w:val="en-GB"/>
        </w:rPr>
        <w:t>received research funding from Novo Nordisk, Sanofi, and Spark Therapeutics</w:t>
      </w:r>
      <w:r w:rsidR="00E0337B">
        <w:rPr>
          <w:rFonts w:asciiTheme="minorHAnsi" w:hAnsiTheme="minorHAnsi" w:cstheme="minorHAnsi"/>
          <w:color w:val="000000"/>
          <w:lang w:val="en-GB"/>
        </w:rPr>
        <w:t>,</w:t>
      </w:r>
      <w:r w:rsidR="0005219D" w:rsidRPr="00A72C58">
        <w:rPr>
          <w:rFonts w:asciiTheme="minorHAnsi" w:hAnsiTheme="minorHAnsi" w:cstheme="minorHAnsi"/>
          <w:color w:val="000000"/>
          <w:lang w:val="en-GB"/>
        </w:rPr>
        <w:t xml:space="preserve"> and is President of </w:t>
      </w:r>
      <w:r w:rsidR="0005219D" w:rsidRPr="00A72C58">
        <w:rPr>
          <w:rFonts w:asciiTheme="minorHAnsi" w:hAnsiTheme="minorHAnsi" w:cstheme="minorHAnsi"/>
          <w:color w:val="000000"/>
          <w:lang w:val="en-GB"/>
        </w:rPr>
        <w:lastRenderedPageBreak/>
        <w:t xml:space="preserve">the International Society on Thrombosis and Haemostasis. </w:t>
      </w:r>
      <w:r w:rsidRPr="00F53479">
        <w:rPr>
          <w:rFonts w:asciiTheme="minorHAnsi" w:hAnsiTheme="minorHAnsi" w:cstheme="minorHAnsi"/>
          <w:lang w:val="en-GB"/>
        </w:rPr>
        <w:t xml:space="preserve">Jeffrey </w:t>
      </w:r>
      <w:proofErr w:type="spellStart"/>
      <w:r w:rsidRPr="00F53479">
        <w:rPr>
          <w:rFonts w:asciiTheme="minorHAnsi" w:hAnsiTheme="minorHAnsi" w:cstheme="minorHAnsi"/>
          <w:lang w:val="en-GB"/>
        </w:rPr>
        <w:t>Habert</w:t>
      </w:r>
      <w:proofErr w:type="spellEnd"/>
      <w:r w:rsidR="0005219D" w:rsidRPr="00A72C58">
        <w:rPr>
          <w:rFonts w:asciiTheme="minorHAnsi" w:hAnsiTheme="minorHAnsi" w:cstheme="minorHAnsi"/>
          <w:lang w:val="en-GB"/>
        </w:rPr>
        <w:t xml:space="preserve"> has received </w:t>
      </w:r>
      <w:r w:rsidR="0005219D" w:rsidRPr="00A72C58">
        <w:rPr>
          <w:lang w:val="en-GB"/>
        </w:rPr>
        <w:t xml:space="preserve">consulting fees from </w:t>
      </w:r>
      <w:proofErr w:type="spellStart"/>
      <w:r w:rsidR="0005219D" w:rsidRPr="00A72C58">
        <w:rPr>
          <w:lang w:val="en-GB"/>
        </w:rPr>
        <w:t>Elvium</w:t>
      </w:r>
      <w:proofErr w:type="spellEnd"/>
      <w:r w:rsidR="0005219D" w:rsidRPr="00A72C58">
        <w:rPr>
          <w:lang w:val="en-GB"/>
        </w:rPr>
        <w:t xml:space="preserve">, Otsuka, </w:t>
      </w:r>
      <w:r w:rsidR="00141B2A">
        <w:rPr>
          <w:lang w:val="en-GB"/>
        </w:rPr>
        <w:t xml:space="preserve">Eli </w:t>
      </w:r>
      <w:r w:rsidR="0005219D" w:rsidRPr="00A72C58">
        <w:rPr>
          <w:lang w:val="en-GB"/>
        </w:rPr>
        <w:t>Lilly,</w:t>
      </w:r>
      <w:r w:rsidR="009A64B8">
        <w:rPr>
          <w:rFonts w:ascii="Helvetica Neue" w:eastAsiaTheme="minorHAnsi" w:hAnsi="Helvetica Neue" w:cs="Helvetica Neue"/>
          <w:color w:val="000000"/>
          <w:sz w:val="26"/>
          <w:szCs w:val="26"/>
          <w:lang w:eastAsia="en-US"/>
          <w14:ligatures w14:val="standardContextual"/>
        </w:rPr>
        <w:t xml:space="preserve"> </w:t>
      </w:r>
      <w:r w:rsidR="009A64B8" w:rsidRPr="009A64B8">
        <w:rPr>
          <w:rFonts w:eastAsiaTheme="minorHAnsi"/>
          <w:color w:val="000000"/>
          <w:lang w:eastAsia="en-US"/>
          <w14:ligatures w14:val="standardContextual"/>
        </w:rPr>
        <w:t>Boehringer Ingelheim</w:t>
      </w:r>
      <w:r w:rsidR="009A64B8">
        <w:rPr>
          <w:rFonts w:eastAsiaTheme="minorHAnsi"/>
          <w:color w:val="000000"/>
          <w:lang w:eastAsia="en-US"/>
          <w14:ligatures w14:val="standardContextual"/>
        </w:rPr>
        <w:t xml:space="preserve">, </w:t>
      </w:r>
      <w:r w:rsidR="009A64B8" w:rsidRPr="009A64B8">
        <w:rPr>
          <w:rFonts w:eastAsiaTheme="minorHAnsi"/>
          <w:color w:val="000000"/>
          <w:lang w:eastAsia="en-US"/>
          <w14:ligatures w14:val="standardContextual"/>
        </w:rPr>
        <w:t>HLS Therapeutics</w:t>
      </w:r>
      <w:r w:rsidR="009A64B8">
        <w:rPr>
          <w:rFonts w:eastAsiaTheme="minorHAnsi"/>
          <w:color w:val="000000"/>
          <w:lang w:eastAsia="en-US"/>
          <w14:ligatures w14:val="standardContextual"/>
        </w:rPr>
        <w:t xml:space="preserve">, </w:t>
      </w:r>
      <w:r w:rsidR="0005219D" w:rsidRPr="00A72C58">
        <w:rPr>
          <w:lang w:val="en-GB"/>
        </w:rPr>
        <w:t xml:space="preserve">Eisai, and Idorsia and honoraria from </w:t>
      </w:r>
      <w:proofErr w:type="spellStart"/>
      <w:r w:rsidR="0005219D" w:rsidRPr="00A72C58">
        <w:rPr>
          <w:lang w:val="en-GB"/>
        </w:rPr>
        <w:t>MDBriefcase</w:t>
      </w:r>
      <w:proofErr w:type="spellEnd"/>
      <w:r w:rsidR="0005219D" w:rsidRPr="00A72C58">
        <w:rPr>
          <w:lang w:val="en-GB"/>
        </w:rPr>
        <w:t xml:space="preserve">, Liv, </w:t>
      </w:r>
      <w:proofErr w:type="spellStart"/>
      <w:r w:rsidR="0005219D" w:rsidRPr="00A72C58">
        <w:rPr>
          <w:lang w:val="en-GB"/>
        </w:rPr>
        <w:t>MedPlan</w:t>
      </w:r>
      <w:proofErr w:type="spellEnd"/>
      <w:r w:rsidR="0005219D" w:rsidRPr="00A72C58">
        <w:rPr>
          <w:lang w:val="en-GB"/>
        </w:rPr>
        <w:t xml:space="preserve">, Master Clinician Alliance, Academy, Bridge, </w:t>
      </w:r>
      <w:proofErr w:type="spellStart"/>
      <w:r w:rsidR="0005219D" w:rsidRPr="00A72C58">
        <w:rPr>
          <w:lang w:val="en-GB"/>
        </w:rPr>
        <w:t>PeerVoice</w:t>
      </w:r>
      <w:proofErr w:type="spellEnd"/>
      <w:r w:rsidR="0005219D" w:rsidRPr="00A72C58">
        <w:rPr>
          <w:lang w:val="en-GB"/>
        </w:rPr>
        <w:t xml:space="preserve">, </w:t>
      </w:r>
      <w:proofErr w:type="spellStart"/>
      <w:r w:rsidR="0005219D" w:rsidRPr="00A72C58">
        <w:rPr>
          <w:lang w:val="en-GB"/>
        </w:rPr>
        <w:t>Seacourses</w:t>
      </w:r>
      <w:proofErr w:type="spellEnd"/>
      <w:r w:rsidR="0005219D" w:rsidRPr="00A72C58">
        <w:rPr>
          <w:lang w:val="en-GB"/>
        </w:rPr>
        <w:t xml:space="preserve">, Thrombosis Canada, </w:t>
      </w:r>
      <w:proofErr w:type="spellStart"/>
      <w:r w:rsidR="0005219D" w:rsidRPr="00A72C58">
        <w:rPr>
          <w:lang w:val="en-GB"/>
        </w:rPr>
        <w:t>Meducom</w:t>
      </w:r>
      <w:proofErr w:type="spellEnd"/>
      <w:r w:rsidR="0005219D" w:rsidRPr="00A72C58">
        <w:rPr>
          <w:lang w:val="en-GB"/>
        </w:rPr>
        <w:t>, C</w:t>
      </w:r>
      <w:r w:rsidR="009E38F0">
        <w:rPr>
          <w:lang w:val="en-GB"/>
        </w:rPr>
        <w:t>anadian Heart Research Centre (CHRC)</w:t>
      </w:r>
      <w:r w:rsidR="0005219D" w:rsidRPr="00A72C58">
        <w:rPr>
          <w:lang w:val="en-GB"/>
        </w:rPr>
        <w:t>, CPD Network, CTC</w:t>
      </w:r>
      <w:r w:rsidR="009E38F0">
        <w:rPr>
          <w:lang w:val="en-GB"/>
        </w:rPr>
        <w:t xml:space="preserve"> Medical Communications</w:t>
      </w:r>
      <w:r w:rsidR="0005219D" w:rsidRPr="00A72C58">
        <w:rPr>
          <w:lang w:val="en-GB"/>
        </w:rPr>
        <w:t>, STA</w:t>
      </w:r>
      <w:r w:rsidR="009E38F0">
        <w:rPr>
          <w:lang w:val="en-GB"/>
        </w:rPr>
        <w:t xml:space="preserve">, </w:t>
      </w:r>
      <w:r w:rsidR="009E38F0" w:rsidRPr="009E38F0">
        <w:rPr>
          <w:rFonts w:asciiTheme="minorHAnsi" w:eastAsiaTheme="minorHAnsi" w:hAnsiTheme="minorHAnsi" w:cstheme="minorHAnsi"/>
          <w:color w:val="000000"/>
          <w:lang w:eastAsia="en-US"/>
          <w14:ligatures w14:val="standardContextual"/>
        </w:rPr>
        <w:t>Collaborative CME and Research Network (CCRN)</w:t>
      </w:r>
      <w:r w:rsidR="0005219D" w:rsidRPr="009E38F0">
        <w:rPr>
          <w:rFonts w:asciiTheme="minorHAnsi" w:hAnsiTheme="minorHAnsi" w:cstheme="minorHAnsi"/>
          <w:lang w:val="en-GB"/>
        </w:rPr>
        <w:t xml:space="preserve">, </w:t>
      </w:r>
      <w:proofErr w:type="spellStart"/>
      <w:r w:rsidR="0005219D" w:rsidRPr="009E38F0">
        <w:rPr>
          <w:rFonts w:asciiTheme="minorHAnsi" w:hAnsiTheme="minorHAnsi" w:cstheme="minorHAnsi"/>
          <w:lang w:val="en-GB"/>
        </w:rPr>
        <w:t>Telus</w:t>
      </w:r>
      <w:proofErr w:type="spellEnd"/>
      <w:r w:rsidR="0005219D" w:rsidRPr="009E38F0">
        <w:rPr>
          <w:rFonts w:asciiTheme="minorHAnsi" w:hAnsiTheme="minorHAnsi" w:cstheme="minorHAnsi"/>
          <w:lang w:val="en-GB"/>
        </w:rPr>
        <w:t xml:space="preserve"> Health, EOCI</w:t>
      </w:r>
      <w:r w:rsidR="009E38F0">
        <w:rPr>
          <w:rFonts w:asciiTheme="minorHAnsi" w:hAnsiTheme="minorHAnsi" w:cstheme="minorHAnsi"/>
          <w:lang w:val="en-GB"/>
        </w:rPr>
        <w:t xml:space="preserve"> </w:t>
      </w:r>
      <w:proofErr w:type="spellStart"/>
      <w:r w:rsidR="009E38F0">
        <w:rPr>
          <w:rFonts w:asciiTheme="minorHAnsi" w:hAnsiTheme="minorHAnsi" w:cstheme="minorHAnsi"/>
          <w:lang w:val="en-GB"/>
        </w:rPr>
        <w:t>Pharmacomm</w:t>
      </w:r>
      <w:proofErr w:type="spellEnd"/>
      <w:r w:rsidR="0005219D" w:rsidRPr="009E38F0">
        <w:rPr>
          <w:rFonts w:asciiTheme="minorHAnsi" w:hAnsiTheme="minorHAnsi" w:cstheme="minorHAnsi"/>
          <w:lang w:val="en-GB"/>
        </w:rPr>
        <w:t xml:space="preserve">, </w:t>
      </w:r>
      <w:proofErr w:type="spellStart"/>
      <w:r w:rsidR="0005219D" w:rsidRPr="009E38F0">
        <w:rPr>
          <w:rFonts w:asciiTheme="minorHAnsi" w:hAnsiTheme="minorHAnsi" w:cstheme="minorHAnsi"/>
          <w:lang w:val="en-GB"/>
        </w:rPr>
        <w:t>AgenceUnik</w:t>
      </w:r>
      <w:proofErr w:type="spellEnd"/>
      <w:r w:rsidR="0005219D" w:rsidRPr="009E38F0">
        <w:rPr>
          <w:rFonts w:asciiTheme="minorHAnsi" w:hAnsiTheme="minorHAnsi" w:cstheme="minorHAnsi"/>
          <w:lang w:val="en-GB"/>
        </w:rPr>
        <w:t xml:space="preserve">, Humber Hospital, </w:t>
      </w:r>
      <w:r w:rsidR="009E38F0" w:rsidRPr="009E38F0">
        <w:rPr>
          <w:rFonts w:eastAsiaTheme="minorHAnsi"/>
          <w:color w:val="000000"/>
          <w:lang w:eastAsia="en-US"/>
          <w14:ligatures w14:val="standardContextual"/>
        </w:rPr>
        <w:t>Alliance for Best Practices in Health Education</w:t>
      </w:r>
      <w:r w:rsidR="0005219D" w:rsidRPr="009E38F0">
        <w:rPr>
          <w:lang w:val="en-GB"/>
        </w:rPr>
        <w:t>, and C</w:t>
      </w:r>
      <w:r w:rsidR="009E38F0">
        <w:rPr>
          <w:lang w:val="en-GB"/>
        </w:rPr>
        <w:t>anadian Society of Endocrinology and Metabolism</w:t>
      </w:r>
      <w:r w:rsidR="0005219D" w:rsidRPr="009E38F0">
        <w:rPr>
          <w:lang w:val="en-GB"/>
        </w:rPr>
        <w:t>. He has participated in Data Safety Monitoring Boards for Boehringer</w:t>
      </w:r>
      <w:r w:rsidR="00996E48" w:rsidRPr="009E38F0">
        <w:rPr>
          <w:lang w:val="en-GB"/>
        </w:rPr>
        <w:t xml:space="preserve"> Ingelheim</w:t>
      </w:r>
      <w:r w:rsidR="0005219D" w:rsidRPr="009E38F0">
        <w:rPr>
          <w:lang w:val="en-GB"/>
        </w:rPr>
        <w:t>, Eli</w:t>
      </w:r>
      <w:r w:rsidR="00141B2A" w:rsidRPr="009E38F0">
        <w:rPr>
          <w:lang w:val="en-GB"/>
        </w:rPr>
        <w:t xml:space="preserve"> </w:t>
      </w:r>
      <w:r w:rsidR="0005219D" w:rsidRPr="009E38F0">
        <w:rPr>
          <w:lang w:val="en-GB"/>
        </w:rPr>
        <w:t xml:space="preserve">Lilly, </w:t>
      </w:r>
      <w:proofErr w:type="spellStart"/>
      <w:r w:rsidR="0005219D" w:rsidRPr="009E38F0">
        <w:rPr>
          <w:lang w:val="en-GB"/>
        </w:rPr>
        <w:t>Elvium</w:t>
      </w:r>
      <w:proofErr w:type="spellEnd"/>
      <w:r w:rsidR="0005219D" w:rsidRPr="009E38F0">
        <w:rPr>
          <w:lang w:val="en-GB"/>
        </w:rPr>
        <w:t>, Takeda,</w:t>
      </w:r>
      <w:r w:rsidR="00CE2F0D" w:rsidRPr="009E38F0">
        <w:rPr>
          <w:lang w:val="en-GB"/>
        </w:rPr>
        <w:t xml:space="preserve"> </w:t>
      </w:r>
      <w:r w:rsidR="0005219D" w:rsidRPr="009E38F0">
        <w:rPr>
          <w:lang w:val="en-GB"/>
        </w:rPr>
        <w:t>Bausch, AstraZe</w:t>
      </w:r>
      <w:r w:rsidR="0005219D" w:rsidRPr="00A72C58">
        <w:rPr>
          <w:lang w:val="en-GB"/>
        </w:rPr>
        <w:t>neca, Novartis, Lundbeck, Novo</w:t>
      </w:r>
      <w:r w:rsidR="00141B2A">
        <w:rPr>
          <w:lang w:val="en-GB"/>
        </w:rPr>
        <w:t xml:space="preserve"> </w:t>
      </w:r>
      <w:r w:rsidR="0005219D" w:rsidRPr="00A72C58">
        <w:rPr>
          <w:lang w:val="en-GB"/>
        </w:rPr>
        <w:t>Nordisk, Janssen, Eisai, HLS</w:t>
      </w:r>
      <w:r w:rsidR="009E38F0">
        <w:rPr>
          <w:lang w:val="en-GB"/>
        </w:rPr>
        <w:t xml:space="preserve"> Therapeutics</w:t>
      </w:r>
      <w:r w:rsidR="0005219D" w:rsidRPr="00A72C58">
        <w:rPr>
          <w:lang w:val="en-GB"/>
        </w:rPr>
        <w:t xml:space="preserve">, Otsuka, Idorsia, Pfizer, Amgen, </w:t>
      </w:r>
      <w:r w:rsidR="00CE2F0D" w:rsidRPr="00A72C58">
        <w:rPr>
          <w:lang w:val="en-GB"/>
        </w:rPr>
        <w:t>AbbVie</w:t>
      </w:r>
      <w:r w:rsidR="0005219D" w:rsidRPr="00A72C58">
        <w:rPr>
          <w:lang w:val="en-GB"/>
        </w:rPr>
        <w:t xml:space="preserve">, GSK, Bayer, and </w:t>
      </w:r>
      <w:proofErr w:type="spellStart"/>
      <w:r w:rsidR="0005219D" w:rsidRPr="00A72C58">
        <w:rPr>
          <w:lang w:val="en-GB"/>
        </w:rPr>
        <w:t>Valeo</w:t>
      </w:r>
      <w:proofErr w:type="spellEnd"/>
      <w:r w:rsidR="0005219D" w:rsidRPr="00A72C58">
        <w:rPr>
          <w:lang w:val="en-GB"/>
        </w:rPr>
        <w:t>.</w:t>
      </w:r>
      <w:r w:rsidR="0005219D" w:rsidRPr="00A72C58">
        <w:rPr>
          <w:rFonts w:asciiTheme="minorHAnsi" w:hAnsiTheme="minorHAnsi" w:cstheme="minorHAnsi"/>
          <w:lang w:val="en-GB"/>
        </w:rPr>
        <w:t xml:space="preserve"> </w:t>
      </w:r>
      <w:r>
        <w:rPr>
          <w:rFonts w:asciiTheme="minorHAnsi" w:hAnsiTheme="minorHAnsi" w:cstheme="minorHAnsi"/>
          <w:color w:val="000000"/>
          <w:lang w:val="en-GB"/>
        </w:rPr>
        <w:t>Rach</w:t>
      </w:r>
      <w:r w:rsidR="00C613D4">
        <w:rPr>
          <w:rFonts w:asciiTheme="minorHAnsi" w:hAnsiTheme="minorHAnsi" w:cstheme="minorHAnsi"/>
          <w:color w:val="000000"/>
          <w:lang w:val="en-GB"/>
        </w:rPr>
        <w:t>a</w:t>
      </w:r>
      <w:r>
        <w:rPr>
          <w:rFonts w:asciiTheme="minorHAnsi" w:hAnsiTheme="minorHAnsi" w:cstheme="minorHAnsi"/>
          <w:color w:val="000000"/>
          <w:lang w:val="en-GB"/>
        </w:rPr>
        <w:t>el Hunter</w:t>
      </w:r>
      <w:r w:rsidRPr="00A72C58">
        <w:rPr>
          <w:rFonts w:asciiTheme="minorHAnsi" w:hAnsiTheme="minorHAnsi" w:cstheme="minorHAnsi"/>
          <w:color w:val="000000"/>
          <w:lang w:val="en-GB"/>
        </w:rPr>
        <w:t xml:space="preserve"> </w:t>
      </w:r>
      <w:r w:rsidR="0005219D" w:rsidRPr="00A72C58">
        <w:rPr>
          <w:rFonts w:asciiTheme="minorHAnsi" w:hAnsiTheme="minorHAnsi" w:cstheme="minorHAnsi"/>
          <w:color w:val="000000"/>
          <w:lang w:val="en-GB"/>
        </w:rPr>
        <w:t xml:space="preserve">received honoraria from Pfizer and Biogen </w:t>
      </w:r>
      <w:r w:rsidR="0005219D" w:rsidRPr="00A72C58">
        <w:rPr>
          <w:lang w:val="en-GB"/>
        </w:rPr>
        <w:t xml:space="preserve">and support for attending the </w:t>
      </w:r>
      <w:r w:rsidR="0005219D" w:rsidRPr="00A72C58">
        <w:rPr>
          <w:color w:val="000000"/>
          <w:lang w:val="en-GB"/>
        </w:rPr>
        <w:t>Multiple Sclerosis Research Organisation UK</w:t>
      </w:r>
      <w:r w:rsidR="0005219D" w:rsidRPr="00A72C58">
        <w:rPr>
          <w:rFonts w:asciiTheme="minorHAnsi" w:hAnsiTheme="minorHAnsi" w:cstheme="minorHAnsi"/>
          <w:color w:val="000000"/>
          <w:lang w:val="en-GB"/>
        </w:rPr>
        <w:t xml:space="preserve">. </w:t>
      </w:r>
      <w:r>
        <w:rPr>
          <w:lang w:val="en-GB"/>
        </w:rPr>
        <w:t>Jeffrey Kline</w:t>
      </w:r>
      <w:r w:rsidRPr="00A72C58">
        <w:rPr>
          <w:lang w:val="en-GB"/>
        </w:rPr>
        <w:t xml:space="preserve"> </w:t>
      </w:r>
      <w:r w:rsidR="0005219D" w:rsidRPr="00A72C58">
        <w:rPr>
          <w:lang w:val="en-GB"/>
        </w:rPr>
        <w:t xml:space="preserve">received research funding from the National Institutes of Health, </w:t>
      </w:r>
      <w:proofErr w:type="spellStart"/>
      <w:r w:rsidR="0005219D" w:rsidRPr="00A72C58">
        <w:rPr>
          <w:lang w:val="en-GB"/>
        </w:rPr>
        <w:t>Centers</w:t>
      </w:r>
      <w:proofErr w:type="spellEnd"/>
      <w:r w:rsidR="0005219D" w:rsidRPr="00A72C58">
        <w:rPr>
          <w:lang w:val="en-GB"/>
        </w:rPr>
        <w:t xml:space="preserve"> for Disease Control and Prevention, and Human Animal Bond Research Institute, all paid to his institution, payment for expert testimony for medical malpractice cases, and is on the Board of Directors at the PERT Consortium. </w:t>
      </w:r>
      <w:r>
        <w:rPr>
          <w:lang w:val="en-GB"/>
        </w:rPr>
        <w:t>Simon Noble</w:t>
      </w:r>
      <w:r w:rsidRPr="00A72C58">
        <w:rPr>
          <w:lang w:val="en-GB"/>
        </w:rPr>
        <w:t xml:space="preserve"> </w:t>
      </w:r>
      <w:r w:rsidR="0005219D" w:rsidRPr="00A72C58">
        <w:rPr>
          <w:lang w:val="en-GB"/>
        </w:rPr>
        <w:t>received payment from Leo Pharma to support research staff and is a Medical Director and Trustee at Thrombosis UK</w:t>
      </w:r>
      <w:r w:rsidR="0005219D" w:rsidRPr="00A72C58">
        <w:rPr>
          <w:rFonts w:asciiTheme="minorHAnsi" w:hAnsiTheme="minorHAnsi" w:cstheme="minorHAnsi"/>
          <w:lang w:val="en-GB"/>
        </w:rPr>
        <w:t xml:space="preserve">. </w:t>
      </w:r>
      <w:r w:rsidR="00E865F1" w:rsidRPr="00E865F1">
        <w:rPr>
          <w:lang w:val="en-GB"/>
        </w:rPr>
        <w:t>Toby Richards</w:t>
      </w:r>
      <w:r w:rsidR="0005219D" w:rsidRPr="00A72C58">
        <w:rPr>
          <w:lang w:val="en-GB"/>
        </w:rPr>
        <w:t xml:space="preserve"> received research funding from </w:t>
      </w:r>
      <w:r w:rsidR="009E38F0" w:rsidRPr="009E38F0">
        <w:rPr>
          <w:rFonts w:eastAsiaTheme="minorHAnsi"/>
          <w:color w:val="000000"/>
          <w:lang w:eastAsia="en-US"/>
          <w14:ligatures w14:val="standardContextual"/>
        </w:rPr>
        <w:t>National Institute for Health and Care Research Efficacy and Mechanism Evaluation (NIHR EME)</w:t>
      </w:r>
      <w:r w:rsidR="009E38F0" w:rsidRPr="009E38F0">
        <w:rPr>
          <w:rFonts w:eastAsiaTheme="minorHAnsi"/>
          <w:color w:val="000000"/>
          <w:lang w:eastAsia="en-US"/>
          <w14:ligatures w14:val="standardContextual"/>
        </w:rPr>
        <w:t xml:space="preserve">, </w:t>
      </w:r>
      <w:r w:rsidR="009E38F0" w:rsidRPr="009E38F0">
        <w:rPr>
          <w:rFonts w:eastAsiaTheme="minorHAnsi"/>
          <w:color w:val="000000"/>
          <w:lang w:eastAsia="en-US"/>
          <w14:ligatures w14:val="standardContextual"/>
        </w:rPr>
        <w:t>National Health and Medical Research Council (NHMRC)</w:t>
      </w:r>
      <w:r w:rsidR="009E38F0" w:rsidRPr="009E38F0">
        <w:rPr>
          <w:rFonts w:eastAsiaTheme="minorHAnsi"/>
          <w:color w:val="000000"/>
          <w:lang w:eastAsia="en-US"/>
          <w14:ligatures w14:val="standardContextual"/>
        </w:rPr>
        <w:t xml:space="preserve">, </w:t>
      </w:r>
      <w:r w:rsidR="009E38F0" w:rsidRPr="009E38F0">
        <w:rPr>
          <w:rFonts w:eastAsiaTheme="minorHAnsi"/>
          <w:color w:val="000000"/>
          <w:lang w:eastAsia="en-US"/>
          <w14:ligatures w14:val="standardContextual"/>
        </w:rPr>
        <w:t>Australian and New Zealand Society for Vascular Surgery (ANZSVS)</w:t>
      </w:r>
      <w:r w:rsidR="009E38F0">
        <w:rPr>
          <w:rFonts w:eastAsiaTheme="minorHAnsi"/>
          <w:color w:val="000000"/>
          <w:lang w:eastAsia="en-US"/>
          <w14:ligatures w14:val="standardContextual"/>
        </w:rPr>
        <w:t>,</w:t>
      </w:r>
      <w:r w:rsidR="0005219D" w:rsidRPr="00A72C58">
        <w:rPr>
          <w:lang w:val="en-GB"/>
        </w:rPr>
        <w:t xml:space="preserve"> university grants, honoraria from </w:t>
      </w:r>
      <w:proofErr w:type="spellStart"/>
      <w:r w:rsidR="0005219D" w:rsidRPr="00A72C58">
        <w:rPr>
          <w:rFonts w:asciiTheme="minorHAnsi" w:hAnsiTheme="minorHAnsi" w:cstheme="minorHAnsi"/>
          <w:szCs w:val="28"/>
          <w:lang w:val="en-GB"/>
        </w:rPr>
        <w:t>Pharmacosmos</w:t>
      </w:r>
      <w:proofErr w:type="spellEnd"/>
      <w:r w:rsidR="0005219D" w:rsidRPr="00A72C58">
        <w:rPr>
          <w:rFonts w:asciiTheme="minorHAnsi" w:hAnsiTheme="minorHAnsi" w:cstheme="minorHAnsi"/>
          <w:szCs w:val="28"/>
          <w:lang w:val="en-GB"/>
        </w:rPr>
        <w:t xml:space="preserve"> and </w:t>
      </w:r>
      <w:proofErr w:type="spellStart"/>
      <w:r w:rsidR="0005219D" w:rsidRPr="00A72C58">
        <w:rPr>
          <w:rFonts w:asciiTheme="minorHAnsi" w:hAnsiTheme="minorHAnsi" w:cstheme="minorHAnsi"/>
          <w:szCs w:val="28"/>
          <w:lang w:val="en-GB"/>
        </w:rPr>
        <w:t>Metagenics</w:t>
      </w:r>
      <w:proofErr w:type="spellEnd"/>
      <w:r w:rsidR="0005219D" w:rsidRPr="00A72C58">
        <w:rPr>
          <w:lang w:val="en-GB"/>
        </w:rPr>
        <w:t xml:space="preserve">, support for meetings and travel, and receipt of equipment from Radiometer. He has participated in Data Safety Monitoring Boards for SPACE RCT and INTACT and the Advisory Board for </w:t>
      </w:r>
      <w:proofErr w:type="spellStart"/>
      <w:r w:rsidR="0005219D" w:rsidRPr="00A72C58">
        <w:rPr>
          <w:lang w:val="en-GB"/>
        </w:rPr>
        <w:t>Pharmacosmos</w:t>
      </w:r>
      <w:proofErr w:type="spellEnd"/>
      <w:r w:rsidR="0005219D" w:rsidRPr="00A72C58">
        <w:rPr>
          <w:lang w:val="en-GB"/>
        </w:rPr>
        <w:t>. He holds leadership</w:t>
      </w:r>
      <w:r w:rsidR="00925102">
        <w:rPr>
          <w:lang w:val="en-GB"/>
        </w:rPr>
        <w:t xml:space="preserve"> or </w:t>
      </w:r>
      <w:r w:rsidR="0005219D" w:rsidRPr="00A72C58">
        <w:rPr>
          <w:lang w:val="en-GB"/>
        </w:rPr>
        <w:t xml:space="preserve">board roles </w:t>
      </w:r>
      <w:r w:rsidR="009E38F0" w:rsidRPr="009E38F0">
        <w:rPr>
          <w:rFonts w:eastAsiaTheme="minorHAnsi"/>
          <w:color w:val="000000"/>
          <w:lang w:eastAsia="en-US"/>
          <w14:ligatures w14:val="standardContextual"/>
        </w:rPr>
        <w:t>National Association of Testing Authorities, Australia (NATA)</w:t>
      </w:r>
      <w:r w:rsidR="009E38F0" w:rsidRPr="009E38F0">
        <w:rPr>
          <w:rFonts w:eastAsiaTheme="minorHAnsi"/>
          <w:color w:val="000000"/>
          <w:lang w:eastAsia="en-US"/>
          <w14:ligatures w14:val="standardContextual"/>
        </w:rPr>
        <w:t xml:space="preserve">, </w:t>
      </w:r>
      <w:r w:rsidR="009E38F0" w:rsidRPr="009E38F0">
        <w:rPr>
          <w:rFonts w:eastAsiaTheme="minorHAnsi"/>
          <w:color w:val="000000"/>
          <w:lang w:eastAsia="en-US"/>
          <w14:ligatures w14:val="standardContextual"/>
        </w:rPr>
        <w:t>Royal Australasian College of Surgeons (RACS)</w:t>
      </w:r>
      <w:r w:rsidR="0005219D" w:rsidRPr="00A72C58">
        <w:rPr>
          <w:lang w:val="en-GB"/>
        </w:rPr>
        <w:t xml:space="preserve"> and serves on the </w:t>
      </w:r>
      <w:r w:rsidR="00E029B3">
        <w:rPr>
          <w:lang w:val="en-GB"/>
        </w:rPr>
        <w:t xml:space="preserve">Trial Steering Committee </w:t>
      </w:r>
      <w:r w:rsidR="0005219D" w:rsidRPr="00A72C58">
        <w:rPr>
          <w:lang w:val="en-GB"/>
        </w:rPr>
        <w:t xml:space="preserve">for POISE 3, ECST 2, GLAD, and FUNNY. He is the Director of The Iron Clinic and </w:t>
      </w:r>
      <w:proofErr w:type="spellStart"/>
      <w:r w:rsidR="0005219D" w:rsidRPr="00A72C58">
        <w:rPr>
          <w:lang w:val="en-GB"/>
        </w:rPr>
        <w:t>VeinCare</w:t>
      </w:r>
      <w:proofErr w:type="spellEnd"/>
      <w:r w:rsidR="0005219D" w:rsidRPr="00A72C58">
        <w:rPr>
          <w:lang w:val="en-GB"/>
        </w:rPr>
        <w:t xml:space="preserve"> London and the Vascular lead for 18</w:t>
      </w:r>
      <w:r w:rsidR="003854BD">
        <w:rPr>
          <w:lang w:val="en-GB"/>
        </w:rPr>
        <w:t>-</w:t>
      </w:r>
      <w:r w:rsidR="0005219D" w:rsidRPr="00A72C58">
        <w:rPr>
          <w:lang w:val="en-GB"/>
        </w:rPr>
        <w:t xml:space="preserve">Week Support. </w:t>
      </w:r>
      <w:r w:rsidR="00E865F1">
        <w:rPr>
          <w:lang w:val="en-GB"/>
        </w:rPr>
        <w:t>Ana</w:t>
      </w:r>
      <w:r w:rsidR="00E029B3">
        <w:rPr>
          <w:lang w:val="en-GB"/>
        </w:rPr>
        <w:t xml:space="preserve"> </w:t>
      </w:r>
      <w:proofErr w:type="spellStart"/>
      <w:r w:rsidR="0012527A">
        <w:rPr>
          <w:lang w:val="en-GB"/>
        </w:rPr>
        <w:t>Thereza</w:t>
      </w:r>
      <w:proofErr w:type="spellEnd"/>
      <w:r w:rsidR="0012527A">
        <w:rPr>
          <w:lang w:val="en-GB"/>
        </w:rPr>
        <w:t xml:space="preserve"> </w:t>
      </w:r>
      <w:r w:rsidR="00E865F1">
        <w:rPr>
          <w:lang w:val="en-GB"/>
        </w:rPr>
        <w:t>Rocha</w:t>
      </w:r>
      <w:r w:rsidR="00E865F1" w:rsidRPr="00A72C58">
        <w:rPr>
          <w:lang w:val="en-GB"/>
        </w:rPr>
        <w:t xml:space="preserve"> </w:t>
      </w:r>
      <w:r w:rsidR="0005219D" w:rsidRPr="00A72C58">
        <w:rPr>
          <w:lang w:val="en-GB"/>
        </w:rPr>
        <w:t xml:space="preserve">received honoraria from Sanofi. </w:t>
      </w:r>
      <w:r w:rsidR="00E865F1">
        <w:rPr>
          <w:rFonts w:asciiTheme="minorHAnsi" w:hAnsiTheme="minorHAnsi" w:cstheme="minorHAnsi"/>
          <w:lang w:val="en-GB"/>
        </w:rPr>
        <w:t>Grégoire Le Gal</w:t>
      </w:r>
      <w:r w:rsidR="00E865F1" w:rsidRPr="00A72C58">
        <w:rPr>
          <w:rFonts w:asciiTheme="minorHAnsi" w:hAnsiTheme="minorHAnsi" w:cstheme="minorHAnsi"/>
          <w:lang w:val="en-GB"/>
        </w:rPr>
        <w:t xml:space="preserve"> </w:t>
      </w:r>
      <w:r w:rsidR="0005219D" w:rsidRPr="00A72C58">
        <w:rPr>
          <w:rFonts w:asciiTheme="minorHAnsi" w:hAnsiTheme="minorHAnsi" w:cstheme="minorHAnsi"/>
          <w:lang w:val="en-GB"/>
        </w:rPr>
        <w:t xml:space="preserve">received honoraria from Aspen Pharma, Emcure, Pfizer, </w:t>
      </w:r>
      <w:r w:rsidR="003854BD">
        <w:rPr>
          <w:rFonts w:asciiTheme="minorHAnsi" w:hAnsiTheme="minorHAnsi" w:cstheme="minorHAnsi"/>
          <w:lang w:val="en-GB"/>
        </w:rPr>
        <w:t xml:space="preserve">and </w:t>
      </w:r>
      <w:r w:rsidR="0005219D" w:rsidRPr="00A72C58">
        <w:rPr>
          <w:rFonts w:asciiTheme="minorHAnsi" w:hAnsiTheme="minorHAnsi" w:cstheme="minorHAnsi"/>
          <w:lang w:val="en-GB"/>
        </w:rPr>
        <w:t xml:space="preserve">Sanofi. </w:t>
      </w:r>
      <w:r w:rsidR="006F5FB2">
        <w:rPr>
          <w:rFonts w:eastAsia="Times New Roman"/>
          <w:lang w:val="en-GB"/>
        </w:rPr>
        <w:t>All</w:t>
      </w:r>
      <w:r w:rsidR="0005219D" w:rsidRPr="00A72C58">
        <w:rPr>
          <w:rFonts w:eastAsia="Times New Roman"/>
          <w:lang w:val="en-GB"/>
        </w:rPr>
        <w:t xml:space="preserve"> other authors declare</w:t>
      </w:r>
      <w:r w:rsidR="00775DE3">
        <w:rPr>
          <w:rFonts w:eastAsia="Times New Roman"/>
          <w:lang w:val="en-GB"/>
        </w:rPr>
        <w:t xml:space="preserve"> </w:t>
      </w:r>
      <w:r w:rsidR="0005219D" w:rsidRPr="00A72C58">
        <w:rPr>
          <w:rFonts w:eastAsia="Times New Roman"/>
          <w:lang w:val="en-GB"/>
        </w:rPr>
        <w:t xml:space="preserve">no </w:t>
      </w:r>
      <w:r w:rsidR="00775DE3">
        <w:rPr>
          <w:rFonts w:eastAsia="Times New Roman"/>
          <w:lang w:val="en-GB"/>
        </w:rPr>
        <w:t xml:space="preserve">competing </w:t>
      </w:r>
      <w:r w:rsidR="0005219D" w:rsidRPr="00A72C58">
        <w:rPr>
          <w:rFonts w:eastAsia="Times New Roman"/>
          <w:lang w:val="en-GB"/>
        </w:rPr>
        <w:t>interest</w:t>
      </w:r>
      <w:r w:rsidR="004F7955">
        <w:rPr>
          <w:rFonts w:eastAsia="Times New Roman"/>
          <w:lang w:val="en-GB"/>
        </w:rPr>
        <w:t>s</w:t>
      </w:r>
      <w:r w:rsidR="00FC01C8">
        <w:rPr>
          <w:rFonts w:eastAsia="Times New Roman"/>
          <w:lang w:val="en-GB"/>
        </w:rPr>
        <w:t xml:space="preserve"> </w:t>
      </w:r>
    </w:p>
    <w:p w14:paraId="58FCC909" w14:textId="77777777" w:rsidR="0005219D" w:rsidRPr="0005219D" w:rsidRDefault="0005219D" w:rsidP="00505856">
      <w:pPr>
        <w:spacing w:line="480" w:lineRule="auto"/>
        <w:contextualSpacing/>
        <w:rPr>
          <w:lang w:val="en-GB"/>
        </w:rPr>
      </w:pPr>
    </w:p>
    <w:p w14:paraId="63628325" w14:textId="4CCDDC18" w:rsidR="001C3F18" w:rsidRPr="00A72C58" w:rsidRDefault="001C3F18" w:rsidP="00505856">
      <w:pPr>
        <w:shd w:val="clear" w:color="auto" w:fill="FFFFFF"/>
        <w:spacing w:line="480" w:lineRule="auto"/>
        <w:jc w:val="both"/>
        <w:rPr>
          <w:rFonts w:asciiTheme="minorHAnsi" w:eastAsia="Times New Roman" w:hAnsiTheme="minorHAnsi" w:cstheme="minorHAnsi"/>
          <w:color w:val="222222"/>
          <w:lang w:val="en-GB" w:eastAsia="en-US"/>
        </w:rPr>
      </w:pPr>
      <w:r w:rsidRPr="00A72C58">
        <w:rPr>
          <w:rFonts w:asciiTheme="minorHAnsi" w:hAnsiTheme="minorHAnsi" w:cstheme="minorHAnsi"/>
          <w:lang w:val="en-GB"/>
        </w:rPr>
        <w:t xml:space="preserve">FAK and DL were supported by the Dutch Thrombosis Foundation. GLG holds the Chair on Diagnosis of Venous Thromboembolism from the Department of Medicine, University of Ottawa. SN holds a Marie Curie Chair in Supportive and Palliative Medicine. We thank </w:t>
      </w:r>
      <w:proofErr w:type="spellStart"/>
      <w:r w:rsidRPr="00A72C58">
        <w:rPr>
          <w:rFonts w:asciiTheme="minorHAnsi" w:hAnsiTheme="minorHAnsi" w:cstheme="minorHAnsi"/>
          <w:lang w:val="en-GB"/>
        </w:rPr>
        <w:t>Vasculearn</w:t>
      </w:r>
      <w:proofErr w:type="spellEnd"/>
      <w:r w:rsidRPr="00A72C58">
        <w:rPr>
          <w:rFonts w:asciiTheme="minorHAnsi" w:hAnsiTheme="minorHAnsi" w:cstheme="minorHAnsi"/>
          <w:lang w:val="en-GB"/>
        </w:rPr>
        <w:t xml:space="preserve"> Network</w:t>
      </w:r>
      <w:r w:rsidR="009252E8">
        <w:rPr>
          <w:rFonts w:asciiTheme="minorHAnsi" w:hAnsiTheme="minorHAnsi" w:cstheme="minorHAnsi"/>
          <w:lang w:val="en-GB"/>
        </w:rPr>
        <w:t xml:space="preserve"> (</w:t>
      </w:r>
      <w:r w:rsidR="008347B8">
        <w:rPr>
          <w:rFonts w:asciiTheme="minorHAnsi" w:hAnsiTheme="minorHAnsi" w:cstheme="minorHAnsi"/>
          <w:lang w:val="en-GB"/>
        </w:rPr>
        <w:t>Wakefield</w:t>
      </w:r>
      <w:r w:rsidR="009252E8" w:rsidRPr="00A72C58">
        <w:rPr>
          <w:rFonts w:asciiTheme="minorHAnsi" w:hAnsiTheme="minorHAnsi" w:cstheme="minorHAnsi"/>
          <w:lang w:val="en-GB"/>
        </w:rPr>
        <w:t xml:space="preserve">, </w:t>
      </w:r>
      <w:r w:rsidR="009252E8">
        <w:rPr>
          <w:rFonts w:asciiTheme="minorHAnsi" w:hAnsiTheme="minorHAnsi" w:cstheme="minorHAnsi"/>
          <w:lang w:val="en-GB"/>
        </w:rPr>
        <w:t>MA, USA)</w:t>
      </w:r>
      <w:r w:rsidRPr="00A72C58">
        <w:rPr>
          <w:rFonts w:asciiTheme="minorHAnsi" w:hAnsiTheme="minorHAnsi" w:cstheme="minorHAnsi"/>
          <w:lang w:val="en-GB"/>
        </w:rPr>
        <w:t xml:space="preserve">, formerly the North American Thrombosis Forum, for their invaluable comments and support during this work. </w:t>
      </w:r>
      <w:r w:rsidRPr="00A72C58">
        <w:rPr>
          <w:rFonts w:asciiTheme="minorHAnsi" w:eastAsia="Times New Roman" w:hAnsiTheme="minorHAnsi" w:cstheme="minorHAnsi"/>
          <w:color w:val="000000"/>
          <w:lang w:val="en-GB" w:eastAsia="en-US"/>
        </w:rPr>
        <w:t xml:space="preserve">This work was supported by corporate sponsorship from Bristol Myers Squibb and its Alliance partner, Pfizer, to </w:t>
      </w:r>
      <w:proofErr w:type="spellStart"/>
      <w:r w:rsidRPr="00A72C58">
        <w:rPr>
          <w:rFonts w:asciiTheme="minorHAnsi" w:eastAsia="Times New Roman" w:hAnsiTheme="minorHAnsi" w:cstheme="minorHAnsi"/>
          <w:color w:val="000000"/>
          <w:lang w:val="en-GB" w:eastAsia="en-US"/>
        </w:rPr>
        <w:t>Vasculearn</w:t>
      </w:r>
      <w:proofErr w:type="spellEnd"/>
      <w:r w:rsidRPr="00A72C58">
        <w:rPr>
          <w:rFonts w:asciiTheme="minorHAnsi" w:eastAsia="Times New Roman" w:hAnsiTheme="minorHAnsi" w:cstheme="minorHAnsi"/>
          <w:color w:val="000000"/>
          <w:lang w:val="en-GB" w:eastAsia="en-US"/>
        </w:rPr>
        <w:t xml:space="preserve"> Network, formerly the North American Thrombosis Forum. The funder of this work had no role in the design, preparation, or writing of the report or subsequent toolkit.</w:t>
      </w:r>
      <w:r w:rsidR="0005219D" w:rsidRPr="0005219D">
        <w:rPr>
          <w:lang w:val="en-GB"/>
        </w:rPr>
        <w:t xml:space="preserve"> </w:t>
      </w:r>
      <w:r w:rsidR="0005219D" w:rsidRPr="00A72C58">
        <w:rPr>
          <w:lang w:val="en-GB"/>
        </w:rPr>
        <w:t>No honoraria were paid to panel members.</w:t>
      </w:r>
    </w:p>
    <w:p w14:paraId="554E092B" w14:textId="5FA651C0" w:rsidR="001C3F18" w:rsidRDefault="001C3F18" w:rsidP="005604A6">
      <w:pPr>
        <w:shd w:val="clear" w:color="auto" w:fill="FFFFFF"/>
        <w:rPr>
          <w:rFonts w:asciiTheme="minorHAnsi" w:eastAsia="Times New Roman" w:hAnsiTheme="minorHAnsi" w:cstheme="minorHAnsi"/>
          <w:color w:val="000000"/>
          <w:lang w:val="en-GB" w:eastAsia="en-US"/>
        </w:rPr>
      </w:pPr>
    </w:p>
    <w:p w14:paraId="7CA2E778" w14:textId="77777777" w:rsidR="00606367" w:rsidRPr="00A72C58" w:rsidRDefault="00606367" w:rsidP="005604A6">
      <w:pPr>
        <w:shd w:val="clear" w:color="auto" w:fill="FFFFFF"/>
        <w:rPr>
          <w:rFonts w:asciiTheme="minorHAnsi" w:hAnsiTheme="minorHAnsi" w:cstheme="minorHAnsi"/>
          <w:b/>
          <w:color w:val="0070C0"/>
          <w:lang w:val="en-GB"/>
        </w:rPr>
      </w:pPr>
    </w:p>
    <w:p w14:paraId="2E2BF169" w14:textId="0E58F2EA" w:rsidR="001C3F18" w:rsidRPr="003D4A65" w:rsidRDefault="003D4A65" w:rsidP="00CE5A37">
      <w:pPr>
        <w:spacing w:line="480" w:lineRule="auto"/>
        <w:contextualSpacing/>
        <w:rPr>
          <w:bCs/>
          <w:color w:val="000000" w:themeColor="text1"/>
          <w:lang w:val="en-GB"/>
        </w:rPr>
      </w:pPr>
      <w:r w:rsidRPr="00505856">
        <w:rPr>
          <w:bCs/>
          <w:color w:val="000000" w:themeColor="text1"/>
          <w:lang w:val="en-GB"/>
        </w:rPr>
        <w:t xml:space="preserve">For more on the </w:t>
      </w:r>
      <w:r w:rsidRPr="00505856">
        <w:rPr>
          <w:b/>
          <w:color w:val="000000" w:themeColor="text1"/>
          <w:lang w:val="en-GB"/>
        </w:rPr>
        <w:t>patient experience</w:t>
      </w:r>
      <w:r w:rsidRPr="00505856">
        <w:rPr>
          <w:bCs/>
          <w:color w:val="000000" w:themeColor="text1"/>
          <w:lang w:val="en-GB"/>
        </w:rPr>
        <w:t xml:space="preserve"> see</w:t>
      </w:r>
      <w:r w:rsidR="00505856">
        <w:rPr>
          <w:bCs/>
          <w:color w:val="000000" w:themeColor="text1"/>
          <w:lang w:val="en-GB"/>
        </w:rPr>
        <w:t>:</w:t>
      </w:r>
    </w:p>
    <w:p w14:paraId="2FA4D750" w14:textId="1E929DDE" w:rsidR="001C3F18" w:rsidRPr="0009522A" w:rsidRDefault="001C3F18" w:rsidP="00443A5D">
      <w:pPr>
        <w:pStyle w:val="EndNoteBibliography"/>
        <w:spacing w:line="480" w:lineRule="auto"/>
        <w:contextualSpacing/>
        <w:rPr>
          <w:i/>
          <w:noProof w:val="0"/>
          <w:lang w:val="nl-NL"/>
        </w:rPr>
      </w:pPr>
      <w:r w:rsidRPr="00A72C58">
        <w:rPr>
          <w:noProof w:val="0"/>
          <w:lang w:val="en-GB"/>
        </w:rPr>
        <w:t>1.</w:t>
      </w:r>
      <w:r w:rsidRPr="00A72C58">
        <w:rPr>
          <w:noProof w:val="0"/>
          <w:lang w:val="en-GB"/>
        </w:rPr>
        <w:tab/>
        <w:t xml:space="preserve">Hunter R, Lewis S, Noble S, Rance J, Bennett PD. "Post-thrombotic panic syndrome": A thematic analysis of the experience of venous thromboembolism. </w:t>
      </w:r>
      <w:r w:rsidR="00443A5D" w:rsidRPr="0009522A">
        <w:rPr>
          <w:i/>
          <w:noProof w:val="0"/>
          <w:lang w:val="nl-NL"/>
        </w:rPr>
        <w:t xml:space="preserve">Br J Health </w:t>
      </w:r>
      <w:proofErr w:type="spellStart"/>
      <w:r w:rsidR="00443A5D" w:rsidRPr="0009522A">
        <w:rPr>
          <w:i/>
          <w:noProof w:val="0"/>
          <w:lang w:val="nl-NL"/>
        </w:rPr>
        <w:t>Psychol</w:t>
      </w:r>
      <w:proofErr w:type="spellEnd"/>
      <w:r w:rsidRPr="0009522A">
        <w:rPr>
          <w:noProof w:val="0"/>
          <w:lang w:val="nl-NL"/>
        </w:rPr>
        <w:t xml:space="preserve"> 2017; </w:t>
      </w:r>
      <w:r w:rsidRPr="0009522A">
        <w:rPr>
          <w:b/>
          <w:noProof w:val="0"/>
          <w:lang w:val="nl-NL"/>
        </w:rPr>
        <w:t>22</w:t>
      </w:r>
      <w:r w:rsidRPr="0009522A">
        <w:rPr>
          <w:b/>
          <w:bCs/>
          <w:noProof w:val="0"/>
          <w:lang w:val="nl-NL"/>
        </w:rPr>
        <w:t>:</w:t>
      </w:r>
      <w:r w:rsidRPr="0009522A">
        <w:rPr>
          <w:noProof w:val="0"/>
          <w:lang w:val="nl-NL"/>
        </w:rPr>
        <w:t xml:space="preserve"> 8</w:t>
      </w:r>
      <w:r w:rsidR="00230C3F" w:rsidRPr="0009522A">
        <w:rPr>
          <w:noProof w:val="0"/>
          <w:lang w:val="nl-NL"/>
        </w:rPr>
        <w:t>–</w:t>
      </w:r>
      <w:r w:rsidRPr="0009522A">
        <w:rPr>
          <w:noProof w:val="0"/>
          <w:lang w:val="nl-NL"/>
        </w:rPr>
        <w:t>25</w:t>
      </w:r>
      <w:r w:rsidR="00F71386" w:rsidRPr="0009522A">
        <w:rPr>
          <w:noProof w:val="0"/>
          <w:lang w:val="nl-NL"/>
        </w:rPr>
        <w:t xml:space="preserve"> </w:t>
      </w:r>
      <w:hyperlink r:id="rId9" w:history="1">
        <w:r w:rsidR="00F71386" w:rsidRPr="0009522A">
          <w:rPr>
            <w:rStyle w:val="Hyperlink"/>
            <w:noProof w:val="0"/>
            <w:lang w:val="nl-NL"/>
          </w:rPr>
          <w:t>https://doi.org/10.1111/bjhp.12213</w:t>
        </w:r>
      </w:hyperlink>
      <w:r w:rsidR="00F71386" w:rsidRPr="0009522A">
        <w:rPr>
          <w:noProof w:val="0"/>
          <w:lang w:val="nl-NL"/>
        </w:rPr>
        <w:t xml:space="preserve"> </w:t>
      </w:r>
    </w:p>
    <w:p w14:paraId="61E4D6A0" w14:textId="5B23EF7B" w:rsidR="001C3F18" w:rsidRPr="0009522A" w:rsidRDefault="001C3F18" w:rsidP="00CE5A37">
      <w:pPr>
        <w:pStyle w:val="EndNoteBibliography"/>
        <w:spacing w:line="480" w:lineRule="auto"/>
        <w:contextualSpacing/>
        <w:rPr>
          <w:noProof w:val="0"/>
          <w:lang w:val="nl-NL"/>
        </w:rPr>
      </w:pPr>
      <w:r w:rsidRPr="0009522A">
        <w:rPr>
          <w:noProof w:val="0"/>
          <w:lang w:val="nl-NL"/>
        </w:rPr>
        <w:t>2.</w:t>
      </w:r>
      <w:r w:rsidRPr="0009522A">
        <w:rPr>
          <w:noProof w:val="0"/>
          <w:lang w:val="nl-NL"/>
        </w:rPr>
        <w:tab/>
        <w:t xml:space="preserve">Klok FA, Ageno W, Ay C, et al. </w:t>
      </w:r>
      <w:r w:rsidRPr="00A72C58">
        <w:rPr>
          <w:noProof w:val="0"/>
          <w:lang w:val="en-GB"/>
        </w:rPr>
        <w:t xml:space="preserve">Optimal follow-up after acute pulmonary embolism: a position paper of the European Society of Cardiology Working Group on Pulmonary Circulation and Right Ventricular Function, in collaboration with the European Society of Cardiology Working Group on Atherosclerosis and Vascular Biology, endorsed by the European Respiratory Society. </w:t>
      </w:r>
      <w:proofErr w:type="spellStart"/>
      <w:r w:rsidR="001445C8" w:rsidRPr="0009522A">
        <w:rPr>
          <w:i/>
          <w:noProof w:val="0"/>
          <w:lang w:val="nl-NL"/>
        </w:rPr>
        <w:t>Eur</w:t>
      </w:r>
      <w:proofErr w:type="spellEnd"/>
      <w:r w:rsidR="001445C8" w:rsidRPr="0009522A">
        <w:rPr>
          <w:i/>
          <w:noProof w:val="0"/>
          <w:lang w:val="nl-NL"/>
        </w:rPr>
        <w:t xml:space="preserve"> </w:t>
      </w:r>
      <w:proofErr w:type="spellStart"/>
      <w:r w:rsidR="001445C8" w:rsidRPr="0009522A">
        <w:rPr>
          <w:i/>
          <w:noProof w:val="0"/>
          <w:lang w:val="nl-NL"/>
        </w:rPr>
        <w:t>Heart</w:t>
      </w:r>
      <w:proofErr w:type="spellEnd"/>
      <w:r w:rsidR="001445C8" w:rsidRPr="0009522A">
        <w:rPr>
          <w:i/>
          <w:noProof w:val="0"/>
          <w:lang w:val="nl-NL"/>
        </w:rPr>
        <w:t xml:space="preserve"> J</w:t>
      </w:r>
      <w:r w:rsidRPr="0009522A">
        <w:rPr>
          <w:noProof w:val="0"/>
          <w:lang w:val="nl-NL"/>
        </w:rPr>
        <w:t xml:space="preserve"> 2022; </w:t>
      </w:r>
      <w:r w:rsidRPr="0009522A">
        <w:rPr>
          <w:b/>
          <w:noProof w:val="0"/>
          <w:lang w:val="nl-NL"/>
        </w:rPr>
        <w:t>43</w:t>
      </w:r>
      <w:r w:rsidRPr="0009522A">
        <w:rPr>
          <w:b/>
          <w:bCs/>
          <w:noProof w:val="0"/>
          <w:lang w:val="nl-NL"/>
        </w:rPr>
        <w:t>:</w:t>
      </w:r>
      <w:r w:rsidRPr="0009522A">
        <w:rPr>
          <w:noProof w:val="0"/>
          <w:lang w:val="nl-NL"/>
        </w:rPr>
        <w:t xml:space="preserve"> 183</w:t>
      </w:r>
      <w:r w:rsidR="001445C8" w:rsidRPr="0009522A">
        <w:rPr>
          <w:noProof w:val="0"/>
          <w:lang w:val="nl-NL"/>
        </w:rPr>
        <w:t>–8</w:t>
      </w:r>
      <w:r w:rsidRPr="0009522A">
        <w:rPr>
          <w:noProof w:val="0"/>
          <w:lang w:val="nl-NL"/>
        </w:rPr>
        <w:t>9</w:t>
      </w:r>
      <w:r w:rsidR="00F71386" w:rsidRPr="0009522A">
        <w:rPr>
          <w:noProof w:val="0"/>
          <w:lang w:val="nl-NL"/>
        </w:rPr>
        <w:t xml:space="preserve"> </w:t>
      </w:r>
      <w:hyperlink r:id="rId10" w:history="1">
        <w:r w:rsidR="00F71386" w:rsidRPr="0009522A">
          <w:rPr>
            <w:rStyle w:val="Hyperlink"/>
            <w:noProof w:val="0"/>
            <w:lang w:val="nl-NL"/>
          </w:rPr>
          <w:t>https://doi.org/10.1093/eurheartj/ehab816</w:t>
        </w:r>
      </w:hyperlink>
      <w:r w:rsidR="00F71386" w:rsidRPr="0009522A">
        <w:rPr>
          <w:noProof w:val="0"/>
          <w:lang w:val="nl-NL"/>
        </w:rPr>
        <w:t xml:space="preserve"> </w:t>
      </w:r>
    </w:p>
    <w:p w14:paraId="230AABAB" w14:textId="244F5A34" w:rsidR="001C3F18" w:rsidRPr="00A72C58" w:rsidRDefault="001C3F18" w:rsidP="00CE5A37">
      <w:pPr>
        <w:pStyle w:val="EndNoteBibliography"/>
        <w:spacing w:line="480" w:lineRule="auto"/>
        <w:contextualSpacing/>
        <w:rPr>
          <w:noProof w:val="0"/>
          <w:lang w:val="en-GB"/>
        </w:rPr>
      </w:pPr>
      <w:r w:rsidRPr="0009522A">
        <w:rPr>
          <w:noProof w:val="0"/>
          <w:lang w:val="nl-NL"/>
        </w:rPr>
        <w:t>3.</w:t>
      </w:r>
      <w:r w:rsidRPr="0009522A">
        <w:rPr>
          <w:noProof w:val="0"/>
          <w:lang w:val="nl-NL"/>
        </w:rPr>
        <w:tab/>
        <w:t xml:space="preserve">Huisman MV, Barco S, Cannegieter SC, et al. </w:t>
      </w:r>
      <w:r w:rsidRPr="00A72C58">
        <w:rPr>
          <w:noProof w:val="0"/>
          <w:lang w:val="en-GB"/>
        </w:rPr>
        <w:t xml:space="preserve">Pulmonary embolism. </w:t>
      </w:r>
      <w:r w:rsidR="003A37BE" w:rsidRPr="003A37BE">
        <w:rPr>
          <w:i/>
          <w:noProof w:val="0"/>
          <w:lang w:val="en-GB"/>
        </w:rPr>
        <w:t>Nat Rev Dis Primers</w:t>
      </w:r>
      <w:r w:rsidRPr="00A72C58">
        <w:rPr>
          <w:noProof w:val="0"/>
          <w:lang w:val="en-GB"/>
        </w:rPr>
        <w:t xml:space="preserve"> 2018; </w:t>
      </w:r>
      <w:r w:rsidRPr="00A72C58">
        <w:rPr>
          <w:b/>
          <w:noProof w:val="0"/>
          <w:lang w:val="en-GB"/>
        </w:rPr>
        <w:t>4</w:t>
      </w:r>
      <w:r w:rsidRPr="00A72C58">
        <w:rPr>
          <w:noProof w:val="0"/>
          <w:lang w:val="en-GB"/>
        </w:rPr>
        <w:t>: 18028</w:t>
      </w:r>
      <w:r w:rsidR="00F71386">
        <w:rPr>
          <w:noProof w:val="0"/>
          <w:lang w:val="en-GB"/>
        </w:rPr>
        <w:t xml:space="preserve"> </w:t>
      </w:r>
      <w:hyperlink r:id="rId11" w:history="1">
        <w:r w:rsidR="00F71386" w:rsidRPr="0002036E">
          <w:rPr>
            <w:rStyle w:val="Hyperlink"/>
            <w:noProof w:val="0"/>
            <w:lang w:val="en-GB"/>
          </w:rPr>
          <w:t>https://doi.org/10.1038/nrdp.2018.28</w:t>
        </w:r>
      </w:hyperlink>
      <w:r w:rsidR="00F71386">
        <w:rPr>
          <w:noProof w:val="0"/>
          <w:lang w:val="en-GB"/>
        </w:rPr>
        <w:t xml:space="preserve"> </w:t>
      </w:r>
    </w:p>
    <w:p w14:paraId="6B68760B" w14:textId="4A367836" w:rsidR="001C3F18" w:rsidRPr="00A72C58" w:rsidRDefault="001C3F18" w:rsidP="00CE5A37">
      <w:pPr>
        <w:pStyle w:val="EndNoteBibliography"/>
        <w:spacing w:line="480" w:lineRule="auto"/>
        <w:contextualSpacing/>
        <w:rPr>
          <w:noProof w:val="0"/>
          <w:lang w:val="en-GB"/>
        </w:rPr>
      </w:pPr>
      <w:r w:rsidRPr="00A72C58">
        <w:rPr>
          <w:noProof w:val="0"/>
          <w:lang w:val="en-GB"/>
        </w:rPr>
        <w:t>4.</w:t>
      </w:r>
      <w:r w:rsidRPr="00A72C58">
        <w:rPr>
          <w:noProof w:val="0"/>
          <w:lang w:val="en-GB"/>
        </w:rPr>
        <w:tab/>
        <w:t xml:space="preserve">Webb D, Kim K, Tak CR, Witt DM, Feehan M, Munger MA. Patient Satisfaction </w:t>
      </w:r>
      <w:proofErr w:type="gramStart"/>
      <w:r w:rsidRPr="00A72C58">
        <w:rPr>
          <w:noProof w:val="0"/>
          <w:lang w:val="en-GB"/>
        </w:rPr>
        <w:t>With</w:t>
      </w:r>
      <w:proofErr w:type="gramEnd"/>
      <w:r w:rsidRPr="00A72C58">
        <w:rPr>
          <w:noProof w:val="0"/>
          <w:lang w:val="en-GB"/>
        </w:rPr>
        <w:t xml:space="preserve"> Venous Thromboembolism Treatment. </w:t>
      </w:r>
      <w:r w:rsidRPr="00A72C58">
        <w:rPr>
          <w:i/>
          <w:noProof w:val="0"/>
          <w:lang w:val="en-GB"/>
        </w:rPr>
        <w:t xml:space="preserve">Clin </w:t>
      </w:r>
      <w:proofErr w:type="spellStart"/>
      <w:r w:rsidRPr="00A72C58">
        <w:rPr>
          <w:i/>
          <w:noProof w:val="0"/>
          <w:lang w:val="en-GB"/>
        </w:rPr>
        <w:t>Appl</w:t>
      </w:r>
      <w:proofErr w:type="spellEnd"/>
      <w:r w:rsidRPr="00A72C58">
        <w:rPr>
          <w:i/>
          <w:noProof w:val="0"/>
          <w:lang w:val="en-GB"/>
        </w:rPr>
        <w:t xml:space="preserve"> </w:t>
      </w:r>
      <w:proofErr w:type="spellStart"/>
      <w:r w:rsidRPr="00A72C58">
        <w:rPr>
          <w:i/>
          <w:noProof w:val="0"/>
          <w:lang w:val="en-GB"/>
        </w:rPr>
        <w:t>Thromb</w:t>
      </w:r>
      <w:proofErr w:type="spellEnd"/>
      <w:r w:rsidRPr="00A72C58">
        <w:rPr>
          <w:i/>
          <w:noProof w:val="0"/>
          <w:lang w:val="en-GB"/>
        </w:rPr>
        <w:t xml:space="preserve"> </w:t>
      </w:r>
      <w:proofErr w:type="spellStart"/>
      <w:r w:rsidRPr="00A72C58">
        <w:rPr>
          <w:i/>
          <w:noProof w:val="0"/>
          <w:lang w:val="en-GB"/>
        </w:rPr>
        <w:t>Hemost</w:t>
      </w:r>
      <w:proofErr w:type="spellEnd"/>
      <w:r w:rsidRPr="00A72C58">
        <w:rPr>
          <w:noProof w:val="0"/>
          <w:lang w:val="en-GB"/>
        </w:rPr>
        <w:t xml:space="preserve"> 2019; </w:t>
      </w:r>
      <w:r w:rsidRPr="00A72C58">
        <w:rPr>
          <w:b/>
          <w:noProof w:val="0"/>
          <w:lang w:val="en-GB"/>
        </w:rPr>
        <w:t>25</w:t>
      </w:r>
      <w:r w:rsidRPr="00A72C58">
        <w:rPr>
          <w:noProof w:val="0"/>
          <w:lang w:val="en-GB"/>
        </w:rPr>
        <w:t>: 1076029619864663.</w:t>
      </w:r>
      <w:r w:rsidR="00F71386">
        <w:rPr>
          <w:noProof w:val="0"/>
          <w:lang w:val="en-GB"/>
        </w:rPr>
        <w:t xml:space="preserve"> </w:t>
      </w:r>
      <w:hyperlink r:id="rId12" w:history="1">
        <w:r w:rsidR="00F71386" w:rsidRPr="0002036E">
          <w:rPr>
            <w:rStyle w:val="Hyperlink"/>
            <w:noProof w:val="0"/>
            <w:lang w:val="en-GB"/>
          </w:rPr>
          <w:t>https://doi.org/10.1177/1076029619864663</w:t>
        </w:r>
      </w:hyperlink>
      <w:r w:rsidR="00F71386">
        <w:rPr>
          <w:noProof w:val="0"/>
          <w:lang w:val="en-GB"/>
        </w:rPr>
        <w:t xml:space="preserve"> </w:t>
      </w:r>
    </w:p>
    <w:p w14:paraId="2185634F" w14:textId="200DA3E4" w:rsidR="001C3F18" w:rsidRPr="00A72C58" w:rsidRDefault="001C3F18" w:rsidP="00CE5A37">
      <w:pPr>
        <w:pStyle w:val="EndNoteBibliography"/>
        <w:spacing w:line="480" w:lineRule="auto"/>
        <w:contextualSpacing/>
        <w:rPr>
          <w:noProof w:val="0"/>
          <w:lang w:val="en-GB"/>
        </w:rPr>
      </w:pPr>
      <w:r w:rsidRPr="00A72C58">
        <w:rPr>
          <w:noProof w:val="0"/>
          <w:lang w:val="en-GB"/>
        </w:rPr>
        <w:lastRenderedPageBreak/>
        <w:t>5.</w:t>
      </w:r>
      <w:r w:rsidRPr="00A72C58">
        <w:rPr>
          <w:noProof w:val="0"/>
          <w:lang w:val="en-GB"/>
        </w:rPr>
        <w:tab/>
      </w:r>
      <w:proofErr w:type="spellStart"/>
      <w:r w:rsidRPr="00A72C58">
        <w:rPr>
          <w:noProof w:val="0"/>
          <w:lang w:val="en-GB"/>
        </w:rPr>
        <w:t>Genge</w:t>
      </w:r>
      <w:proofErr w:type="spellEnd"/>
      <w:r w:rsidRPr="00A72C58">
        <w:rPr>
          <w:noProof w:val="0"/>
          <w:lang w:val="en-GB"/>
        </w:rPr>
        <w:t xml:space="preserve"> L, </w:t>
      </w:r>
      <w:proofErr w:type="spellStart"/>
      <w:r w:rsidRPr="00A72C58">
        <w:rPr>
          <w:noProof w:val="0"/>
          <w:lang w:val="en-GB"/>
        </w:rPr>
        <w:t>Krala</w:t>
      </w:r>
      <w:proofErr w:type="spellEnd"/>
      <w:r w:rsidRPr="00A72C58">
        <w:rPr>
          <w:noProof w:val="0"/>
          <w:lang w:val="en-GB"/>
        </w:rPr>
        <w:t xml:space="preserve"> A, Tritschler T, et al. Evaluation of patients' experience and related qualitative outcomes in venous thromboembolism: A scoping review. </w:t>
      </w:r>
      <w:r w:rsidR="00F72BDB" w:rsidRPr="00F72BDB">
        <w:rPr>
          <w:i/>
          <w:noProof w:val="0"/>
          <w:lang w:val="en-GB"/>
        </w:rPr>
        <w:t xml:space="preserve">J </w:t>
      </w:r>
      <w:proofErr w:type="spellStart"/>
      <w:r w:rsidR="00F72BDB" w:rsidRPr="00F72BDB">
        <w:rPr>
          <w:i/>
          <w:noProof w:val="0"/>
          <w:lang w:val="en-GB"/>
        </w:rPr>
        <w:t>Thromb</w:t>
      </w:r>
      <w:proofErr w:type="spellEnd"/>
      <w:r w:rsidR="00F72BDB" w:rsidRPr="00F72BDB">
        <w:rPr>
          <w:i/>
          <w:noProof w:val="0"/>
          <w:lang w:val="en-GB"/>
        </w:rPr>
        <w:t xml:space="preserve"> </w:t>
      </w:r>
      <w:proofErr w:type="spellStart"/>
      <w:r w:rsidR="00F72BDB" w:rsidRPr="00F72BDB">
        <w:rPr>
          <w:i/>
          <w:noProof w:val="0"/>
          <w:lang w:val="en-GB"/>
        </w:rPr>
        <w:t>Haemost</w:t>
      </w:r>
      <w:proofErr w:type="spellEnd"/>
      <w:r w:rsidRPr="00A72C58">
        <w:rPr>
          <w:noProof w:val="0"/>
          <w:lang w:val="en-GB"/>
        </w:rPr>
        <w:t xml:space="preserve"> 2022; </w:t>
      </w:r>
      <w:r w:rsidRPr="00A72C58">
        <w:rPr>
          <w:b/>
          <w:noProof w:val="0"/>
          <w:lang w:val="en-GB"/>
        </w:rPr>
        <w:t>20</w:t>
      </w:r>
      <w:r w:rsidRPr="00F72BDB">
        <w:rPr>
          <w:b/>
          <w:bCs/>
          <w:noProof w:val="0"/>
          <w:lang w:val="en-GB"/>
        </w:rPr>
        <w:t>:</w:t>
      </w:r>
      <w:r w:rsidRPr="00A72C58">
        <w:rPr>
          <w:noProof w:val="0"/>
          <w:lang w:val="en-GB"/>
        </w:rPr>
        <w:t xml:space="preserve"> 2323</w:t>
      </w:r>
      <w:r w:rsidR="00F72BDB">
        <w:rPr>
          <w:noProof w:val="0"/>
          <w:lang w:val="en-GB"/>
        </w:rPr>
        <w:t>–</w:t>
      </w:r>
      <w:r w:rsidRPr="00A72C58">
        <w:rPr>
          <w:noProof w:val="0"/>
          <w:lang w:val="en-GB"/>
        </w:rPr>
        <w:t>41</w:t>
      </w:r>
      <w:r w:rsidR="00F71386">
        <w:rPr>
          <w:noProof w:val="0"/>
          <w:lang w:val="en-GB"/>
        </w:rPr>
        <w:t xml:space="preserve"> </w:t>
      </w:r>
      <w:hyperlink r:id="rId13" w:history="1">
        <w:r w:rsidR="00F71386" w:rsidRPr="0002036E">
          <w:rPr>
            <w:rStyle w:val="Hyperlink"/>
            <w:noProof w:val="0"/>
            <w:lang w:val="en-GB"/>
          </w:rPr>
          <w:t>https://doi.org/10.1111/jth.15788</w:t>
        </w:r>
      </w:hyperlink>
      <w:r w:rsidR="00F71386">
        <w:rPr>
          <w:noProof w:val="0"/>
          <w:lang w:val="en-GB"/>
        </w:rPr>
        <w:t xml:space="preserve"> </w:t>
      </w:r>
    </w:p>
    <w:p w14:paraId="05E1871F" w14:textId="0D64E847" w:rsidR="002D606A" w:rsidRDefault="002D606A" w:rsidP="002D606A">
      <w:pPr>
        <w:pStyle w:val="EndNoteBibliography"/>
        <w:spacing w:line="480" w:lineRule="auto"/>
        <w:contextualSpacing/>
        <w:rPr>
          <w:noProof w:val="0"/>
          <w:lang w:val="en-GB"/>
        </w:rPr>
      </w:pPr>
      <w:r>
        <w:rPr>
          <w:noProof w:val="0"/>
          <w:lang w:val="en-GB"/>
        </w:rPr>
        <w:t xml:space="preserve">For more </w:t>
      </w:r>
      <w:r w:rsidRPr="008721FC">
        <w:rPr>
          <w:noProof w:val="0"/>
          <w:lang w:val="en-GB"/>
        </w:rPr>
        <w:t xml:space="preserve">on </w:t>
      </w:r>
      <w:r w:rsidRPr="008721FC">
        <w:rPr>
          <w:b/>
          <w:bCs/>
          <w:noProof w:val="0"/>
          <w:lang w:val="en-GB"/>
        </w:rPr>
        <w:t xml:space="preserve">pitfalls in the communication of </w:t>
      </w:r>
      <w:r w:rsidR="0043746C" w:rsidRPr="008721FC">
        <w:rPr>
          <w:b/>
          <w:bCs/>
          <w:noProof w:val="0"/>
          <w:lang w:val="en-GB"/>
        </w:rPr>
        <w:t>health-care professional</w:t>
      </w:r>
      <w:r w:rsidRPr="008721FC">
        <w:rPr>
          <w:b/>
          <w:bCs/>
          <w:noProof w:val="0"/>
          <w:lang w:val="en-GB"/>
        </w:rPr>
        <w:t>s with patients</w:t>
      </w:r>
      <w:r w:rsidRPr="008721FC">
        <w:rPr>
          <w:noProof w:val="0"/>
          <w:lang w:val="en-GB"/>
        </w:rPr>
        <w:t xml:space="preserve"> see</w:t>
      </w:r>
      <w:r w:rsidR="008721FC">
        <w:rPr>
          <w:noProof w:val="0"/>
          <w:lang w:val="en-GB"/>
        </w:rPr>
        <w:t>:</w:t>
      </w:r>
    </w:p>
    <w:p w14:paraId="153F82FA" w14:textId="1D15C100" w:rsidR="001C3F18" w:rsidRPr="00A72C58" w:rsidRDefault="001C3F18" w:rsidP="00CE5A37">
      <w:pPr>
        <w:pStyle w:val="EndNoteBibliography"/>
        <w:spacing w:line="480" w:lineRule="auto"/>
        <w:contextualSpacing/>
        <w:rPr>
          <w:noProof w:val="0"/>
          <w:lang w:val="en-GB"/>
        </w:rPr>
      </w:pPr>
      <w:r w:rsidRPr="00A72C58">
        <w:rPr>
          <w:noProof w:val="0"/>
          <w:lang w:val="en-GB"/>
        </w:rPr>
        <w:t>6.</w:t>
      </w:r>
      <w:r w:rsidRPr="00A72C58">
        <w:rPr>
          <w:noProof w:val="0"/>
          <w:lang w:val="en-GB"/>
        </w:rPr>
        <w:tab/>
        <w:t xml:space="preserve">Hernandez-Nino J, Thomas M, Alexander AB, Ott MA, Kline JA. Communication at diagnosis of venous thromboembolism: Lasting impact of verbal and nonverbal provider communication on patients. </w:t>
      </w:r>
      <w:r w:rsidR="00F71386" w:rsidRPr="00F71386">
        <w:rPr>
          <w:i/>
          <w:noProof w:val="0"/>
          <w:lang w:val="en-GB"/>
        </w:rPr>
        <w:t xml:space="preserve">Res </w:t>
      </w:r>
      <w:proofErr w:type="spellStart"/>
      <w:r w:rsidR="00F71386" w:rsidRPr="00F71386">
        <w:rPr>
          <w:i/>
          <w:noProof w:val="0"/>
          <w:lang w:val="en-GB"/>
        </w:rPr>
        <w:t>Pract</w:t>
      </w:r>
      <w:proofErr w:type="spellEnd"/>
      <w:r w:rsidR="00F71386" w:rsidRPr="00F71386">
        <w:rPr>
          <w:i/>
          <w:noProof w:val="0"/>
          <w:lang w:val="en-GB"/>
        </w:rPr>
        <w:t xml:space="preserve"> </w:t>
      </w:r>
      <w:proofErr w:type="spellStart"/>
      <w:r w:rsidR="00F71386" w:rsidRPr="00F71386">
        <w:rPr>
          <w:i/>
          <w:noProof w:val="0"/>
          <w:lang w:val="en-GB"/>
        </w:rPr>
        <w:t>Thromb</w:t>
      </w:r>
      <w:proofErr w:type="spellEnd"/>
      <w:r w:rsidR="00F71386" w:rsidRPr="00F71386">
        <w:rPr>
          <w:i/>
          <w:noProof w:val="0"/>
          <w:lang w:val="en-GB"/>
        </w:rPr>
        <w:t xml:space="preserve"> </w:t>
      </w:r>
      <w:proofErr w:type="spellStart"/>
      <w:r w:rsidR="00F71386" w:rsidRPr="00F71386">
        <w:rPr>
          <w:i/>
          <w:noProof w:val="0"/>
          <w:lang w:val="en-GB"/>
        </w:rPr>
        <w:t>Haemost</w:t>
      </w:r>
      <w:proofErr w:type="spellEnd"/>
      <w:r w:rsidR="00F71386" w:rsidRPr="00F71386">
        <w:rPr>
          <w:i/>
          <w:noProof w:val="0"/>
          <w:lang w:val="en-GB"/>
        </w:rPr>
        <w:t xml:space="preserve"> </w:t>
      </w:r>
      <w:r w:rsidRPr="00A72C58">
        <w:rPr>
          <w:noProof w:val="0"/>
          <w:lang w:val="en-GB"/>
        </w:rPr>
        <w:t xml:space="preserve">2022; </w:t>
      </w:r>
      <w:r w:rsidRPr="00A72C58">
        <w:rPr>
          <w:b/>
          <w:noProof w:val="0"/>
          <w:lang w:val="en-GB"/>
        </w:rPr>
        <w:t>6</w:t>
      </w:r>
      <w:r w:rsidRPr="004C76FE">
        <w:rPr>
          <w:b/>
          <w:bCs/>
          <w:noProof w:val="0"/>
          <w:lang w:val="en-GB"/>
        </w:rPr>
        <w:t>:</w:t>
      </w:r>
      <w:r w:rsidRPr="00A72C58">
        <w:rPr>
          <w:noProof w:val="0"/>
          <w:lang w:val="en-GB"/>
        </w:rPr>
        <w:t xml:space="preserve"> e12647</w:t>
      </w:r>
      <w:r w:rsidR="00F71386">
        <w:rPr>
          <w:noProof w:val="0"/>
          <w:lang w:val="en-GB"/>
        </w:rPr>
        <w:t xml:space="preserve"> </w:t>
      </w:r>
      <w:hyperlink r:id="rId14" w:history="1">
        <w:r w:rsidR="00F71386" w:rsidRPr="0002036E">
          <w:rPr>
            <w:rStyle w:val="Hyperlink"/>
            <w:noProof w:val="0"/>
            <w:lang w:val="en-GB"/>
          </w:rPr>
          <w:t>https://doi.org/10.1002/rth2.12647</w:t>
        </w:r>
      </w:hyperlink>
      <w:r w:rsidR="00F71386">
        <w:rPr>
          <w:noProof w:val="0"/>
          <w:lang w:val="en-GB"/>
        </w:rPr>
        <w:t xml:space="preserve"> </w:t>
      </w:r>
    </w:p>
    <w:p w14:paraId="409069EA" w14:textId="6618D56D" w:rsidR="001C3F18" w:rsidRPr="00A72C58" w:rsidRDefault="001C3F18" w:rsidP="00CE5A37">
      <w:pPr>
        <w:pStyle w:val="EndNoteBibliography"/>
        <w:spacing w:line="480" w:lineRule="auto"/>
        <w:contextualSpacing/>
        <w:rPr>
          <w:noProof w:val="0"/>
          <w:lang w:val="en-GB"/>
        </w:rPr>
      </w:pPr>
      <w:r w:rsidRPr="00A72C58">
        <w:rPr>
          <w:noProof w:val="0"/>
          <w:lang w:val="en-GB"/>
        </w:rPr>
        <w:t>7.</w:t>
      </w:r>
      <w:r w:rsidRPr="00A72C58">
        <w:rPr>
          <w:noProof w:val="0"/>
          <w:lang w:val="en-GB"/>
        </w:rPr>
        <w:tab/>
        <w:t xml:space="preserve">de Wit K. Do physicians contribute to psychological distress after venous thrombosis? </w:t>
      </w:r>
      <w:r w:rsidR="002276F6" w:rsidRPr="002276F6">
        <w:rPr>
          <w:i/>
          <w:noProof w:val="0"/>
          <w:lang w:val="en-GB"/>
        </w:rPr>
        <w:t xml:space="preserve">Res </w:t>
      </w:r>
      <w:proofErr w:type="spellStart"/>
      <w:r w:rsidR="002276F6" w:rsidRPr="002276F6">
        <w:rPr>
          <w:i/>
          <w:noProof w:val="0"/>
          <w:lang w:val="en-GB"/>
        </w:rPr>
        <w:t>Pract</w:t>
      </w:r>
      <w:proofErr w:type="spellEnd"/>
      <w:r w:rsidR="002276F6" w:rsidRPr="002276F6">
        <w:rPr>
          <w:i/>
          <w:noProof w:val="0"/>
          <w:lang w:val="en-GB"/>
        </w:rPr>
        <w:t xml:space="preserve"> </w:t>
      </w:r>
      <w:proofErr w:type="spellStart"/>
      <w:r w:rsidR="002276F6" w:rsidRPr="002276F6">
        <w:rPr>
          <w:i/>
          <w:noProof w:val="0"/>
          <w:lang w:val="en-GB"/>
        </w:rPr>
        <w:t>Thromb</w:t>
      </w:r>
      <w:proofErr w:type="spellEnd"/>
      <w:r w:rsidR="002276F6" w:rsidRPr="002276F6">
        <w:rPr>
          <w:i/>
          <w:noProof w:val="0"/>
          <w:lang w:val="en-GB"/>
        </w:rPr>
        <w:t xml:space="preserve"> </w:t>
      </w:r>
      <w:proofErr w:type="spellStart"/>
      <w:r w:rsidR="002276F6" w:rsidRPr="002276F6">
        <w:rPr>
          <w:i/>
          <w:noProof w:val="0"/>
          <w:lang w:val="en-GB"/>
        </w:rPr>
        <w:t>Haemost</w:t>
      </w:r>
      <w:proofErr w:type="spellEnd"/>
      <w:r w:rsidR="002276F6" w:rsidRPr="002276F6">
        <w:rPr>
          <w:i/>
          <w:noProof w:val="0"/>
          <w:lang w:val="en-GB"/>
        </w:rPr>
        <w:t xml:space="preserve"> </w:t>
      </w:r>
      <w:r w:rsidRPr="00A72C58">
        <w:rPr>
          <w:noProof w:val="0"/>
          <w:lang w:val="en-GB"/>
        </w:rPr>
        <w:t xml:space="preserve">2022; </w:t>
      </w:r>
      <w:r w:rsidRPr="00A72C58">
        <w:rPr>
          <w:b/>
          <w:noProof w:val="0"/>
          <w:lang w:val="en-GB"/>
        </w:rPr>
        <w:t>6</w:t>
      </w:r>
      <w:r w:rsidRPr="00813380">
        <w:rPr>
          <w:b/>
          <w:bCs/>
          <w:noProof w:val="0"/>
          <w:lang w:val="en-GB"/>
        </w:rPr>
        <w:t>:</w:t>
      </w:r>
      <w:r w:rsidRPr="00A72C58">
        <w:rPr>
          <w:noProof w:val="0"/>
          <w:lang w:val="en-GB"/>
        </w:rPr>
        <w:t xml:space="preserve"> e12651</w:t>
      </w:r>
      <w:r w:rsidR="002276F6">
        <w:rPr>
          <w:noProof w:val="0"/>
          <w:lang w:val="en-GB"/>
        </w:rPr>
        <w:t xml:space="preserve"> </w:t>
      </w:r>
      <w:hyperlink r:id="rId15" w:history="1">
        <w:r w:rsidR="002276F6" w:rsidRPr="0002036E">
          <w:rPr>
            <w:rStyle w:val="Hyperlink"/>
            <w:noProof w:val="0"/>
            <w:lang w:val="en-GB"/>
          </w:rPr>
          <w:t>https://doi.org/10.1002/rth2.12651</w:t>
        </w:r>
      </w:hyperlink>
      <w:r w:rsidR="002276F6">
        <w:rPr>
          <w:noProof w:val="0"/>
          <w:lang w:val="en-GB"/>
        </w:rPr>
        <w:t xml:space="preserve"> </w:t>
      </w:r>
    </w:p>
    <w:p w14:paraId="1A91993A" w14:textId="77777777" w:rsidR="005C1C5C" w:rsidRDefault="005C1C5C" w:rsidP="00CE5A37">
      <w:pPr>
        <w:pStyle w:val="EndNoteBibliography"/>
        <w:spacing w:line="480" w:lineRule="auto"/>
        <w:contextualSpacing/>
        <w:rPr>
          <w:noProof w:val="0"/>
          <w:lang w:val="en-GB"/>
        </w:rPr>
      </w:pPr>
    </w:p>
    <w:p w14:paraId="1BC5CC5E" w14:textId="264873F3" w:rsidR="005C1C5C" w:rsidRDefault="005C1C5C" w:rsidP="00CE5A37">
      <w:pPr>
        <w:pStyle w:val="EndNoteBibliography"/>
        <w:spacing w:line="480" w:lineRule="auto"/>
        <w:contextualSpacing/>
        <w:rPr>
          <w:noProof w:val="0"/>
          <w:lang w:val="en-GB"/>
        </w:rPr>
      </w:pPr>
      <w:r w:rsidRPr="008721FC">
        <w:rPr>
          <w:noProof w:val="0"/>
          <w:lang w:val="en-GB"/>
        </w:rPr>
        <w:t xml:space="preserve">For more on </w:t>
      </w:r>
      <w:r w:rsidRPr="008721FC">
        <w:rPr>
          <w:b/>
          <w:bCs/>
          <w:noProof w:val="0"/>
          <w:lang w:val="en-GB"/>
        </w:rPr>
        <w:t>patient journey mapping</w:t>
      </w:r>
      <w:r w:rsidRPr="008721FC">
        <w:rPr>
          <w:noProof w:val="0"/>
          <w:lang w:val="en-GB"/>
        </w:rPr>
        <w:t xml:space="preserve"> see</w:t>
      </w:r>
      <w:r w:rsidR="008721FC" w:rsidRPr="008721FC">
        <w:rPr>
          <w:noProof w:val="0"/>
          <w:lang w:val="en-GB"/>
        </w:rPr>
        <w:t>:</w:t>
      </w:r>
    </w:p>
    <w:p w14:paraId="7F3C1F94" w14:textId="07B4FAA6" w:rsidR="001C3F18" w:rsidRPr="00A72C58" w:rsidRDefault="00826476" w:rsidP="00CE5A37">
      <w:pPr>
        <w:pStyle w:val="EndNoteBibliography"/>
        <w:spacing w:line="480" w:lineRule="auto"/>
        <w:contextualSpacing/>
        <w:rPr>
          <w:noProof w:val="0"/>
          <w:lang w:val="en-GB"/>
        </w:rPr>
      </w:pPr>
      <w:r w:rsidRPr="0009522A">
        <w:rPr>
          <w:noProof w:val="0"/>
          <w:lang w:val="nl-NL"/>
        </w:rPr>
        <w:t xml:space="preserve">8. </w:t>
      </w:r>
      <w:proofErr w:type="spellStart"/>
      <w:r w:rsidR="001C3F18" w:rsidRPr="0009522A">
        <w:rPr>
          <w:noProof w:val="0"/>
          <w:lang w:val="nl-NL"/>
        </w:rPr>
        <w:t>Bulto</w:t>
      </w:r>
      <w:proofErr w:type="spellEnd"/>
      <w:r w:rsidR="001C3F18" w:rsidRPr="0009522A">
        <w:rPr>
          <w:noProof w:val="0"/>
          <w:lang w:val="nl-NL"/>
        </w:rPr>
        <w:t xml:space="preserve"> LN, Davies E, Kelly J, Hendriks JM. </w:t>
      </w:r>
      <w:r w:rsidR="001C3F18" w:rsidRPr="00A72C58">
        <w:rPr>
          <w:noProof w:val="0"/>
          <w:lang w:val="en-GB"/>
        </w:rPr>
        <w:t xml:space="preserve">Patient journey mapping: emerging methods for understanding and improving patient experiences of health systems and services. </w:t>
      </w:r>
      <w:proofErr w:type="spellStart"/>
      <w:r w:rsidR="001C3F18" w:rsidRPr="00A72C58">
        <w:rPr>
          <w:i/>
          <w:noProof w:val="0"/>
          <w:lang w:val="en-GB"/>
        </w:rPr>
        <w:t>Eur</w:t>
      </w:r>
      <w:proofErr w:type="spellEnd"/>
      <w:r w:rsidR="001C3F18" w:rsidRPr="00A72C58">
        <w:rPr>
          <w:i/>
          <w:noProof w:val="0"/>
          <w:lang w:val="en-GB"/>
        </w:rPr>
        <w:t xml:space="preserve"> J Cardiovasc </w:t>
      </w:r>
      <w:proofErr w:type="spellStart"/>
      <w:r w:rsidR="001C3F18" w:rsidRPr="00A72C58">
        <w:rPr>
          <w:i/>
          <w:noProof w:val="0"/>
          <w:lang w:val="en-GB"/>
        </w:rPr>
        <w:t>Nurs</w:t>
      </w:r>
      <w:proofErr w:type="spellEnd"/>
      <w:r w:rsidR="001C3F18" w:rsidRPr="00A72C58">
        <w:rPr>
          <w:noProof w:val="0"/>
          <w:lang w:val="en-GB"/>
        </w:rPr>
        <w:t xml:space="preserve"> 2024; </w:t>
      </w:r>
      <w:r w:rsidR="001C3F18" w:rsidRPr="00A72C58">
        <w:rPr>
          <w:b/>
          <w:noProof w:val="0"/>
          <w:lang w:val="en-GB"/>
        </w:rPr>
        <w:t>23</w:t>
      </w:r>
      <w:r w:rsidR="001C3F18" w:rsidRPr="00A72C58">
        <w:rPr>
          <w:noProof w:val="0"/>
          <w:lang w:val="en-GB"/>
        </w:rPr>
        <w:t>(4): 429-33.</w:t>
      </w:r>
      <w:r w:rsidR="00D92C35">
        <w:rPr>
          <w:noProof w:val="0"/>
          <w:lang w:val="en-GB"/>
        </w:rPr>
        <w:t xml:space="preserve"> </w:t>
      </w:r>
      <w:hyperlink r:id="rId16" w:history="1">
        <w:r w:rsidR="00D92C35" w:rsidRPr="0002036E">
          <w:rPr>
            <w:rStyle w:val="Hyperlink"/>
            <w:noProof w:val="0"/>
            <w:lang w:val="en-GB"/>
          </w:rPr>
          <w:t>https://doi.org/10.1093/eurjcn/zvae012</w:t>
        </w:r>
      </w:hyperlink>
      <w:r w:rsidR="00D92C35">
        <w:rPr>
          <w:noProof w:val="0"/>
          <w:lang w:val="en-GB"/>
        </w:rPr>
        <w:t xml:space="preserve"> </w:t>
      </w:r>
    </w:p>
    <w:p w14:paraId="40946E59" w14:textId="185716B6" w:rsidR="001C3F18" w:rsidRDefault="00826476" w:rsidP="00CE5A37">
      <w:pPr>
        <w:pStyle w:val="EndNoteBibliography"/>
        <w:spacing w:line="480" w:lineRule="auto"/>
        <w:contextualSpacing/>
        <w:rPr>
          <w:noProof w:val="0"/>
          <w:lang w:val="en-GB"/>
        </w:rPr>
      </w:pPr>
      <w:r>
        <w:rPr>
          <w:noProof w:val="0"/>
          <w:lang w:val="en-GB"/>
        </w:rPr>
        <w:t xml:space="preserve">9. </w:t>
      </w:r>
      <w:r w:rsidR="001C3F18" w:rsidRPr="00A72C58">
        <w:rPr>
          <w:noProof w:val="0"/>
          <w:lang w:val="en-GB"/>
        </w:rPr>
        <w:t xml:space="preserve">Davies EL, </w:t>
      </w:r>
      <w:proofErr w:type="spellStart"/>
      <w:r w:rsidR="001C3F18" w:rsidRPr="00A72C58">
        <w:rPr>
          <w:noProof w:val="0"/>
          <w:lang w:val="en-GB"/>
        </w:rPr>
        <w:t>Bulto</w:t>
      </w:r>
      <w:proofErr w:type="spellEnd"/>
      <w:r w:rsidR="001C3F18" w:rsidRPr="00A72C58">
        <w:rPr>
          <w:noProof w:val="0"/>
          <w:lang w:val="en-GB"/>
        </w:rPr>
        <w:t xml:space="preserve"> LN, Walsh A, et al. Reporting and conducting patient journey mapping research in healthcare: A scoping review. </w:t>
      </w:r>
      <w:r w:rsidR="001C3F18" w:rsidRPr="00A72C58">
        <w:rPr>
          <w:i/>
          <w:noProof w:val="0"/>
          <w:lang w:val="en-GB"/>
        </w:rPr>
        <w:t xml:space="preserve">J Adv </w:t>
      </w:r>
      <w:proofErr w:type="spellStart"/>
      <w:r w:rsidR="001C3F18" w:rsidRPr="00A72C58">
        <w:rPr>
          <w:i/>
          <w:noProof w:val="0"/>
          <w:lang w:val="en-GB"/>
        </w:rPr>
        <w:t>Nurs</w:t>
      </w:r>
      <w:proofErr w:type="spellEnd"/>
      <w:r w:rsidR="001C3F18" w:rsidRPr="00A72C58">
        <w:rPr>
          <w:noProof w:val="0"/>
          <w:lang w:val="en-GB"/>
        </w:rPr>
        <w:t xml:space="preserve"> 2023; </w:t>
      </w:r>
      <w:r w:rsidR="001C3F18" w:rsidRPr="00A72C58">
        <w:rPr>
          <w:b/>
          <w:noProof w:val="0"/>
          <w:lang w:val="en-GB"/>
        </w:rPr>
        <w:t>79</w:t>
      </w:r>
      <w:r w:rsidR="001C3F18" w:rsidRPr="00A72C58">
        <w:rPr>
          <w:noProof w:val="0"/>
          <w:lang w:val="en-GB"/>
        </w:rPr>
        <w:t>(1): 83-100.</w:t>
      </w:r>
      <w:r w:rsidR="00F43034">
        <w:rPr>
          <w:noProof w:val="0"/>
          <w:lang w:val="en-GB"/>
        </w:rPr>
        <w:t xml:space="preserve"> </w:t>
      </w:r>
      <w:hyperlink r:id="rId17" w:history="1">
        <w:r w:rsidR="00F43034" w:rsidRPr="0002036E">
          <w:rPr>
            <w:rStyle w:val="Hyperlink"/>
            <w:noProof w:val="0"/>
            <w:lang w:val="en-GB"/>
          </w:rPr>
          <w:t>https://doi.org/10.1111/jan.15479</w:t>
        </w:r>
      </w:hyperlink>
      <w:r w:rsidR="00F43034">
        <w:rPr>
          <w:noProof w:val="0"/>
          <w:lang w:val="en-GB"/>
        </w:rPr>
        <w:t xml:space="preserve"> </w:t>
      </w:r>
    </w:p>
    <w:p w14:paraId="1218CFEB" w14:textId="77777777" w:rsidR="00E133DA" w:rsidRPr="00A72C58" w:rsidRDefault="00E133DA" w:rsidP="00CE5A37">
      <w:pPr>
        <w:pStyle w:val="EndNoteBibliography"/>
        <w:spacing w:line="480" w:lineRule="auto"/>
        <w:contextualSpacing/>
        <w:rPr>
          <w:noProof w:val="0"/>
          <w:lang w:val="en-GB"/>
        </w:rPr>
      </w:pPr>
    </w:p>
    <w:p w14:paraId="25F2CBC7" w14:textId="77777777" w:rsidR="008721FC" w:rsidRDefault="00826476" w:rsidP="00802F46">
      <w:pPr>
        <w:pStyle w:val="EndNoteBibliography"/>
        <w:spacing w:line="480" w:lineRule="auto"/>
        <w:contextualSpacing/>
        <w:rPr>
          <w:noProof w:val="0"/>
          <w:lang w:val="en-GB"/>
        </w:rPr>
      </w:pPr>
      <w:r w:rsidRPr="008721FC">
        <w:rPr>
          <w:noProof w:val="0"/>
          <w:lang w:val="en-GB"/>
        </w:rPr>
        <w:t xml:space="preserve">For the </w:t>
      </w:r>
      <w:r w:rsidRPr="008721FC">
        <w:rPr>
          <w:b/>
          <w:bCs/>
          <w:noProof w:val="0"/>
          <w:lang w:val="en-GB"/>
        </w:rPr>
        <w:t>literature review on best practice for patient communication</w:t>
      </w:r>
      <w:r w:rsidRPr="008721FC">
        <w:rPr>
          <w:noProof w:val="0"/>
          <w:lang w:val="en-GB"/>
        </w:rPr>
        <w:t xml:space="preserve"> see</w:t>
      </w:r>
      <w:r w:rsidR="008721FC">
        <w:rPr>
          <w:noProof w:val="0"/>
          <w:lang w:val="en-GB"/>
        </w:rPr>
        <w:t>:</w:t>
      </w:r>
      <w:r w:rsidRPr="008721FC">
        <w:rPr>
          <w:noProof w:val="0"/>
          <w:lang w:val="en-GB"/>
        </w:rPr>
        <w:t xml:space="preserve"> </w:t>
      </w:r>
    </w:p>
    <w:p w14:paraId="234CB883" w14:textId="20B39F4B" w:rsidR="00E35596" w:rsidRDefault="00D47395" w:rsidP="00802F46">
      <w:pPr>
        <w:pStyle w:val="EndNoteBibliography"/>
        <w:spacing w:line="480" w:lineRule="auto"/>
        <w:contextualSpacing/>
        <w:rPr>
          <w:noProof w:val="0"/>
          <w:lang w:val="en-GB"/>
        </w:rPr>
      </w:pPr>
      <w:r w:rsidRPr="008721FC">
        <w:rPr>
          <w:i/>
          <w:iCs/>
          <w:noProof w:val="0"/>
          <w:lang w:val="en-GB"/>
        </w:rPr>
        <w:t xml:space="preserve">Res </w:t>
      </w:r>
      <w:proofErr w:type="spellStart"/>
      <w:r w:rsidRPr="008721FC">
        <w:rPr>
          <w:i/>
          <w:iCs/>
          <w:noProof w:val="0"/>
          <w:lang w:val="en-GB"/>
        </w:rPr>
        <w:t>Pract</w:t>
      </w:r>
      <w:proofErr w:type="spellEnd"/>
      <w:r w:rsidRPr="008721FC">
        <w:rPr>
          <w:i/>
          <w:iCs/>
          <w:noProof w:val="0"/>
          <w:lang w:val="en-GB"/>
        </w:rPr>
        <w:t xml:space="preserve"> </w:t>
      </w:r>
      <w:proofErr w:type="spellStart"/>
      <w:r w:rsidRPr="008721FC">
        <w:rPr>
          <w:i/>
          <w:iCs/>
          <w:noProof w:val="0"/>
          <w:lang w:val="en-GB"/>
        </w:rPr>
        <w:t>Thromb</w:t>
      </w:r>
      <w:proofErr w:type="spellEnd"/>
      <w:r w:rsidRPr="00E71CF9">
        <w:rPr>
          <w:i/>
          <w:iCs/>
          <w:noProof w:val="0"/>
          <w:lang w:val="en-GB"/>
        </w:rPr>
        <w:t xml:space="preserve"> </w:t>
      </w:r>
      <w:proofErr w:type="spellStart"/>
      <w:r w:rsidRPr="00E71CF9">
        <w:rPr>
          <w:i/>
          <w:iCs/>
          <w:noProof w:val="0"/>
          <w:lang w:val="en-GB"/>
        </w:rPr>
        <w:t>Haemost</w:t>
      </w:r>
      <w:proofErr w:type="spellEnd"/>
      <w:r w:rsidRPr="00D47395">
        <w:rPr>
          <w:noProof w:val="0"/>
          <w:lang w:val="en-GB"/>
        </w:rPr>
        <w:t xml:space="preserve"> </w:t>
      </w:r>
      <w:r>
        <w:rPr>
          <w:noProof w:val="0"/>
          <w:lang w:val="en-GB"/>
        </w:rPr>
        <w:t xml:space="preserve">2025; </w:t>
      </w:r>
      <w:r w:rsidRPr="00D47395">
        <w:rPr>
          <w:b/>
          <w:bCs/>
          <w:noProof w:val="0"/>
          <w:lang w:val="en-GB"/>
        </w:rPr>
        <w:t>9:</w:t>
      </w:r>
      <w:r w:rsidRPr="00D47395">
        <w:rPr>
          <w:noProof w:val="0"/>
          <w:lang w:val="en-GB"/>
        </w:rPr>
        <w:t xml:space="preserve"> 102835 </w:t>
      </w:r>
      <w:hyperlink r:id="rId18" w:history="1">
        <w:r w:rsidRPr="0002036E">
          <w:rPr>
            <w:rStyle w:val="Hyperlink"/>
            <w:noProof w:val="0"/>
            <w:lang w:val="en-GB"/>
          </w:rPr>
          <w:t>https://doi.org/10.1016/j.rpth.2025.102835</w:t>
        </w:r>
      </w:hyperlink>
      <w:r>
        <w:rPr>
          <w:noProof w:val="0"/>
          <w:lang w:val="en-GB"/>
        </w:rPr>
        <w:t xml:space="preserve"> </w:t>
      </w:r>
    </w:p>
    <w:p w14:paraId="776A06F2" w14:textId="2A0333A6" w:rsidR="00E35596" w:rsidRPr="008721FC" w:rsidRDefault="00E35596" w:rsidP="00802F46">
      <w:pPr>
        <w:pStyle w:val="EndNoteBibliography"/>
        <w:spacing w:line="480" w:lineRule="auto"/>
        <w:contextualSpacing/>
        <w:rPr>
          <w:noProof w:val="0"/>
          <w:lang w:val="en-GB"/>
        </w:rPr>
      </w:pPr>
      <w:r w:rsidRPr="008721FC">
        <w:rPr>
          <w:noProof w:val="0"/>
          <w:lang w:val="en-GB"/>
        </w:rPr>
        <w:t xml:space="preserve">For the </w:t>
      </w:r>
      <w:r w:rsidRPr="008721FC">
        <w:rPr>
          <w:b/>
          <w:bCs/>
          <w:noProof w:val="0"/>
          <w:lang w:val="en-GB"/>
        </w:rPr>
        <w:t>VitalTalk tool</w:t>
      </w:r>
      <w:r w:rsidRPr="008721FC">
        <w:rPr>
          <w:noProof w:val="0"/>
          <w:lang w:val="en-GB"/>
        </w:rPr>
        <w:t xml:space="preserve"> see </w:t>
      </w:r>
      <w:hyperlink r:id="rId19" w:history="1">
        <w:r w:rsidRPr="008721FC">
          <w:rPr>
            <w:rStyle w:val="Hyperlink"/>
            <w:noProof w:val="0"/>
            <w:lang w:val="en-GB"/>
          </w:rPr>
          <w:t>http://www.vitaltalk.org/</w:t>
        </w:r>
      </w:hyperlink>
      <w:r w:rsidRPr="008721FC">
        <w:rPr>
          <w:noProof w:val="0"/>
          <w:lang w:val="en-GB"/>
        </w:rPr>
        <w:t xml:space="preserve">   </w:t>
      </w:r>
    </w:p>
    <w:p w14:paraId="33ED3B75" w14:textId="57E13B60" w:rsidR="00C419B9" w:rsidRPr="008721FC" w:rsidRDefault="00E35596" w:rsidP="00802F46">
      <w:pPr>
        <w:pStyle w:val="EndNoteBibliography"/>
        <w:spacing w:line="480" w:lineRule="auto"/>
        <w:contextualSpacing/>
        <w:rPr>
          <w:noProof w:val="0"/>
          <w:lang w:val="en-GB"/>
        </w:rPr>
      </w:pPr>
      <w:r w:rsidRPr="008721FC">
        <w:rPr>
          <w:noProof w:val="0"/>
          <w:lang w:val="en-GB"/>
        </w:rPr>
        <w:t xml:space="preserve">For the </w:t>
      </w:r>
      <w:r w:rsidRPr="008721FC">
        <w:rPr>
          <w:rFonts w:asciiTheme="minorHAnsi" w:hAnsiTheme="minorHAnsi" w:cstheme="minorHAnsi"/>
          <w:b/>
          <w:bCs/>
          <w:noProof w:val="0"/>
          <w:lang w:val="en-GB"/>
        </w:rPr>
        <w:t>Serious Illness Conversation Guide</w:t>
      </w:r>
      <w:r w:rsidRPr="008721FC">
        <w:rPr>
          <w:noProof w:val="0"/>
          <w:lang w:val="en-GB"/>
        </w:rPr>
        <w:t xml:space="preserve"> see </w:t>
      </w:r>
      <w:hyperlink r:id="rId20" w:history="1">
        <w:r w:rsidRPr="008721FC">
          <w:rPr>
            <w:rStyle w:val="Hyperlink"/>
            <w:noProof w:val="0"/>
            <w:lang w:val="en-GB"/>
          </w:rPr>
          <w:t>https://www.ariadnelabs.org/serious-illness-care/serious-illness-care-program/</w:t>
        </w:r>
      </w:hyperlink>
      <w:r w:rsidRPr="008721FC">
        <w:rPr>
          <w:noProof w:val="0"/>
          <w:lang w:val="en-GB"/>
        </w:rPr>
        <w:t xml:space="preserve"> </w:t>
      </w:r>
    </w:p>
    <w:p w14:paraId="195A104B" w14:textId="5D5C4C1C" w:rsidR="00C419B9" w:rsidRPr="00A72C58" w:rsidRDefault="00C419B9" w:rsidP="00802F46">
      <w:pPr>
        <w:pStyle w:val="EndNoteBibliography"/>
        <w:spacing w:line="480" w:lineRule="auto"/>
        <w:contextualSpacing/>
        <w:rPr>
          <w:b/>
          <w:noProof w:val="0"/>
          <w:lang w:val="en-GB"/>
        </w:rPr>
        <w:sectPr w:rsidR="00C419B9" w:rsidRPr="00A72C58" w:rsidSect="00AC07A7">
          <w:footerReference w:type="default" r:id="rId21"/>
          <w:pgSz w:w="11906" w:h="16838"/>
          <w:pgMar w:top="1440" w:right="1440" w:bottom="1440" w:left="1440" w:header="708" w:footer="708" w:gutter="0"/>
          <w:cols w:space="708"/>
          <w:docGrid w:linePitch="360"/>
        </w:sectPr>
      </w:pPr>
      <w:r w:rsidRPr="008721FC">
        <w:rPr>
          <w:noProof w:val="0"/>
          <w:lang w:val="en-GB"/>
        </w:rPr>
        <w:t xml:space="preserve">For the </w:t>
      </w:r>
      <w:r w:rsidRPr="008721FC">
        <w:rPr>
          <w:b/>
          <w:bCs/>
          <w:noProof w:val="0"/>
          <w:lang w:val="en-GB"/>
        </w:rPr>
        <w:t>final tool</w:t>
      </w:r>
      <w:r w:rsidR="00411BEE" w:rsidRPr="008721FC">
        <w:rPr>
          <w:b/>
          <w:bCs/>
          <w:noProof w:val="0"/>
          <w:lang w:val="en-GB"/>
        </w:rPr>
        <w:t>k</w:t>
      </w:r>
      <w:r w:rsidRPr="008721FC">
        <w:rPr>
          <w:b/>
          <w:bCs/>
          <w:noProof w:val="0"/>
          <w:lang w:val="en-GB"/>
        </w:rPr>
        <w:t>it</w:t>
      </w:r>
      <w:r w:rsidRPr="008721FC">
        <w:rPr>
          <w:noProof w:val="0"/>
          <w:lang w:val="en-GB"/>
        </w:rPr>
        <w:t xml:space="preserve"> see</w:t>
      </w:r>
      <w:r w:rsidR="008721FC">
        <w:rPr>
          <w:noProof w:val="0"/>
          <w:lang w:val="en-GB"/>
        </w:rPr>
        <w:t xml:space="preserve">: </w:t>
      </w:r>
      <w:hyperlink r:id="rId22" w:history="1">
        <w:r w:rsidR="008721FC" w:rsidRPr="008D2433">
          <w:rPr>
            <w:rStyle w:val="Hyperlink"/>
            <w:noProof w:val="0"/>
            <w:lang w:val="en-GB"/>
          </w:rPr>
          <w:t>https://communication.thrombosis.org/</w:t>
        </w:r>
      </w:hyperlink>
      <w:r w:rsidR="008721FC">
        <w:rPr>
          <w:noProof w:val="0"/>
          <w:lang w:val="en-GB"/>
        </w:rPr>
        <w:t xml:space="preserve"> </w:t>
      </w:r>
    </w:p>
    <w:p w14:paraId="2F2FDD6C" w14:textId="4E180111" w:rsidR="001C3F18" w:rsidRPr="007B35AE" w:rsidRDefault="001C3F18" w:rsidP="00AA24E4">
      <w:pPr>
        <w:spacing w:line="480" w:lineRule="auto"/>
        <w:jc w:val="both"/>
        <w:rPr>
          <w:b/>
          <w:bCs/>
          <w:lang w:val="en-GB"/>
        </w:rPr>
      </w:pPr>
      <w:r w:rsidRPr="007B35AE">
        <w:rPr>
          <w:b/>
          <w:bCs/>
          <w:i/>
          <w:iCs/>
          <w:noProof/>
          <w:lang w:val="en-GB"/>
        </w:rPr>
        <w:lastRenderedPageBreak/>
        <w:drawing>
          <wp:anchor distT="0" distB="0" distL="114300" distR="114300" simplePos="0" relativeHeight="251658752" behindDoc="1" locked="0" layoutInCell="1" allowOverlap="1" wp14:anchorId="045384E0" wp14:editId="131D4B10">
            <wp:simplePos x="0" y="0"/>
            <wp:positionH relativeFrom="column">
              <wp:posOffset>342900</wp:posOffset>
            </wp:positionH>
            <wp:positionV relativeFrom="paragraph">
              <wp:posOffset>304800</wp:posOffset>
            </wp:positionV>
            <wp:extent cx="8020050" cy="596132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12359" t="8538" r="13275"/>
                    <a:stretch/>
                  </pic:blipFill>
                  <pic:spPr bwMode="auto">
                    <a:xfrm>
                      <a:off x="0" y="0"/>
                      <a:ext cx="8020050" cy="59613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35AE">
        <w:rPr>
          <w:b/>
          <w:bCs/>
          <w:i/>
          <w:iCs/>
          <w:lang w:val="en-GB"/>
        </w:rPr>
        <w:t>Figure</w:t>
      </w:r>
      <w:r w:rsidRPr="007B35AE">
        <w:rPr>
          <w:b/>
          <w:bCs/>
          <w:lang w:val="en-GB"/>
        </w:rPr>
        <w:t>: Screenshots of the final online toolkit</w:t>
      </w:r>
    </w:p>
    <w:p w14:paraId="5A4E3959" w14:textId="77777777" w:rsidR="001C3F18" w:rsidRPr="00A72C58" w:rsidRDefault="001C3F18" w:rsidP="00952462">
      <w:pPr>
        <w:spacing w:line="480" w:lineRule="auto"/>
        <w:rPr>
          <w:color w:val="0070C0"/>
          <w:lang w:val="en-GB"/>
        </w:rPr>
      </w:pPr>
      <w:r w:rsidRPr="00A72C58">
        <w:rPr>
          <w:b/>
          <w:color w:val="0070C0"/>
          <w:lang w:val="en-GB"/>
        </w:rPr>
        <w:t xml:space="preserve"> </w:t>
      </w:r>
    </w:p>
    <w:p w14:paraId="05FADF41" w14:textId="77777777" w:rsidR="00FB4D85" w:rsidRPr="00A72C58" w:rsidRDefault="00FB4D85">
      <w:pPr>
        <w:rPr>
          <w:lang w:val="en-GB"/>
        </w:rPr>
      </w:pPr>
    </w:p>
    <w:sectPr w:rsidR="00FB4D85" w:rsidRPr="00A72C58" w:rsidSect="00802F46">
      <w:pgSz w:w="16838" w:h="11906" w:orient="landscape"/>
      <w:pgMar w:top="1440" w:right="1440" w:bottom="1440" w:left="1440" w:header="709" w:footer="709"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E7A4" w14:textId="77777777" w:rsidR="00F3137A" w:rsidRDefault="00F3137A">
      <w:r>
        <w:separator/>
      </w:r>
    </w:p>
  </w:endnote>
  <w:endnote w:type="continuationSeparator" w:id="0">
    <w:p w14:paraId="210AEFB4" w14:textId="77777777" w:rsidR="00F3137A" w:rsidRDefault="00F3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F076" w14:textId="77777777" w:rsidR="001C3F18" w:rsidRDefault="001C3F18" w:rsidP="00C0498D">
    <w:pPr>
      <w:pBdr>
        <w:top w:val="nil"/>
        <w:left w:val="nil"/>
        <w:bottom w:val="nil"/>
        <w:right w:val="nil"/>
        <w:between w:val="nil"/>
      </w:pBdr>
      <w:tabs>
        <w:tab w:val="center" w:pos="4513"/>
        <w:tab w:val="right" w:pos="9026"/>
      </w:tabs>
      <w:jc w:val="center"/>
      <w:rPr>
        <w:color w:val="000000"/>
      </w:rPr>
    </w:pPr>
    <w:r>
      <w:rPr>
        <w:color w:val="00000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9641" w14:textId="77777777" w:rsidR="00F3137A" w:rsidRDefault="00F3137A">
      <w:r>
        <w:separator/>
      </w:r>
    </w:p>
  </w:footnote>
  <w:footnote w:type="continuationSeparator" w:id="0">
    <w:p w14:paraId="281CE278" w14:textId="77777777" w:rsidR="00F3137A" w:rsidRDefault="00F3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521B"/>
    <w:multiLevelType w:val="multilevel"/>
    <w:tmpl w:val="1964603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2A744C6E"/>
    <w:multiLevelType w:val="multilevel"/>
    <w:tmpl w:val="A1BA0C6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452B9F"/>
    <w:multiLevelType w:val="multilevel"/>
    <w:tmpl w:val="44D058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FEB381D"/>
    <w:multiLevelType w:val="hybridMultilevel"/>
    <w:tmpl w:val="7F22C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AD19CC"/>
    <w:multiLevelType w:val="multilevel"/>
    <w:tmpl w:val="A87E99B8"/>
    <w:lvl w:ilvl="0">
      <w:start w:val="1"/>
      <w:numFmt w:val="bullet"/>
      <w:lvlText w:val="●"/>
      <w:lvlJc w:val="left"/>
      <w:pPr>
        <w:ind w:left="2227" w:hanging="360"/>
      </w:pPr>
      <w:rPr>
        <w:rFonts w:ascii="Noto Sans Symbols" w:eastAsia="Noto Sans Symbols" w:hAnsi="Noto Sans Symbols" w:cs="Noto Sans Symbols"/>
        <w:sz w:val="20"/>
        <w:szCs w:val="20"/>
      </w:rPr>
    </w:lvl>
    <w:lvl w:ilvl="1">
      <w:start w:val="1"/>
      <w:numFmt w:val="bullet"/>
      <w:lvlText w:val="o"/>
      <w:lvlJc w:val="left"/>
      <w:pPr>
        <w:ind w:left="2947" w:hanging="360"/>
      </w:pPr>
      <w:rPr>
        <w:rFonts w:ascii="Courier New" w:eastAsia="Courier New" w:hAnsi="Courier New" w:cs="Courier New"/>
        <w:sz w:val="20"/>
        <w:szCs w:val="20"/>
      </w:rPr>
    </w:lvl>
    <w:lvl w:ilvl="2">
      <w:start w:val="1"/>
      <w:numFmt w:val="bullet"/>
      <w:lvlText w:val="●"/>
      <w:lvlJc w:val="left"/>
      <w:pPr>
        <w:ind w:left="3667" w:hanging="360"/>
      </w:pPr>
      <w:rPr>
        <w:rFonts w:ascii="Noto Sans Symbols" w:eastAsia="Noto Sans Symbols" w:hAnsi="Noto Sans Symbols" w:cs="Noto Sans Symbols"/>
        <w:sz w:val="20"/>
        <w:szCs w:val="20"/>
      </w:rPr>
    </w:lvl>
    <w:lvl w:ilvl="3">
      <w:start w:val="1"/>
      <w:numFmt w:val="bullet"/>
      <w:lvlText w:val="●"/>
      <w:lvlJc w:val="left"/>
      <w:pPr>
        <w:ind w:left="4387" w:hanging="360"/>
      </w:pPr>
      <w:rPr>
        <w:rFonts w:ascii="Noto Sans Symbols" w:eastAsia="Noto Sans Symbols" w:hAnsi="Noto Sans Symbols" w:cs="Noto Sans Symbols"/>
        <w:sz w:val="20"/>
        <w:szCs w:val="20"/>
      </w:rPr>
    </w:lvl>
    <w:lvl w:ilvl="4">
      <w:start w:val="1"/>
      <w:numFmt w:val="bullet"/>
      <w:lvlText w:val="●"/>
      <w:lvlJc w:val="left"/>
      <w:pPr>
        <w:ind w:left="5107" w:hanging="360"/>
      </w:pPr>
      <w:rPr>
        <w:rFonts w:ascii="Noto Sans Symbols" w:eastAsia="Noto Sans Symbols" w:hAnsi="Noto Sans Symbols" w:cs="Noto Sans Symbols"/>
        <w:sz w:val="20"/>
        <w:szCs w:val="20"/>
      </w:rPr>
    </w:lvl>
    <w:lvl w:ilvl="5">
      <w:start w:val="1"/>
      <w:numFmt w:val="bullet"/>
      <w:lvlText w:val="●"/>
      <w:lvlJc w:val="left"/>
      <w:pPr>
        <w:ind w:left="5827" w:hanging="360"/>
      </w:pPr>
      <w:rPr>
        <w:rFonts w:ascii="Noto Sans Symbols" w:eastAsia="Noto Sans Symbols" w:hAnsi="Noto Sans Symbols" w:cs="Noto Sans Symbols"/>
        <w:sz w:val="20"/>
        <w:szCs w:val="20"/>
      </w:rPr>
    </w:lvl>
    <w:lvl w:ilvl="6">
      <w:start w:val="1"/>
      <w:numFmt w:val="bullet"/>
      <w:lvlText w:val="●"/>
      <w:lvlJc w:val="left"/>
      <w:pPr>
        <w:ind w:left="6547" w:hanging="360"/>
      </w:pPr>
      <w:rPr>
        <w:rFonts w:ascii="Noto Sans Symbols" w:eastAsia="Noto Sans Symbols" w:hAnsi="Noto Sans Symbols" w:cs="Noto Sans Symbols"/>
        <w:sz w:val="20"/>
        <w:szCs w:val="20"/>
      </w:rPr>
    </w:lvl>
    <w:lvl w:ilvl="7">
      <w:start w:val="1"/>
      <w:numFmt w:val="bullet"/>
      <w:lvlText w:val="●"/>
      <w:lvlJc w:val="left"/>
      <w:pPr>
        <w:ind w:left="7267" w:hanging="360"/>
      </w:pPr>
      <w:rPr>
        <w:rFonts w:ascii="Noto Sans Symbols" w:eastAsia="Noto Sans Symbols" w:hAnsi="Noto Sans Symbols" w:cs="Noto Sans Symbols"/>
        <w:sz w:val="20"/>
        <w:szCs w:val="20"/>
      </w:rPr>
    </w:lvl>
    <w:lvl w:ilvl="8">
      <w:start w:val="1"/>
      <w:numFmt w:val="bullet"/>
      <w:lvlText w:val="●"/>
      <w:lvlJc w:val="left"/>
      <w:pPr>
        <w:ind w:left="7987" w:hanging="360"/>
      </w:pPr>
      <w:rPr>
        <w:rFonts w:ascii="Noto Sans Symbols" w:eastAsia="Noto Sans Symbols" w:hAnsi="Noto Sans Symbols" w:cs="Noto Sans Symbols"/>
        <w:sz w:val="20"/>
        <w:szCs w:val="20"/>
      </w:rPr>
    </w:lvl>
  </w:abstractNum>
  <w:abstractNum w:abstractNumId="5" w15:restartNumberingAfterBreak="0">
    <w:nsid w:val="5D2475F1"/>
    <w:multiLevelType w:val="multilevel"/>
    <w:tmpl w:val="EBDE28C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691F1FC1"/>
    <w:multiLevelType w:val="multilevel"/>
    <w:tmpl w:val="C73A86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43252934">
    <w:abstractNumId w:val="2"/>
  </w:num>
  <w:num w:numId="2" w16cid:durableId="1331254302">
    <w:abstractNumId w:val="5"/>
  </w:num>
  <w:num w:numId="3" w16cid:durableId="985478552">
    <w:abstractNumId w:val="0"/>
  </w:num>
  <w:num w:numId="4" w16cid:durableId="1221134893">
    <w:abstractNumId w:val="1"/>
  </w:num>
  <w:num w:numId="5" w16cid:durableId="228150074">
    <w:abstractNumId w:val="4"/>
  </w:num>
  <w:num w:numId="6" w16cid:durableId="601031227">
    <w:abstractNumId w:val="6"/>
  </w:num>
  <w:num w:numId="7" w16cid:durableId="910316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C3F18"/>
    <w:rsid w:val="000458C5"/>
    <w:rsid w:val="0005219D"/>
    <w:rsid w:val="00066309"/>
    <w:rsid w:val="00090ADF"/>
    <w:rsid w:val="00091167"/>
    <w:rsid w:val="0009522A"/>
    <w:rsid w:val="000B286F"/>
    <w:rsid w:val="000D1296"/>
    <w:rsid w:val="000F1FFD"/>
    <w:rsid w:val="000F3E7C"/>
    <w:rsid w:val="000F686B"/>
    <w:rsid w:val="001000BC"/>
    <w:rsid w:val="001052DF"/>
    <w:rsid w:val="00112021"/>
    <w:rsid w:val="0012527A"/>
    <w:rsid w:val="00125486"/>
    <w:rsid w:val="00141B2A"/>
    <w:rsid w:val="001445C8"/>
    <w:rsid w:val="001B6883"/>
    <w:rsid w:val="001C3F18"/>
    <w:rsid w:val="001C64DD"/>
    <w:rsid w:val="001F2797"/>
    <w:rsid w:val="00202DA9"/>
    <w:rsid w:val="0021541C"/>
    <w:rsid w:val="002276F6"/>
    <w:rsid w:val="00230C3F"/>
    <w:rsid w:val="0023363D"/>
    <w:rsid w:val="00245FAF"/>
    <w:rsid w:val="00295535"/>
    <w:rsid w:val="002958E3"/>
    <w:rsid w:val="002D606A"/>
    <w:rsid w:val="002E7D5D"/>
    <w:rsid w:val="002F12B3"/>
    <w:rsid w:val="003014B8"/>
    <w:rsid w:val="0030581E"/>
    <w:rsid w:val="00306805"/>
    <w:rsid w:val="00314B7B"/>
    <w:rsid w:val="00335286"/>
    <w:rsid w:val="00360BF6"/>
    <w:rsid w:val="00362ACF"/>
    <w:rsid w:val="003664B0"/>
    <w:rsid w:val="003854BD"/>
    <w:rsid w:val="003927EB"/>
    <w:rsid w:val="003A37BE"/>
    <w:rsid w:val="003A4877"/>
    <w:rsid w:val="003D4A65"/>
    <w:rsid w:val="003D4EA9"/>
    <w:rsid w:val="00411BEE"/>
    <w:rsid w:val="00432634"/>
    <w:rsid w:val="0043746C"/>
    <w:rsid w:val="00443A5D"/>
    <w:rsid w:val="00456AEB"/>
    <w:rsid w:val="00466E78"/>
    <w:rsid w:val="004813DA"/>
    <w:rsid w:val="004946AB"/>
    <w:rsid w:val="004B494D"/>
    <w:rsid w:val="004C76FE"/>
    <w:rsid w:val="004D2B0E"/>
    <w:rsid w:val="004D6A7E"/>
    <w:rsid w:val="004F7955"/>
    <w:rsid w:val="00505856"/>
    <w:rsid w:val="005919FC"/>
    <w:rsid w:val="005C1C5C"/>
    <w:rsid w:val="005D4E61"/>
    <w:rsid w:val="005F0771"/>
    <w:rsid w:val="00606367"/>
    <w:rsid w:val="00613247"/>
    <w:rsid w:val="0065648D"/>
    <w:rsid w:val="006628BD"/>
    <w:rsid w:val="006A279A"/>
    <w:rsid w:val="006A2C8A"/>
    <w:rsid w:val="006A73F5"/>
    <w:rsid w:val="006B41A7"/>
    <w:rsid w:val="006D2649"/>
    <w:rsid w:val="006E01D2"/>
    <w:rsid w:val="006F4D1E"/>
    <w:rsid w:val="006F5FB2"/>
    <w:rsid w:val="006F65FC"/>
    <w:rsid w:val="00702521"/>
    <w:rsid w:val="00705939"/>
    <w:rsid w:val="00720183"/>
    <w:rsid w:val="00756103"/>
    <w:rsid w:val="00766154"/>
    <w:rsid w:val="00775DE3"/>
    <w:rsid w:val="00796390"/>
    <w:rsid w:val="007B35AE"/>
    <w:rsid w:val="007C5679"/>
    <w:rsid w:val="007E3643"/>
    <w:rsid w:val="007E384F"/>
    <w:rsid w:val="00813380"/>
    <w:rsid w:val="00826476"/>
    <w:rsid w:val="008347B8"/>
    <w:rsid w:val="008721FC"/>
    <w:rsid w:val="0087767C"/>
    <w:rsid w:val="008932FF"/>
    <w:rsid w:val="008D7B6D"/>
    <w:rsid w:val="008F7DFA"/>
    <w:rsid w:val="0090634D"/>
    <w:rsid w:val="00925102"/>
    <w:rsid w:val="009252E8"/>
    <w:rsid w:val="009319B2"/>
    <w:rsid w:val="009539F1"/>
    <w:rsid w:val="009638B9"/>
    <w:rsid w:val="009727C9"/>
    <w:rsid w:val="00993CF6"/>
    <w:rsid w:val="00996E48"/>
    <w:rsid w:val="009A64B8"/>
    <w:rsid w:val="009B597E"/>
    <w:rsid w:val="009C28C4"/>
    <w:rsid w:val="009D2116"/>
    <w:rsid w:val="009D6956"/>
    <w:rsid w:val="009E38F0"/>
    <w:rsid w:val="00A05536"/>
    <w:rsid w:val="00A165B0"/>
    <w:rsid w:val="00A17066"/>
    <w:rsid w:val="00A300FF"/>
    <w:rsid w:val="00A35014"/>
    <w:rsid w:val="00A72C58"/>
    <w:rsid w:val="00A80330"/>
    <w:rsid w:val="00A908F2"/>
    <w:rsid w:val="00AA5EE6"/>
    <w:rsid w:val="00AC5ED7"/>
    <w:rsid w:val="00AC72D4"/>
    <w:rsid w:val="00AD1A3E"/>
    <w:rsid w:val="00AD6358"/>
    <w:rsid w:val="00AD6FA7"/>
    <w:rsid w:val="00AE528E"/>
    <w:rsid w:val="00B07436"/>
    <w:rsid w:val="00B10EE5"/>
    <w:rsid w:val="00B6713A"/>
    <w:rsid w:val="00B72E69"/>
    <w:rsid w:val="00B80C98"/>
    <w:rsid w:val="00B8238D"/>
    <w:rsid w:val="00B87C04"/>
    <w:rsid w:val="00B95E06"/>
    <w:rsid w:val="00BC47CD"/>
    <w:rsid w:val="00BD201A"/>
    <w:rsid w:val="00C00FD8"/>
    <w:rsid w:val="00C175EC"/>
    <w:rsid w:val="00C37967"/>
    <w:rsid w:val="00C419B9"/>
    <w:rsid w:val="00C44DF4"/>
    <w:rsid w:val="00C613D4"/>
    <w:rsid w:val="00C71896"/>
    <w:rsid w:val="00CA246C"/>
    <w:rsid w:val="00CD446D"/>
    <w:rsid w:val="00CE2F0D"/>
    <w:rsid w:val="00CF6BBB"/>
    <w:rsid w:val="00D10BDC"/>
    <w:rsid w:val="00D1125E"/>
    <w:rsid w:val="00D46A45"/>
    <w:rsid w:val="00D47395"/>
    <w:rsid w:val="00D716C4"/>
    <w:rsid w:val="00D73CE4"/>
    <w:rsid w:val="00D82CBD"/>
    <w:rsid w:val="00D92C35"/>
    <w:rsid w:val="00D93578"/>
    <w:rsid w:val="00DA6E8D"/>
    <w:rsid w:val="00DB5AE5"/>
    <w:rsid w:val="00DC37A9"/>
    <w:rsid w:val="00DC4ABD"/>
    <w:rsid w:val="00DD5155"/>
    <w:rsid w:val="00DE3F75"/>
    <w:rsid w:val="00DF1AE0"/>
    <w:rsid w:val="00E029B3"/>
    <w:rsid w:val="00E0337B"/>
    <w:rsid w:val="00E133DA"/>
    <w:rsid w:val="00E144F4"/>
    <w:rsid w:val="00E153D0"/>
    <w:rsid w:val="00E16990"/>
    <w:rsid w:val="00E35596"/>
    <w:rsid w:val="00E37D48"/>
    <w:rsid w:val="00E43D2E"/>
    <w:rsid w:val="00E47E10"/>
    <w:rsid w:val="00E71CF9"/>
    <w:rsid w:val="00E71EAD"/>
    <w:rsid w:val="00E865F1"/>
    <w:rsid w:val="00EB6C8A"/>
    <w:rsid w:val="00ED7826"/>
    <w:rsid w:val="00EF46FC"/>
    <w:rsid w:val="00EF47B5"/>
    <w:rsid w:val="00F1283C"/>
    <w:rsid w:val="00F165A7"/>
    <w:rsid w:val="00F16C5B"/>
    <w:rsid w:val="00F3137A"/>
    <w:rsid w:val="00F43034"/>
    <w:rsid w:val="00F4657C"/>
    <w:rsid w:val="00F533DF"/>
    <w:rsid w:val="00F53479"/>
    <w:rsid w:val="00F71386"/>
    <w:rsid w:val="00F72BDB"/>
    <w:rsid w:val="00F757F3"/>
    <w:rsid w:val="00FA2A83"/>
    <w:rsid w:val="00FB4D85"/>
    <w:rsid w:val="00FC01C8"/>
    <w:rsid w:val="00FE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D438"/>
  <w15:chartTrackingRefBased/>
  <w15:docId w15:val="{CB9A9B77-5609-4D0F-B262-4AD06EBB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18"/>
    <w:pPr>
      <w:spacing w:after="0" w:line="240" w:lineRule="auto"/>
    </w:pPr>
    <w:rPr>
      <w:rFonts w:ascii="Calibri" w:eastAsia="Calibri" w:hAnsi="Calibri" w:cs="Calibri"/>
      <w:kern w:val="0"/>
      <w:lang w:val="en-US" w:eastAsia="nl-NL"/>
      <w14:ligatures w14:val="none"/>
    </w:rPr>
  </w:style>
  <w:style w:type="paragraph" w:styleId="Heading1">
    <w:name w:val="heading 1"/>
    <w:basedOn w:val="Normal"/>
    <w:next w:val="Normal"/>
    <w:link w:val="Heading1Char"/>
    <w:uiPriority w:val="9"/>
    <w:qFormat/>
    <w:rsid w:val="001C3F18"/>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3F18"/>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C3F18"/>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C3F18"/>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C3F18"/>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C3F1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F18"/>
    <w:rPr>
      <w:rFonts w:ascii="Calibri" w:eastAsia="Calibri" w:hAnsi="Calibri" w:cs="Calibri"/>
      <w:b/>
      <w:kern w:val="0"/>
      <w:sz w:val="48"/>
      <w:szCs w:val="48"/>
      <w:lang w:val="en-US" w:eastAsia="nl-NL"/>
      <w14:ligatures w14:val="none"/>
    </w:rPr>
  </w:style>
  <w:style w:type="character" w:customStyle="1" w:styleId="Heading2Char">
    <w:name w:val="Heading 2 Char"/>
    <w:basedOn w:val="DefaultParagraphFont"/>
    <w:link w:val="Heading2"/>
    <w:uiPriority w:val="9"/>
    <w:semiHidden/>
    <w:rsid w:val="001C3F18"/>
    <w:rPr>
      <w:rFonts w:ascii="Calibri" w:eastAsia="Calibri" w:hAnsi="Calibri" w:cs="Calibri"/>
      <w:b/>
      <w:kern w:val="0"/>
      <w:sz w:val="36"/>
      <w:szCs w:val="36"/>
      <w:lang w:val="en-US" w:eastAsia="nl-NL"/>
      <w14:ligatures w14:val="none"/>
    </w:rPr>
  </w:style>
  <w:style w:type="character" w:customStyle="1" w:styleId="Heading3Char">
    <w:name w:val="Heading 3 Char"/>
    <w:basedOn w:val="DefaultParagraphFont"/>
    <w:link w:val="Heading3"/>
    <w:uiPriority w:val="9"/>
    <w:semiHidden/>
    <w:rsid w:val="001C3F18"/>
    <w:rPr>
      <w:rFonts w:ascii="Calibri" w:eastAsia="Calibri" w:hAnsi="Calibri" w:cs="Calibri"/>
      <w:b/>
      <w:kern w:val="0"/>
      <w:sz w:val="28"/>
      <w:szCs w:val="28"/>
      <w:lang w:val="en-US" w:eastAsia="nl-NL"/>
      <w14:ligatures w14:val="none"/>
    </w:rPr>
  </w:style>
  <w:style w:type="character" w:customStyle="1" w:styleId="Heading4Char">
    <w:name w:val="Heading 4 Char"/>
    <w:basedOn w:val="DefaultParagraphFont"/>
    <w:link w:val="Heading4"/>
    <w:uiPriority w:val="9"/>
    <w:semiHidden/>
    <w:rsid w:val="001C3F18"/>
    <w:rPr>
      <w:rFonts w:ascii="Calibri" w:eastAsia="Calibri" w:hAnsi="Calibri" w:cs="Calibri"/>
      <w:b/>
      <w:kern w:val="0"/>
      <w:sz w:val="24"/>
      <w:szCs w:val="24"/>
      <w:lang w:val="en-US" w:eastAsia="nl-NL"/>
      <w14:ligatures w14:val="none"/>
    </w:rPr>
  </w:style>
  <w:style w:type="character" w:customStyle="1" w:styleId="Heading5Char">
    <w:name w:val="Heading 5 Char"/>
    <w:basedOn w:val="DefaultParagraphFont"/>
    <w:link w:val="Heading5"/>
    <w:uiPriority w:val="9"/>
    <w:semiHidden/>
    <w:rsid w:val="001C3F18"/>
    <w:rPr>
      <w:rFonts w:ascii="Calibri" w:eastAsia="Calibri" w:hAnsi="Calibri" w:cs="Calibri"/>
      <w:b/>
      <w:kern w:val="0"/>
      <w:lang w:val="en-US" w:eastAsia="nl-NL"/>
      <w14:ligatures w14:val="none"/>
    </w:rPr>
  </w:style>
  <w:style w:type="character" w:customStyle="1" w:styleId="Heading6Char">
    <w:name w:val="Heading 6 Char"/>
    <w:basedOn w:val="DefaultParagraphFont"/>
    <w:link w:val="Heading6"/>
    <w:uiPriority w:val="9"/>
    <w:semiHidden/>
    <w:rsid w:val="001C3F18"/>
    <w:rPr>
      <w:rFonts w:ascii="Calibri" w:eastAsia="Calibri" w:hAnsi="Calibri" w:cs="Calibri"/>
      <w:b/>
      <w:kern w:val="0"/>
      <w:sz w:val="20"/>
      <w:szCs w:val="20"/>
      <w:lang w:val="en-US" w:eastAsia="nl-NL"/>
      <w14:ligatures w14:val="none"/>
    </w:rPr>
  </w:style>
  <w:style w:type="table" w:customStyle="1" w:styleId="TableNormal1">
    <w:name w:val="Table Normal1"/>
    <w:rsid w:val="001C3F18"/>
    <w:pPr>
      <w:spacing w:after="0" w:line="240" w:lineRule="auto"/>
    </w:pPr>
    <w:rPr>
      <w:rFonts w:ascii="Calibri" w:eastAsia="Calibri" w:hAnsi="Calibri" w:cs="Calibri"/>
      <w:kern w:val="0"/>
      <w:lang w:val="en-US" w:eastAsia="nl-NL"/>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1C3F18"/>
    <w:pPr>
      <w:keepNext/>
      <w:keepLines/>
      <w:spacing w:before="480" w:after="120"/>
    </w:pPr>
    <w:rPr>
      <w:b/>
      <w:sz w:val="72"/>
      <w:szCs w:val="72"/>
    </w:rPr>
  </w:style>
  <w:style w:type="character" w:customStyle="1" w:styleId="TitleChar">
    <w:name w:val="Title Char"/>
    <w:basedOn w:val="DefaultParagraphFont"/>
    <w:link w:val="Title"/>
    <w:uiPriority w:val="10"/>
    <w:rsid w:val="001C3F18"/>
    <w:rPr>
      <w:rFonts w:ascii="Calibri" w:eastAsia="Calibri" w:hAnsi="Calibri" w:cs="Calibri"/>
      <w:b/>
      <w:kern w:val="0"/>
      <w:sz w:val="72"/>
      <w:szCs w:val="72"/>
      <w:lang w:val="en-US" w:eastAsia="nl-NL"/>
      <w14:ligatures w14:val="none"/>
    </w:rPr>
  </w:style>
  <w:style w:type="character" w:customStyle="1" w:styleId="NoSpacingChar">
    <w:name w:val="No Spacing Char"/>
    <w:basedOn w:val="DefaultParagraphFont"/>
    <w:link w:val="NoSpacing"/>
    <w:uiPriority w:val="1"/>
    <w:locked/>
    <w:rsid w:val="001C3F18"/>
  </w:style>
  <w:style w:type="paragraph" w:styleId="NoSpacing">
    <w:name w:val="No Spacing"/>
    <w:link w:val="NoSpacingChar"/>
    <w:uiPriority w:val="1"/>
    <w:qFormat/>
    <w:rsid w:val="001C3F18"/>
    <w:pPr>
      <w:spacing w:after="0" w:line="240" w:lineRule="auto"/>
    </w:pPr>
  </w:style>
  <w:style w:type="paragraph" w:customStyle="1" w:styleId="KeinLeerraum1">
    <w:name w:val="Kein Leerraum1"/>
    <w:qFormat/>
    <w:rsid w:val="001C3F18"/>
    <w:pPr>
      <w:spacing w:after="0" w:line="240" w:lineRule="auto"/>
    </w:pPr>
    <w:rPr>
      <w:rFonts w:ascii="Calibri" w:eastAsia="Calibri" w:hAnsi="Calibri" w:cs="Times New Roman"/>
      <w:kern w:val="0"/>
      <w:lang w:val="de-DE" w:eastAsia="nl-NL"/>
      <w14:ligatures w14:val="none"/>
    </w:rPr>
  </w:style>
  <w:style w:type="paragraph" w:styleId="ListParagraph">
    <w:name w:val="List Paragraph"/>
    <w:basedOn w:val="Normal"/>
    <w:link w:val="ListParagraphChar"/>
    <w:uiPriority w:val="34"/>
    <w:qFormat/>
    <w:rsid w:val="001C3F18"/>
    <w:pPr>
      <w:spacing w:after="200" w:line="276"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1C3F18"/>
    <w:rPr>
      <w:sz w:val="16"/>
      <w:szCs w:val="16"/>
    </w:rPr>
  </w:style>
  <w:style w:type="paragraph" w:styleId="CommentText">
    <w:name w:val="annotation text"/>
    <w:basedOn w:val="Normal"/>
    <w:link w:val="CommentTextChar"/>
    <w:uiPriority w:val="99"/>
    <w:unhideWhenUsed/>
    <w:rsid w:val="001C3F18"/>
    <w:rPr>
      <w:rFonts w:asciiTheme="minorHAnsi" w:hAnsiTheme="minorHAnsi"/>
      <w:sz w:val="20"/>
      <w:szCs w:val="20"/>
    </w:rPr>
  </w:style>
  <w:style w:type="character" w:customStyle="1" w:styleId="CommentTextChar">
    <w:name w:val="Comment Text Char"/>
    <w:basedOn w:val="DefaultParagraphFont"/>
    <w:link w:val="CommentText"/>
    <w:uiPriority w:val="99"/>
    <w:rsid w:val="001C3F18"/>
    <w:rPr>
      <w:rFonts w:eastAsia="Calibri" w:cs="Calibri"/>
      <w:kern w:val="0"/>
      <w:sz w:val="20"/>
      <w:szCs w:val="20"/>
      <w:lang w:val="en-US" w:eastAsia="nl-NL"/>
      <w14:ligatures w14:val="none"/>
    </w:rPr>
  </w:style>
  <w:style w:type="character" w:styleId="Hyperlink">
    <w:name w:val="Hyperlink"/>
    <w:basedOn w:val="DefaultParagraphFont"/>
    <w:uiPriority w:val="99"/>
    <w:unhideWhenUsed/>
    <w:rsid w:val="001C3F18"/>
    <w:rPr>
      <w:color w:val="0000FF"/>
      <w:u w:val="single"/>
    </w:rPr>
  </w:style>
  <w:style w:type="table" w:styleId="TableGrid">
    <w:name w:val="Table Grid"/>
    <w:basedOn w:val="TableNormal"/>
    <w:uiPriority w:val="59"/>
    <w:rsid w:val="001C3F18"/>
    <w:pPr>
      <w:spacing w:after="0" w:line="240" w:lineRule="auto"/>
    </w:pPr>
    <w:rPr>
      <w:rFonts w:ascii="Calibri" w:eastAsia="Calibri" w:hAnsi="Calibri" w:cs="Calibri"/>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C3F18"/>
    <w:pPr>
      <w:jc w:val="center"/>
    </w:pPr>
    <w:rPr>
      <w:noProof/>
    </w:rPr>
  </w:style>
  <w:style w:type="character" w:customStyle="1" w:styleId="EndNoteBibliographyTitleChar">
    <w:name w:val="EndNote Bibliography Title Char"/>
    <w:basedOn w:val="DefaultParagraphFont"/>
    <w:link w:val="EndNoteBibliographyTitle"/>
    <w:rsid w:val="001C3F18"/>
    <w:rPr>
      <w:rFonts w:ascii="Calibri" w:eastAsia="Calibri" w:hAnsi="Calibri" w:cs="Calibri"/>
      <w:noProof/>
      <w:kern w:val="0"/>
      <w:lang w:val="en-US" w:eastAsia="nl-NL"/>
      <w14:ligatures w14:val="none"/>
    </w:rPr>
  </w:style>
  <w:style w:type="paragraph" w:customStyle="1" w:styleId="EndNoteBibliography">
    <w:name w:val="EndNote Bibliography"/>
    <w:basedOn w:val="Normal"/>
    <w:link w:val="EndNoteBibliographyChar"/>
    <w:rsid w:val="001C3F18"/>
    <w:rPr>
      <w:noProof/>
    </w:rPr>
  </w:style>
  <w:style w:type="character" w:customStyle="1" w:styleId="EndNoteBibliographyChar">
    <w:name w:val="EndNote Bibliography Char"/>
    <w:basedOn w:val="DefaultParagraphFont"/>
    <w:link w:val="EndNoteBibliography"/>
    <w:rsid w:val="001C3F18"/>
    <w:rPr>
      <w:rFonts w:ascii="Calibri" w:eastAsia="Calibri" w:hAnsi="Calibri" w:cs="Calibri"/>
      <w:noProof/>
      <w:kern w:val="0"/>
      <w:lang w:val="en-US" w:eastAsia="nl-NL"/>
      <w14:ligatures w14:val="none"/>
    </w:rPr>
  </w:style>
  <w:style w:type="character" w:customStyle="1" w:styleId="Onopgelostemelding1">
    <w:name w:val="Onopgeloste melding1"/>
    <w:basedOn w:val="DefaultParagraphFont"/>
    <w:uiPriority w:val="99"/>
    <w:semiHidden/>
    <w:unhideWhenUsed/>
    <w:rsid w:val="001C3F1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C3F18"/>
    <w:rPr>
      <w:b/>
      <w:bCs/>
    </w:rPr>
  </w:style>
  <w:style w:type="character" w:customStyle="1" w:styleId="CommentSubjectChar">
    <w:name w:val="Comment Subject Char"/>
    <w:basedOn w:val="CommentTextChar"/>
    <w:link w:val="CommentSubject"/>
    <w:uiPriority w:val="99"/>
    <w:semiHidden/>
    <w:rsid w:val="001C3F18"/>
    <w:rPr>
      <w:rFonts w:eastAsia="Calibri" w:cs="Calibri"/>
      <w:b/>
      <w:bCs/>
      <w:kern w:val="0"/>
      <w:sz w:val="20"/>
      <w:szCs w:val="20"/>
      <w:lang w:val="en-US" w:eastAsia="nl-NL"/>
      <w14:ligatures w14:val="none"/>
    </w:rPr>
  </w:style>
  <w:style w:type="character" w:customStyle="1" w:styleId="cf01">
    <w:name w:val="cf01"/>
    <w:basedOn w:val="DefaultParagraphFont"/>
    <w:rsid w:val="001C3F18"/>
    <w:rPr>
      <w:rFonts w:ascii="Segoe UI" w:hAnsi="Segoe UI" w:cs="Segoe UI" w:hint="default"/>
      <w:sz w:val="18"/>
      <w:szCs w:val="18"/>
    </w:rPr>
  </w:style>
  <w:style w:type="paragraph" w:styleId="NormalWeb">
    <w:name w:val="Normal (Web)"/>
    <w:basedOn w:val="Normal"/>
    <w:uiPriority w:val="99"/>
    <w:unhideWhenUsed/>
    <w:rsid w:val="001C3F18"/>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C3F18"/>
    <w:rPr>
      <w:i/>
      <w:iCs/>
    </w:rPr>
  </w:style>
  <w:style w:type="paragraph" w:styleId="Revision">
    <w:name w:val="Revision"/>
    <w:hidden/>
    <w:uiPriority w:val="99"/>
    <w:semiHidden/>
    <w:rsid w:val="001C3F18"/>
    <w:pPr>
      <w:spacing w:after="0" w:line="240" w:lineRule="auto"/>
    </w:pPr>
    <w:rPr>
      <w:rFonts w:ascii="Calibri" w:eastAsia="Calibri" w:hAnsi="Calibri" w:cs="Calibri"/>
      <w:kern w:val="0"/>
      <w:lang w:val="en-US" w:eastAsia="nl-NL"/>
      <w14:ligatures w14:val="none"/>
    </w:rPr>
  </w:style>
  <w:style w:type="paragraph" w:styleId="PlainText">
    <w:name w:val="Plain Text"/>
    <w:basedOn w:val="Normal"/>
    <w:link w:val="PlainTextChar"/>
    <w:uiPriority w:val="99"/>
    <w:semiHidden/>
    <w:unhideWhenUsed/>
    <w:rsid w:val="001C3F18"/>
    <w:rPr>
      <w:rFonts w:cstheme="minorBidi"/>
      <w:szCs w:val="21"/>
    </w:rPr>
  </w:style>
  <w:style w:type="character" w:customStyle="1" w:styleId="PlainTextChar">
    <w:name w:val="Plain Text Char"/>
    <w:basedOn w:val="DefaultParagraphFont"/>
    <w:link w:val="PlainText"/>
    <w:uiPriority w:val="99"/>
    <w:semiHidden/>
    <w:rsid w:val="001C3F18"/>
    <w:rPr>
      <w:rFonts w:ascii="Calibri" w:eastAsia="Calibri" w:hAnsi="Calibri"/>
      <w:kern w:val="0"/>
      <w:szCs w:val="21"/>
      <w:lang w:val="en-US" w:eastAsia="nl-NL"/>
      <w14:ligatures w14:val="none"/>
    </w:rPr>
  </w:style>
  <w:style w:type="paragraph" w:styleId="Header">
    <w:name w:val="header"/>
    <w:basedOn w:val="Normal"/>
    <w:link w:val="HeaderChar"/>
    <w:uiPriority w:val="99"/>
    <w:unhideWhenUsed/>
    <w:rsid w:val="001C3F18"/>
    <w:pPr>
      <w:tabs>
        <w:tab w:val="center" w:pos="4513"/>
        <w:tab w:val="right" w:pos="9026"/>
      </w:tabs>
    </w:pPr>
  </w:style>
  <w:style w:type="character" w:customStyle="1" w:styleId="HeaderChar">
    <w:name w:val="Header Char"/>
    <w:basedOn w:val="DefaultParagraphFont"/>
    <w:link w:val="Header"/>
    <w:uiPriority w:val="99"/>
    <w:rsid w:val="001C3F18"/>
    <w:rPr>
      <w:rFonts w:ascii="Calibri" w:eastAsia="Calibri" w:hAnsi="Calibri" w:cs="Calibri"/>
      <w:kern w:val="0"/>
      <w:lang w:val="en-US" w:eastAsia="nl-NL"/>
      <w14:ligatures w14:val="none"/>
    </w:rPr>
  </w:style>
  <w:style w:type="paragraph" w:styleId="Footer">
    <w:name w:val="footer"/>
    <w:basedOn w:val="Normal"/>
    <w:link w:val="FooterChar"/>
    <w:uiPriority w:val="99"/>
    <w:unhideWhenUsed/>
    <w:rsid w:val="001C3F18"/>
    <w:pPr>
      <w:tabs>
        <w:tab w:val="center" w:pos="4513"/>
        <w:tab w:val="right" w:pos="9026"/>
      </w:tabs>
    </w:pPr>
  </w:style>
  <w:style w:type="character" w:customStyle="1" w:styleId="FooterChar">
    <w:name w:val="Footer Char"/>
    <w:basedOn w:val="DefaultParagraphFont"/>
    <w:link w:val="Footer"/>
    <w:uiPriority w:val="99"/>
    <w:rsid w:val="001C3F18"/>
    <w:rPr>
      <w:rFonts w:ascii="Calibri" w:eastAsia="Calibri" w:hAnsi="Calibri" w:cs="Calibri"/>
      <w:kern w:val="0"/>
      <w:lang w:val="en-US" w:eastAsia="nl-NL"/>
      <w14:ligatures w14:val="none"/>
    </w:rPr>
  </w:style>
  <w:style w:type="character" w:customStyle="1" w:styleId="ListParagraphChar">
    <w:name w:val="List Paragraph Char"/>
    <w:basedOn w:val="DefaultParagraphFont"/>
    <w:link w:val="ListParagraph"/>
    <w:uiPriority w:val="34"/>
    <w:rsid w:val="001C3F18"/>
    <w:rPr>
      <w:rFonts w:eastAsia="Calibri"/>
      <w:kern w:val="0"/>
      <w:lang w:val="en-US" w:eastAsia="nl-NL"/>
      <w14:ligatures w14:val="none"/>
    </w:rPr>
  </w:style>
  <w:style w:type="table" w:customStyle="1" w:styleId="TableGrid1">
    <w:name w:val="Table Grid1"/>
    <w:basedOn w:val="TableNormal"/>
    <w:next w:val="TableGrid"/>
    <w:uiPriority w:val="39"/>
    <w:rsid w:val="001C3F18"/>
    <w:pPr>
      <w:spacing w:after="0" w:line="240" w:lineRule="auto"/>
    </w:pPr>
    <w:rPr>
      <w:rFonts w:eastAsia="Calibri"/>
      <w:kern w:val="0"/>
      <w:lang w:val="de-DE"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3F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F18"/>
    <w:rPr>
      <w:rFonts w:ascii="Segoe UI" w:eastAsia="Calibri" w:hAnsi="Segoe UI" w:cs="Segoe UI"/>
      <w:kern w:val="0"/>
      <w:sz w:val="18"/>
      <w:szCs w:val="18"/>
      <w:lang w:val="en-US" w:eastAsia="nl-NL"/>
      <w14:ligatures w14:val="none"/>
    </w:rPr>
  </w:style>
  <w:style w:type="character" w:customStyle="1" w:styleId="UnresolvedMention1">
    <w:name w:val="Unresolved Mention1"/>
    <w:basedOn w:val="DefaultParagraphFont"/>
    <w:uiPriority w:val="99"/>
    <w:semiHidden/>
    <w:unhideWhenUsed/>
    <w:rsid w:val="001C3F18"/>
    <w:rPr>
      <w:color w:val="605E5C"/>
      <w:shd w:val="clear" w:color="auto" w:fill="E1DFDD"/>
    </w:rPr>
  </w:style>
  <w:style w:type="character" w:styleId="UnresolvedMention">
    <w:name w:val="Unresolved Mention"/>
    <w:basedOn w:val="DefaultParagraphFont"/>
    <w:uiPriority w:val="99"/>
    <w:semiHidden/>
    <w:unhideWhenUsed/>
    <w:rsid w:val="001C3F18"/>
    <w:rPr>
      <w:color w:val="605E5C"/>
      <w:shd w:val="clear" w:color="auto" w:fill="E1DFDD"/>
    </w:rPr>
  </w:style>
  <w:style w:type="paragraph" w:customStyle="1" w:styleId="xmsolistparagraph">
    <w:name w:val="x_msolistparagraph"/>
    <w:basedOn w:val="Normal"/>
    <w:rsid w:val="001C3F18"/>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1C3F18"/>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1C3F1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C3F18"/>
    <w:rPr>
      <w:rFonts w:ascii="Georgia" w:eastAsia="Georgia" w:hAnsi="Georgia" w:cs="Georgia"/>
      <w:i/>
      <w:color w:val="666666"/>
      <w:kern w:val="0"/>
      <w:sz w:val="48"/>
      <w:szCs w:val="48"/>
      <w:lang w:val="en-US" w:eastAsia="nl-NL"/>
      <w14:ligatures w14:val="none"/>
    </w:rPr>
  </w:style>
  <w:style w:type="character" w:styleId="FollowedHyperlink">
    <w:name w:val="FollowedHyperlink"/>
    <w:basedOn w:val="DefaultParagraphFont"/>
    <w:uiPriority w:val="99"/>
    <w:semiHidden/>
    <w:unhideWhenUsed/>
    <w:rsid w:val="001C3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iadnelabs.org/serious-illness-care/serious-illness-care-program/" TargetMode="External"/><Relationship Id="rId13" Type="http://schemas.openxmlformats.org/officeDocument/2006/relationships/hyperlink" Target="https://doi.org/10.1111/jth.15788" TargetMode="External"/><Relationship Id="rId18" Type="http://schemas.openxmlformats.org/officeDocument/2006/relationships/hyperlink" Target="https://doi.org/10.1016/j.rpth.2025.10283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vitaltalk.org/" TargetMode="External"/><Relationship Id="rId12" Type="http://schemas.openxmlformats.org/officeDocument/2006/relationships/hyperlink" Target="https://doi.org/10.1177/1076029619864663" TargetMode="External"/><Relationship Id="rId17" Type="http://schemas.openxmlformats.org/officeDocument/2006/relationships/hyperlink" Target="https://doi.org/10.1111/jan.1547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3/eurjcn/zvae012" TargetMode="External"/><Relationship Id="rId20" Type="http://schemas.openxmlformats.org/officeDocument/2006/relationships/hyperlink" Target="https://www.ariadnelabs.org/serious-illness-care/serious-illness-care-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nrdp.2018.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rth2.12651" TargetMode="External"/><Relationship Id="rId23" Type="http://schemas.openxmlformats.org/officeDocument/2006/relationships/image" Target="media/image1.png"/><Relationship Id="rId10" Type="http://schemas.openxmlformats.org/officeDocument/2006/relationships/hyperlink" Target="https://doi.org/10.1093/eurheartj/ehab816" TargetMode="External"/><Relationship Id="rId19" Type="http://schemas.openxmlformats.org/officeDocument/2006/relationships/hyperlink" Target="http://www.vitaltalk.org/" TargetMode="External"/><Relationship Id="rId4" Type="http://schemas.openxmlformats.org/officeDocument/2006/relationships/webSettings" Target="webSettings.xml"/><Relationship Id="rId9" Type="http://schemas.openxmlformats.org/officeDocument/2006/relationships/hyperlink" Target="https://doi.org/10.1111/bjhp.12213" TargetMode="External"/><Relationship Id="rId14" Type="http://schemas.openxmlformats.org/officeDocument/2006/relationships/hyperlink" Target="https://doi.org/10.1002/rth2.12647" TargetMode="External"/><Relationship Id="rId22" Type="http://schemas.openxmlformats.org/officeDocument/2006/relationships/hyperlink" Target="https://communication.thrombos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Klok, F.A. (STOL)</dc:creator>
  <cp:keywords/>
  <dc:description/>
  <cp:lastModifiedBy>Aviva Schwartz</cp:lastModifiedBy>
  <cp:revision>2</cp:revision>
  <dcterms:created xsi:type="dcterms:W3CDTF">2025-06-13T18:59:00Z</dcterms:created>
  <dcterms:modified xsi:type="dcterms:W3CDTF">2025-06-13T18:59:00Z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2025-04-23T10:50:08Z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87435b5e-5f9d-4507-be5c-fe71b41157a2</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ies>
</file>