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3BABC" w14:textId="7E3A62E5" w:rsidR="00D475B6" w:rsidRDefault="00F34475" w:rsidP="519F8C63">
      <w:pPr>
        <w:pStyle w:val="Heading1"/>
        <w:rPr>
          <w:b/>
          <w:bCs/>
          <w:sz w:val="28"/>
          <w:szCs w:val="28"/>
        </w:rPr>
      </w:pPr>
      <w:r w:rsidRPr="519F8C63">
        <w:rPr>
          <w:b/>
          <w:bCs/>
          <w:sz w:val="28"/>
          <w:szCs w:val="28"/>
        </w:rPr>
        <w:t>Can sign-naïve adults learn about the phonological regularities of an unfamiliar sign language from minimal exposure?</w:t>
      </w:r>
    </w:p>
    <w:p w14:paraId="2B83BABD" w14:textId="77777777" w:rsidR="00D475B6" w:rsidRDefault="00D475B6"/>
    <w:p w14:paraId="2B83BABE" w14:textId="77777777" w:rsidR="00D475B6" w:rsidRDefault="00D475B6"/>
    <w:p w14:paraId="2B83BABF" w14:textId="77777777" w:rsidR="00D475B6" w:rsidRDefault="00F34475">
      <w:pPr>
        <w:spacing w:after="0" w:line="360" w:lineRule="auto"/>
        <w:rPr>
          <w:sz w:val="24"/>
          <w:szCs w:val="24"/>
        </w:rPr>
      </w:pPr>
      <w:r>
        <w:rPr>
          <w:b/>
          <w:color w:val="242424"/>
          <w:sz w:val="24"/>
          <w:szCs w:val="24"/>
        </w:rPr>
        <w:t xml:space="preserve">Authorship and </w:t>
      </w:r>
      <w:proofErr w:type="spellStart"/>
      <w:r>
        <w:rPr>
          <w:b/>
          <w:color w:val="242424"/>
          <w:sz w:val="24"/>
          <w:szCs w:val="24"/>
        </w:rPr>
        <w:t>Contributorship</w:t>
      </w:r>
      <w:proofErr w:type="spellEnd"/>
      <w:r>
        <w:rPr>
          <w:b/>
          <w:color w:val="242424"/>
          <w:sz w:val="24"/>
          <w:szCs w:val="24"/>
        </w:rPr>
        <w:t xml:space="preserve"> Statement</w:t>
      </w:r>
    </w:p>
    <w:p w14:paraId="2B83BAC0" w14:textId="77777777" w:rsidR="00D475B6" w:rsidRDefault="00F34475">
      <w:pPr>
        <w:spacing w:after="0" w:line="360" w:lineRule="auto"/>
        <w:rPr>
          <w:sz w:val="24"/>
          <w:szCs w:val="24"/>
        </w:rPr>
      </w:pPr>
      <w:r>
        <w:rPr>
          <w:b/>
          <w:color w:val="000000"/>
          <w:sz w:val="24"/>
          <w:szCs w:val="24"/>
        </w:rPr>
        <w:t>Julia Hofweber:</w:t>
      </w:r>
      <w:r>
        <w:rPr>
          <w:color w:val="000000"/>
          <w:sz w:val="24"/>
          <w:szCs w:val="24"/>
        </w:rPr>
        <w:t xml:space="preserve"> conceptualization; data curation; formal analysis; methodology; investigation; visualization; writing – original draft preparation; writing – review and editing. </w:t>
      </w:r>
    </w:p>
    <w:p w14:paraId="2B83BAC1" w14:textId="77777777" w:rsidR="00D475B6" w:rsidRDefault="00F34475">
      <w:pPr>
        <w:spacing w:after="0" w:line="360" w:lineRule="auto"/>
        <w:rPr>
          <w:sz w:val="24"/>
          <w:szCs w:val="24"/>
        </w:rPr>
      </w:pPr>
      <w:r>
        <w:rPr>
          <w:b/>
          <w:color w:val="000000"/>
          <w:sz w:val="24"/>
          <w:szCs w:val="24"/>
        </w:rPr>
        <w:t xml:space="preserve">Lizzy </w:t>
      </w:r>
      <w:proofErr w:type="spellStart"/>
      <w:r>
        <w:rPr>
          <w:b/>
          <w:color w:val="000000"/>
          <w:sz w:val="24"/>
          <w:szCs w:val="24"/>
        </w:rPr>
        <w:t>Aumônier</w:t>
      </w:r>
      <w:proofErr w:type="spellEnd"/>
      <w:r>
        <w:rPr>
          <w:b/>
          <w:color w:val="000000"/>
          <w:sz w:val="24"/>
          <w:szCs w:val="24"/>
        </w:rPr>
        <w:t>:</w:t>
      </w:r>
      <w:r>
        <w:rPr>
          <w:color w:val="000000"/>
          <w:sz w:val="24"/>
          <w:szCs w:val="24"/>
        </w:rPr>
        <w:t xml:space="preserve"> conceptualization; formal analysis; investigation; methodology. </w:t>
      </w:r>
    </w:p>
    <w:p w14:paraId="2B83BAC2" w14:textId="77777777" w:rsidR="00D475B6" w:rsidRDefault="00F34475">
      <w:pPr>
        <w:spacing w:after="0" w:line="360" w:lineRule="auto"/>
        <w:rPr>
          <w:sz w:val="24"/>
          <w:szCs w:val="24"/>
        </w:rPr>
      </w:pPr>
      <w:r>
        <w:rPr>
          <w:b/>
          <w:color w:val="000000"/>
          <w:sz w:val="24"/>
          <w:szCs w:val="24"/>
        </w:rPr>
        <w:t>Vikki Janke</w:t>
      </w:r>
      <w:r>
        <w:rPr>
          <w:color w:val="000000"/>
          <w:sz w:val="24"/>
          <w:szCs w:val="24"/>
        </w:rPr>
        <w:t xml:space="preserve">: conceptualization; formal analysis; funding acquisition; methodology; project administration and supervision; writing – original draft preparation; writing – review and editing. </w:t>
      </w:r>
    </w:p>
    <w:p w14:paraId="2B83BAC3" w14:textId="77777777" w:rsidR="00D475B6" w:rsidRDefault="00F34475">
      <w:pPr>
        <w:spacing w:after="0" w:line="360" w:lineRule="auto"/>
        <w:rPr>
          <w:sz w:val="24"/>
          <w:szCs w:val="24"/>
        </w:rPr>
      </w:pPr>
      <w:r>
        <w:rPr>
          <w:b/>
          <w:color w:val="000000"/>
          <w:sz w:val="24"/>
          <w:szCs w:val="24"/>
        </w:rPr>
        <w:t>Marianne Gullberg:</w:t>
      </w:r>
      <w:r>
        <w:rPr>
          <w:color w:val="000000"/>
          <w:sz w:val="24"/>
          <w:szCs w:val="24"/>
        </w:rPr>
        <w:t xml:space="preserve"> conceptualization; formal analysis; funding acquisition; methodology; project administration and supervision; resources; writing – original draft preparation; writing – review and editing. </w:t>
      </w:r>
    </w:p>
    <w:p w14:paraId="2B83BAC4" w14:textId="77777777" w:rsidR="00D475B6" w:rsidRDefault="00F34475">
      <w:pPr>
        <w:spacing w:after="0" w:line="360" w:lineRule="auto"/>
        <w:rPr>
          <w:sz w:val="24"/>
          <w:szCs w:val="24"/>
        </w:rPr>
      </w:pPr>
      <w:r>
        <w:rPr>
          <w:b/>
          <w:color w:val="000000"/>
          <w:sz w:val="24"/>
          <w:szCs w:val="24"/>
        </w:rPr>
        <w:t>Chloë Marshall:</w:t>
      </w:r>
      <w:r>
        <w:rPr>
          <w:color w:val="000000"/>
          <w:sz w:val="24"/>
          <w:szCs w:val="24"/>
        </w:rPr>
        <w:t xml:space="preserve"> conceptualization; formal analysis; funding acquisition; methodology; investigation; project administration and supervision; resources; writing – original draft preparation; writing – review and editing.</w:t>
      </w:r>
    </w:p>
    <w:p w14:paraId="2B83BAC5" w14:textId="77777777" w:rsidR="00D475B6" w:rsidRDefault="00D475B6">
      <w:pPr>
        <w:spacing w:after="0" w:line="360" w:lineRule="auto"/>
        <w:rPr>
          <w:color w:val="000000"/>
          <w:sz w:val="24"/>
          <w:szCs w:val="24"/>
        </w:rPr>
      </w:pPr>
    </w:p>
    <w:p w14:paraId="2B83BAC6" w14:textId="77777777" w:rsidR="00D475B6" w:rsidRDefault="00F34475">
      <w:pPr>
        <w:rPr>
          <w:color w:val="000000"/>
          <w:sz w:val="24"/>
          <w:szCs w:val="24"/>
        </w:rPr>
      </w:pPr>
      <w:r>
        <w:rPr>
          <w:b/>
          <w:sz w:val="24"/>
          <w:szCs w:val="24"/>
        </w:rPr>
        <w:t xml:space="preserve">Corresponding author: </w:t>
      </w:r>
      <w:r>
        <w:rPr>
          <w:color w:val="000000"/>
          <w:sz w:val="24"/>
          <w:szCs w:val="24"/>
        </w:rPr>
        <w:t xml:space="preserve">Chloë Marshall, UCL Institute of Education, 20 Bedford Way, London WC1H 0AL, UK. Email: </w:t>
      </w:r>
      <w:hyperlink r:id="rId8">
        <w:r w:rsidR="00D475B6">
          <w:rPr>
            <w:color w:val="0563C1"/>
            <w:sz w:val="24"/>
            <w:szCs w:val="24"/>
            <w:u w:val="single"/>
          </w:rPr>
          <w:t>chloe.marshall@ucl.ac.uk</w:t>
        </w:r>
      </w:hyperlink>
    </w:p>
    <w:p w14:paraId="2B83BAC7" w14:textId="77777777" w:rsidR="00D475B6" w:rsidRDefault="00F34475">
      <w:pPr>
        <w:spacing w:after="0" w:line="360" w:lineRule="auto"/>
        <w:rPr>
          <w:sz w:val="24"/>
          <w:szCs w:val="24"/>
        </w:rPr>
      </w:pPr>
      <w:r>
        <w:rPr>
          <w:b/>
          <w:color w:val="000000"/>
          <w:sz w:val="24"/>
          <w:szCs w:val="24"/>
        </w:rPr>
        <w:t xml:space="preserve">ORCID ID: </w:t>
      </w:r>
      <w:r>
        <w:rPr>
          <w:sz w:val="24"/>
          <w:szCs w:val="24"/>
        </w:rPr>
        <w:t xml:space="preserve">https://orcid.org/0000-0003-2405-1999 </w:t>
      </w:r>
    </w:p>
    <w:p w14:paraId="2B83BAC8" w14:textId="77777777" w:rsidR="00D475B6" w:rsidRDefault="00D475B6">
      <w:pPr>
        <w:spacing w:after="0" w:line="360" w:lineRule="auto"/>
        <w:rPr>
          <w:sz w:val="24"/>
          <w:szCs w:val="24"/>
        </w:rPr>
      </w:pPr>
    </w:p>
    <w:p w14:paraId="2B83BAC9" w14:textId="77777777" w:rsidR="00D475B6" w:rsidRDefault="00D475B6">
      <w:pPr>
        <w:spacing w:after="0" w:line="360" w:lineRule="auto"/>
        <w:rPr>
          <w:sz w:val="24"/>
          <w:szCs w:val="24"/>
        </w:rPr>
      </w:pPr>
    </w:p>
    <w:p w14:paraId="2B83BACA" w14:textId="77777777" w:rsidR="00D475B6" w:rsidRDefault="00D475B6">
      <w:pPr>
        <w:spacing w:after="0" w:line="360" w:lineRule="auto"/>
        <w:rPr>
          <w:sz w:val="24"/>
          <w:szCs w:val="24"/>
        </w:rPr>
      </w:pPr>
    </w:p>
    <w:p w14:paraId="2B83BACB" w14:textId="77777777" w:rsidR="00D475B6" w:rsidRDefault="00D475B6">
      <w:pPr>
        <w:spacing w:after="0" w:line="360" w:lineRule="auto"/>
        <w:rPr>
          <w:sz w:val="24"/>
          <w:szCs w:val="24"/>
        </w:rPr>
      </w:pPr>
    </w:p>
    <w:p w14:paraId="2B83BACC" w14:textId="77777777" w:rsidR="00D475B6" w:rsidRDefault="00D475B6">
      <w:pPr>
        <w:spacing w:after="0" w:line="360" w:lineRule="auto"/>
        <w:rPr>
          <w:sz w:val="24"/>
          <w:szCs w:val="24"/>
        </w:rPr>
      </w:pPr>
    </w:p>
    <w:p w14:paraId="1C0CBE0F" w14:textId="77777777" w:rsidR="00EE7378" w:rsidRDefault="00EE7378">
      <w:pPr>
        <w:spacing w:after="0" w:line="360" w:lineRule="auto"/>
        <w:rPr>
          <w:sz w:val="24"/>
          <w:szCs w:val="24"/>
        </w:rPr>
      </w:pPr>
    </w:p>
    <w:p w14:paraId="2B83BACD" w14:textId="77777777" w:rsidR="00D475B6" w:rsidRDefault="00D475B6">
      <w:pPr>
        <w:spacing w:after="0" w:line="360" w:lineRule="auto"/>
        <w:rPr>
          <w:sz w:val="24"/>
          <w:szCs w:val="24"/>
        </w:rPr>
      </w:pPr>
    </w:p>
    <w:p w14:paraId="2B83BACE" w14:textId="77777777" w:rsidR="00D475B6" w:rsidRDefault="00D475B6">
      <w:pPr>
        <w:spacing w:after="0" w:line="360" w:lineRule="auto"/>
        <w:rPr>
          <w:sz w:val="24"/>
          <w:szCs w:val="24"/>
        </w:rPr>
      </w:pPr>
    </w:p>
    <w:p w14:paraId="2B83BACF" w14:textId="77777777" w:rsidR="00D475B6" w:rsidRDefault="00D475B6">
      <w:pPr>
        <w:spacing w:after="0" w:line="360" w:lineRule="auto"/>
        <w:rPr>
          <w:sz w:val="24"/>
          <w:szCs w:val="24"/>
        </w:rPr>
      </w:pPr>
    </w:p>
    <w:p w14:paraId="2B83BAD0" w14:textId="77777777" w:rsidR="00D475B6" w:rsidRDefault="00F34475">
      <w:pPr>
        <w:rPr>
          <w:color w:val="0A0A0A"/>
          <w:sz w:val="24"/>
          <w:szCs w:val="24"/>
        </w:rPr>
      </w:pPr>
      <w:r>
        <w:rPr>
          <w:b/>
          <w:color w:val="0A0A0A"/>
          <w:sz w:val="24"/>
          <w:szCs w:val="24"/>
        </w:rPr>
        <w:t>Data, code and materials availability statement</w:t>
      </w:r>
    </w:p>
    <w:p w14:paraId="2B83BAD1" w14:textId="77777777" w:rsidR="00D475B6" w:rsidRDefault="00F34475">
      <w:pPr>
        <w:rPr>
          <w:color w:val="000000"/>
          <w:sz w:val="24"/>
          <w:szCs w:val="24"/>
        </w:rPr>
      </w:pPr>
      <w:r>
        <w:rPr>
          <w:b/>
          <w:color w:val="0A0A0A"/>
          <w:sz w:val="24"/>
          <w:szCs w:val="24"/>
        </w:rPr>
        <w:t xml:space="preserve">Data: </w:t>
      </w:r>
      <w:r>
        <w:rPr>
          <w:color w:val="0A0A0A"/>
          <w:sz w:val="24"/>
          <w:szCs w:val="24"/>
        </w:rPr>
        <w:t xml:space="preserve">available on the open science framework, </w:t>
      </w:r>
      <w:r>
        <w:rPr>
          <w:color w:val="000000"/>
          <w:sz w:val="24"/>
          <w:szCs w:val="24"/>
        </w:rPr>
        <w:t>https://osf.io/8hrp6/</w:t>
      </w:r>
    </w:p>
    <w:p w14:paraId="2B83BAD2" w14:textId="77777777" w:rsidR="00D475B6" w:rsidRDefault="00F34475">
      <w:pPr>
        <w:rPr>
          <w:color w:val="000000"/>
          <w:sz w:val="24"/>
          <w:szCs w:val="24"/>
        </w:rPr>
      </w:pPr>
      <w:r>
        <w:rPr>
          <w:b/>
          <w:color w:val="000000"/>
          <w:sz w:val="24"/>
          <w:szCs w:val="24"/>
        </w:rPr>
        <w:t xml:space="preserve">Code: </w:t>
      </w:r>
      <w:r>
        <w:rPr>
          <w:color w:val="0A0A0A"/>
          <w:sz w:val="24"/>
          <w:szCs w:val="24"/>
        </w:rPr>
        <w:t xml:space="preserve">available on the open science framework, </w:t>
      </w:r>
      <w:r>
        <w:rPr>
          <w:color w:val="000000"/>
          <w:sz w:val="24"/>
          <w:szCs w:val="24"/>
        </w:rPr>
        <w:t>https://osf.io/8hrp6/, in the document ‘</w:t>
      </w:r>
      <w:proofErr w:type="spellStart"/>
      <w:r>
        <w:rPr>
          <w:color w:val="000000"/>
          <w:sz w:val="24"/>
          <w:szCs w:val="24"/>
        </w:rPr>
        <w:t>R_script</w:t>
      </w:r>
      <w:r>
        <w:rPr>
          <w:sz w:val="24"/>
          <w:szCs w:val="24"/>
        </w:rPr>
        <w:t>s</w:t>
      </w:r>
      <w:proofErr w:type="spellEnd"/>
      <w:r>
        <w:rPr>
          <w:color w:val="000000"/>
          <w:sz w:val="24"/>
          <w:szCs w:val="24"/>
        </w:rPr>
        <w:t>’</w:t>
      </w:r>
    </w:p>
    <w:p w14:paraId="2B83BAD3" w14:textId="77777777" w:rsidR="00D475B6" w:rsidRDefault="00F34475">
      <w:pPr>
        <w:rPr>
          <w:color w:val="000000"/>
          <w:sz w:val="24"/>
          <w:szCs w:val="24"/>
        </w:rPr>
      </w:pPr>
      <w:r>
        <w:rPr>
          <w:b/>
          <w:color w:val="000000"/>
          <w:sz w:val="24"/>
          <w:szCs w:val="24"/>
        </w:rPr>
        <w:t xml:space="preserve">Materials: </w:t>
      </w:r>
      <w:r>
        <w:rPr>
          <w:color w:val="000000"/>
          <w:sz w:val="24"/>
          <w:szCs w:val="24"/>
        </w:rPr>
        <w:t>available on the open science framework,</w:t>
      </w:r>
      <w:r>
        <w:rPr>
          <w:color w:val="0A0A0A"/>
          <w:sz w:val="24"/>
          <w:szCs w:val="24"/>
        </w:rPr>
        <w:t xml:space="preserve"> </w:t>
      </w:r>
      <w:r>
        <w:rPr>
          <w:color w:val="000000"/>
          <w:sz w:val="24"/>
          <w:szCs w:val="24"/>
        </w:rPr>
        <w:t>https://osf.io/8hrp6/, in the folder ‘</w:t>
      </w:r>
      <w:proofErr w:type="spellStart"/>
      <w:r>
        <w:rPr>
          <w:color w:val="000000"/>
          <w:sz w:val="24"/>
          <w:szCs w:val="24"/>
        </w:rPr>
        <w:t>Experiment_regularities</w:t>
      </w:r>
      <w:proofErr w:type="spellEnd"/>
      <w:r>
        <w:rPr>
          <w:color w:val="000000"/>
          <w:sz w:val="24"/>
          <w:szCs w:val="24"/>
        </w:rPr>
        <w:t xml:space="preserve">’, in </w:t>
      </w:r>
      <w:r>
        <w:rPr>
          <w:sz w:val="24"/>
          <w:szCs w:val="24"/>
        </w:rPr>
        <w:t>‘Weather forecast video’ (accompanied by ‘The weather forecast script in English’),</w:t>
      </w:r>
      <w:r>
        <w:rPr>
          <w:color w:val="000000"/>
          <w:sz w:val="24"/>
          <w:szCs w:val="24"/>
        </w:rPr>
        <w:t xml:space="preserve"> and in the pdf document ‘questionnaire’</w:t>
      </w:r>
    </w:p>
    <w:p w14:paraId="2B83BAD4" w14:textId="77777777" w:rsidR="00D475B6" w:rsidRDefault="00F34475">
      <w:pPr>
        <w:rPr>
          <w:color w:val="000000"/>
          <w:sz w:val="24"/>
          <w:szCs w:val="24"/>
        </w:rPr>
      </w:pPr>
      <w:r>
        <w:rPr>
          <w:color w:val="242424"/>
          <w:sz w:val="24"/>
          <w:szCs w:val="24"/>
        </w:rPr>
        <w:t>The Editor granted exemptions to materials sharing for the following sets of materials, on the basis that they are proprietary and subject to copyright:</w:t>
      </w:r>
      <w:r>
        <w:rPr>
          <w:color w:val="000000"/>
          <w:sz w:val="24"/>
          <w:szCs w:val="24"/>
        </w:rPr>
        <w:t xml:space="preserve"> (1) the English vocabulary subtest of the Wechsler Adult Intelligence Scale WAIS-IV (Wechsler et al., 2008), and (2) the matrices subtest of the Wechsler Adult Intelligence Scale WAIS-III (Wechsler, 1997).</w:t>
      </w:r>
    </w:p>
    <w:p w14:paraId="2B83BAD5" w14:textId="77777777" w:rsidR="00D475B6" w:rsidRDefault="00D475B6">
      <w:pPr>
        <w:rPr>
          <w:color w:val="000000"/>
          <w:sz w:val="24"/>
          <w:szCs w:val="24"/>
        </w:rPr>
      </w:pPr>
    </w:p>
    <w:p w14:paraId="2B83BAD6" w14:textId="77777777" w:rsidR="00D475B6" w:rsidRDefault="00F34475">
      <w:pPr>
        <w:rPr>
          <w:b/>
          <w:color w:val="000000"/>
          <w:sz w:val="24"/>
          <w:szCs w:val="24"/>
        </w:rPr>
      </w:pPr>
      <w:r>
        <w:rPr>
          <w:b/>
          <w:color w:val="000000"/>
          <w:sz w:val="24"/>
          <w:szCs w:val="24"/>
        </w:rPr>
        <w:t>Ethics statement</w:t>
      </w:r>
    </w:p>
    <w:p w14:paraId="2B83BAD7" w14:textId="77777777" w:rsidR="00D475B6" w:rsidRDefault="00F34475">
      <w:pPr>
        <w:rPr>
          <w:color w:val="000000"/>
          <w:sz w:val="24"/>
          <w:szCs w:val="24"/>
        </w:rPr>
      </w:pPr>
      <w:r>
        <w:rPr>
          <w:color w:val="000000"/>
          <w:sz w:val="24"/>
          <w:szCs w:val="24"/>
        </w:rPr>
        <w:t>This study was granted ethical approval by the Research Ethics Committee of the UCL Institute of Education, number REC 1156, on 18</w:t>
      </w:r>
      <w:r>
        <w:rPr>
          <w:color w:val="000000"/>
          <w:sz w:val="24"/>
          <w:szCs w:val="24"/>
          <w:vertAlign w:val="superscript"/>
        </w:rPr>
        <w:t>th</w:t>
      </w:r>
      <w:r>
        <w:rPr>
          <w:color w:val="000000"/>
          <w:sz w:val="24"/>
          <w:szCs w:val="24"/>
        </w:rPr>
        <w:t xml:space="preserve"> January 2019. An amendment to allow for online data collection was approved by the same committee on 20</w:t>
      </w:r>
      <w:r>
        <w:rPr>
          <w:color w:val="000000"/>
          <w:sz w:val="24"/>
          <w:szCs w:val="24"/>
          <w:vertAlign w:val="superscript"/>
        </w:rPr>
        <w:t>th</w:t>
      </w:r>
      <w:r>
        <w:rPr>
          <w:color w:val="000000"/>
          <w:sz w:val="24"/>
          <w:szCs w:val="24"/>
        </w:rPr>
        <w:t xml:space="preserve"> July 2020.</w:t>
      </w:r>
    </w:p>
    <w:p w14:paraId="2B83BAD8" w14:textId="77777777" w:rsidR="00D475B6" w:rsidRDefault="00D475B6">
      <w:pPr>
        <w:rPr>
          <w:color w:val="000000"/>
          <w:sz w:val="24"/>
          <w:szCs w:val="24"/>
        </w:rPr>
      </w:pPr>
    </w:p>
    <w:p w14:paraId="2B83BAD9" w14:textId="77777777" w:rsidR="00D475B6" w:rsidRDefault="00F34475">
      <w:pPr>
        <w:rPr>
          <w:b/>
          <w:color w:val="000000"/>
          <w:sz w:val="24"/>
          <w:szCs w:val="24"/>
        </w:rPr>
      </w:pPr>
      <w:r>
        <w:rPr>
          <w:b/>
          <w:color w:val="000000"/>
          <w:sz w:val="24"/>
          <w:szCs w:val="24"/>
        </w:rPr>
        <w:t>Acknowledgements</w:t>
      </w:r>
    </w:p>
    <w:p w14:paraId="2B83BADA" w14:textId="77777777" w:rsidR="00D475B6" w:rsidRDefault="00F34475">
      <w:pPr>
        <w:spacing w:line="257" w:lineRule="auto"/>
        <w:rPr>
          <w:sz w:val="24"/>
          <w:szCs w:val="24"/>
        </w:rPr>
      </w:pPr>
      <w:r>
        <w:rPr>
          <w:sz w:val="24"/>
          <w:szCs w:val="24"/>
        </w:rPr>
        <w:t xml:space="preserve">This work was funded by an International Academic Fellowship (IAF2016023 awarded to </w:t>
      </w:r>
      <w:r>
        <w:rPr>
          <w:color w:val="000000"/>
          <w:sz w:val="24"/>
          <w:szCs w:val="24"/>
        </w:rPr>
        <w:t>Chlo</w:t>
      </w:r>
      <w:r>
        <w:rPr>
          <w:sz w:val="24"/>
          <w:szCs w:val="24"/>
        </w:rPr>
        <w:t xml:space="preserve">ë Marshall) and a Research Grant (RPG-2018-333 awarded to </w:t>
      </w:r>
      <w:r>
        <w:rPr>
          <w:color w:val="000000"/>
          <w:sz w:val="24"/>
          <w:szCs w:val="24"/>
        </w:rPr>
        <w:t>Chlo</w:t>
      </w:r>
      <w:r>
        <w:rPr>
          <w:sz w:val="24"/>
          <w:szCs w:val="24"/>
        </w:rPr>
        <w:t xml:space="preserve">ë Marshall, </w:t>
      </w:r>
      <w:r>
        <w:rPr>
          <w:color w:val="000000"/>
          <w:sz w:val="24"/>
          <w:szCs w:val="24"/>
        </w:rPr>
        <w:t>Marianne Gullberg</w:t>
      </w:r>
      <w:r>
        <w:rPr>
          <w:sz w:val="24"/>
          <w:szCs w:val="24"/>
        </w:rPr>
        <w:t xml:space="preserve">, and </w:t>
      </w:r>
      <w:r>
        <w:rPr>
          <w:color w:val="000000"/>
          <w:sz w:val="24"/>
          <w:szCs w:val="24"/>
        </w:rPr>
        <w:t>Vikki Janke</w:t>
      </w:r>
      <w:r>
        <w:rPr>
          <w:sz w:val="24"/>
          <w:szCs w:val="24"/>
        </w:rPr>
        <w:t xml:space="preserve">) from the Leverhulme Trust. We thank Linnéa Lindén, Peter Roslund, Henrik Garde and Josien Greidanus at Lund University Humanities Lab for their assistance with creating the experimental materials, and Vassilis </w:t>
      </w:r>
      <w:proofErr w:type="spellStart"/>
      <w:r>
        <w:rPr>
          <w:sz w:val="24"/>
          <w:szCs w:val="24"/>
        </w:rPr>
        <w:t>Sideropoulos</w:t>
      </w:r>
      <w:proofErr w:type="spellEnd"/>
      <w:r>
        <w:rPr>
          <w:sz w:val="24"/>
          <w:szCs w:val="24"/>
        </w:rPr>
        <w:t xml:space="preserve"> at the UCL Institute of Education for his statistical advice.</w:t>
      </w:r>
    </w:p>
    <w:p w14:paraId="2B83BADB" w14:textId="77777777" w:rsidR="00D475B6" w:rsidRDefault="00F34475">
      <w:r>
        <w:br/>
      </w:r>
    </w:p>
    <w:p w14:paraId="2B83BADC" w14:textId="77777777" w:rsidR="00D475B6" w:rsidRDefault="00D475B6">
      <w:pPr>
        <w:rPr>
          <w:color w:val="000000"/>
          <w:sz w:val="24"/>
          <w:szCs w:val="24"/>
        </w:rPr>
      </w:pPr>
    </w:p>
    <w:p w14:paraId="2B83BADD" w14:textId="77777777" w:rsidR="00D475B6" w:rsidRDefault="00D475B6">
      <w:pPr>
        <w:rPr>
          <w:color w:val="000000"/>
          <w:sz w:val="24"/>
          <w:szCs w:val="24"/>
        </w:rPr>
      </w:pPr>
    </w:p>
    <w:p w14:paraId="2B83BADE" w14:textId="77777777" w:rsidR="00D475B6" w:rsidRDefault="00D475B6">
      <w:pPr>
        <w:rPr>
          <w:color w:val="000000"/>
          <w:sz w:val="24"/>
          <w:szCs w:val="24"/>
        </w:rPr>
      </w:pPr>
    </w:p>
    <w:p w14:paraId="2B83BADF" w14:textId="77777777" w:rsidR="00D475B6" w:rsidRDefault="00D475B6">
      <w:pPr>
        <w:rPr>
          <w:color w:val="000000"/>
          <w:sz w:val="24"/>
          <w:szCs w:val="24"/>
        </w:rPr>
      </w:pPr>
    </w:p>
    <w:p w14:paraId="2B83BAE0" w14:textId="77777777" w:rsidR="00D475B6" w:rsidRDefault="00D475B6">
      <w:pPr>
        <w:rPr>
          <w:color w:val="000000"/>
          <w:sz w:val="24"/>
          <w:szCs w:val="24"/>
        </w:rPr>
      </w:pPr>
    </w:p>
    <w:p w14:paraId="2B83BAE1" w14:textId="77777777" w:rsidR="00D475B6" w:rsidRDefault="00D475B6">
      <w:pPr>
        <w:rPr>
          <w:color w:val="000000"/>
          <w:sz w:val="24"/>
          <w:szCs w:val="24"/>
        </w:rPr>
      </w:pPr>
    </w:p>
    <w:p w14:paraId="2B83BAE4" w14:textId="77777777" w:rsidR="00D475B6" w:rsidRDefault="00F34475">
      <w:pPr>
        <w:pStyle w:val="Heading2"/>
        <w:rPr>
          <w:rFonts w:ascii="Calibri" w:eastAsia="Calibri" w:hAnsi="Calibri" w:cs="Calibri"/>
          <w:sz w:val="28"/>
          <w:szCs w:val="28"/>
        </w:rPr>
      </w:pPr>
      <w:r>
        <w:rPr>
          <w:sz w:val="28"/>
          <w:szCs w:val="28"/>
        </w:rPr>
        <w:t>Abstract</w:t>
      </w:r>
    </w:p>
    <w:p w14:paraId="2B83BAE5" w14:textId="77777777" w:rsidR="00D475B6" w:rsidRDefault="00F34475">
      <w:pPr>
        <w:spacing w:after="0" w:line="360" w:lineRule="auto"/>
        <w:rPr>
          <w:color w:val="000000"/>
          <w:sz w:val="24"/>
          <w:szCs w:val="24"/>
          <w:highlight w:val="yellow"/>
        </w:rPr>
      </w:pPr>
      <w:r>
        <w:rPr>
          <w:color w:val="000000"/>
          <w:sz w:val="24"/>
          <w:szCs w:val="24"/>
        </w:rPr>
        <w:t xml:space="preserve">Adults can extract phonological regularities from just several minutes’ exposure to naturalistic input of an unknown spoken language (Gullberg et al., 2010). We examined whether such implicit statistical learning mechanisms also operate in the sign language modality. The input materials consisted of a continuous sign stream in the form of a weather forecast in </w:t>
      </w:r>
      <w:proofErr w:type="spellStart"/>
      <w:r>
        <w:rPr>
          <w:color w:val="111111"/>
          <w:sz w:val="24"/>
          <w:szCs w:val="24"/>
        </w:rPr>
        <w:t>Svenskt</w:t>
      </w:r>
      <w:proofErr w:type="spellEnd"/>
      <w:r>
        <w:rPr>
          <w:color w:val="111111"/>
          <w:sz w:val="24"/>
          <w:szCs w:val="24"/>
        </w:rPr>
        <w:t xml:space="preserve"> </w:t>
      </w:r>
      <w:proofErr w:type="spellStart"/>
      <w:r>
        <w:rPr>
          <w:color w:val="111111"/>
          <w:sz w:val="24"/>
          <w:szCs w:val="24"/>
        </w:rPr>
        <w:t>Teckenspråk</w:t>
      </w:r>
      <w:proofErr w:type="spellEnd"/>
      <w:r>
        <w:rPr>
          <w:color w:val="000000"/>
          <w:sz w:val="24"/>
          <w:szCs w:val="24"/>
        </w:rPr>
        <w:t xml:space="preserve"> (STS). L1-speakers of English with no prior knowledge of a sign language were assigned to two experimental groups who watched the forecast once (N=43) or twice (N=38), and a control group who did not watch it (N=40). Participants completed a ‘surprise’ lexical decision task designed to tap into their awareness of the phonological properties of the core STS lexicon. They viewed individual signs and indicated whether or not these could be real STS signs. The signs comprised four sets: STS signs that (1) were presented, and (2) were not presented, in the forecast; and signs that are not STS signs and (3) contain handshapes outside the STS handshape inventory, and (4) contain sets of phonological features that are dispreferred across sign languages. We found </w:t>
      </w:r>
      <w:r>
        <w:rPr>
          <w:i/>
          <w:color w:val="000000"/>
          <w:sz w:val="24"/>
          <w:szCs w:val="24"/>
        </w:rPr>
        <w:t>no</w:t>
      </w:r>
      <w:r>
        <w:rPr>
          <w:color w:val="000000"/>
          <w:sz w:val="24"/>
          <w:szCs w:val="24"/>
        </w:rPr>
        <w:t xml:space="preserve"> evidence of any learning of STS phonological regularities.  Considered in conjunction with two companion studies which </w:t>
      </w:r>
      <w:r>
        <w:rPr>
          <w:i/>
          <w:color w:val="000000"/>
          <w:sz w:val="24"/>
          <w:szCs w:val="24"/>
        </w:rPr>
        <w:t>did</w:t>
      </w:r>
      <w:r>
        <w:rPr>
          <w:color w:val="000000"/>
          <w:sz w:val="24"/>
          <w:szCs w:val="24"/>
        </w:rPr>
        <w:t xml:space="preserve"> demonstrate some learning of sign forms and their meanings </w:t>
      </w:r>
      <w:r>
        <w:rPr>
          <w:sz w:val="24"/>
          <w:szCs w:val="24"/>
        </w:rPr>
        <w:t>from</w:t>
      </w:r>
      <w:r>
        <w:rPr>
          <w:color w:val="000000"/>
          <w:sz w:val="24"/>
          <w:szCs w:val="24"/>
        </w:rPr>
        <w:t xml:space="preserve"> these same input materials, our findings suggest limits to what can be learnt after just a few minutes of implicit and naturalistic exposure to language in an unfamiliar modality: information about specific lexical items is learnable, but information that requires generalisation across items may require greater amounts, or a different quality, of input. </w:t>
      </w:r>
    </w:p>
    <w:p w14:paraId="2B83BAE6" w14:textId="77777777" w:rsidR="00D475B6" w:rsidRDefault="00D475B6">
      <w:pPr>
        <w:spacing w:line="360" w:lineRule="auto"/>
        <w:rPr>
          <w:color w:val="000000"/>
          <w:sz w:val="24"/>
          <w:szCs w:val="24"/>
        </w:rPr>
      </w:pPr>
    </w:p>
    <w:p w14:paraId="2B83BAE7" w14:textId="77777777" w:rsidR="00D475B6" w:rsidRDefault="00F34475">
      <w:pPr>
        <w:pStyle w:val="Heading2"/>
        <w:rPr>
          <w:sz w:val="28"/>
          <w:szCs w:val="28"/>
        </w:rPr>
      </w:pPr>
      <w:r>
        <w:rPr>
          <w:sz w:val="28"/>
          <w:szCs w:val="28"/>
        </w:rPr>
        <w:t>Keywords</w:t>
      </w:r>
    </w:p>
    <w:p w14:paraId="2B83BAE8" w14:textId="77777777" w:rsidR="00D475B6" w:rsidRDefault="00F34475">
      <w:pPr>
        <w:spacing w:line="360" w:lineRule="auto"/>
        <w:rPr>
          <w:color w:val="000000"/>
          <w:sz w:val="24"/>
          <w:szCs w:val="24"/>
        </w:rPr>
      </w:pPr>
      <w:r>
        <w:rPr>
          <w:color w:val="000000"/>
          <w:sz w:val="24"/>
          <w:szCs w:val="24"/>
        </w:rPr>
        <w:t>Sign language; implicit learning; first exposure; phonological regularities; iconicity</w:t>
      </w:r>
    </w:p>
    <w:p w14:paraId="2B83BAE9" w14:textId="77777777" w:rsidR="00D475B6" w:rsidRDefault="00D475B6">
      <w:pPr>
        <w:spacing w:line="360" w:lineRule="auto"/>
        <w:rPr>
          <w:color w:val="000000"/>
          <w:sz w:val="24"/>
          <w:szCs w:val="24"/>
        </w:rPr>
      </w:pPr>
    </w:p>
    <w:p w14:paraId="2B83BAEA" w14:textId="77777777" w:rsidR="00D475B6" w:rsidRDefault="00D475B6">
      <w:pPr>
        <w:spacing w:line="360" w:lineRule="auto"/>
        <w:rPr>
          <w:color w:val="000000"/>
          <w:sz w:val="24"/>
          <w:szCs w:val="24"/>
        </w:rPr>
      </w:pPr>
    </w:p>
    <w:p w14:paraId="0D61BC8E" w14:textId="77777777" w:rsidR="00EE7378" w:rsidRDefault="00EE7378">
      <w:pPr>
        <w:spacing w:line="360" w:lineRule="auto"/>
        <w:rPr>
          <w:color w:val="000000"/>
          <w:sz w:val="24"/>
          <w:szCs w:val="24"/>
        </w:rPr>
      </w:pPr>
    </w:p>
    <w:p w14:paraId="2B83BAEB" w14:textId="77777777" w:rsidR="00D475B6" w:rsidRDefault="00F34475">
      <w:pPr>
        <w:pStyle w:val="Heading2"/>
        <w:rPr>
          <w:rFonts w:ascii="Calibri" w:eastAsia="Calibri" w:hAnsi="Calibri" w:cs="Calibri"/>
          <w:sz w:val="28"/>
          <w:szCs w:val="28"/>
        </w:rPr>
      </w:pPr>
      <w:r>
        <w:rPr>
          <w:sz w:val="28"/>
          <w:szCs w:val="28"/>
        </w:rPr>
        <w:lastRenderedPageBreak/>
        <w:t>Introduction</w:t>
      </w:r>
    </w:p>
    <w:p w14:paraId="2B83BAEC" w14:textId="77777777" w:rsidR="00D475B6" w:rsidRDefault="00F34475">
      <w:pPr>
        <w:spacing w:after="0" w:line="360" w:lineRule="auto"/>
        <w:rPr>
          <w:sz w:val="24"/>
          <w:szCs w:val="24"/>
        </w:rPr>
      </w:pPr>
      <w:r>
        <w:rPr>
          <w:sz w:val="24"/>
          <w:szCs w:val="24"/>
        </w:rPr>
        <w:t xml:space="preserve">The universality – or not – of language acquisition mechanisms has far-reaching implications for the disciplines of psycholinguistics, theoretical linguistics and language pedagogy. Although a substantial body of research has investigated language acquisition in both children and adults, the focus has been almost exclusively on spoken languages (Kidd &amp; Garcia, 2022; </w:t>
      </w:r>
      <w:proofErr w:type="spellStart"/>
      <w:r>
        <w:rPr>
          <w:sz w:val="24"/>
          <w:szCs w:val="24"/>
        </w:rPr>
        <w:t>Schönström</w:t>
      </w:r>
      <w:proofErr w:type="spellEnd"/>
      <w:r>
        <w:rPr>
          <w:sz w:val="24"/>
          <w:szCs w:val="24"/>
        </w:rPr>
        <w:t xml:space="preserve">, 2021). Sign languages – which are perceived and produced in the visuo-gestural modality – have been relatively neglected, meaning that little is known about the extent to which their acquisition and developmental trajectory resemble spoken languages. This is problematic because theories of first and second language acquisition based solely on spoken languages (and on the written form of some of those languages) make universal claims, yet it is not known whether those theories hold for sign languages too (Gullberg, 2022; Hou &amp; Morford, 2020; Lillo-Martin &amp; Hochgesang, 2022). </w:t>
      </w:r>
    </w:p>
    <w:p w14:paraId="2B83BAED" w14:textId="77777777" w:rsidR="00D475B6" w:rsidRDefault="00D475B6">
      <w:pPr>
        <w:spacing w:after="0" w:line="360" w:lineRule="auto"/>
        <w:rPr>
          <w:sz w:val="24"/>
          <w:szCs w:val="24"/>
        </w:rPr>
      </w:pPr>
    </w:p>
    <w:p w14:paraId="2B83BAEE" w14:textId="77777777" w:rsidR="00D475B6" w:rsidRDefault="00F34475">
      <w:pPr>
        <w:spacing w:after="0" w:line="360" w:lineRule="auto"/>
        <w:rPr>
          <w:sz w:val="24"/>
          <w:szCs w:val="24"/>
        </w:rPr>
      </w:pPr>
      <w:r>
        <w:rPr>
          <w:sz w:val="24"/>
          <w:szCs w:val="24"/>
        </w:rPr>
        <w:t xml:space="preserve">The focus of the current paper is on adult language acquisition mechanisms. An important issue in spoken second language acquisition research concerns how adults are able to learn new languages implicitly, and the type of linguistic knowledge they are able to acquire in this way. We extend this inquiry to sign language acquisition, and specifically to whether </w:t>
      </w:r>
      <w:r>
        <w:rPr>
          <w:color w:val="000000"/>
          <w:sz w:val="24"/>
          <w:szCs w:val="24"/>
        </w:rPr>
        <w:t>sign-naïve adults can learn about the phonological regularities of a target sign language at first exposure.</w:t>
      </w:r>
      <w:r>
        <w:rPr>
          <w:sz w:val="24"/>
          <w:szCs w:val="24"/>
        </w:rPr>
        <w:t xml:space="preserve"> In this introduction we review literature on implicit language learning at first exposure, before summarising the key findings of two studies on implicit sign language learning at first exposure that relate directly to the current one and so help situate and motivate it. </w:t>
      </w:r>
    </w:p>
    <w:p w14:paraId="2B83BAEF" w14:textId="77777777" w:rsidR="00D475B6" w:rsidRDefault="00D475B6">
      <w:pPr>
        <w:rPr>
          <w:sz w:val="24"/>
          <w:szCs w:val="24"/>
        </w:rPr>
      </w:pPr>
    </w:p>
    <w:p w14:paraId="2B83BAF0" w14:textId="77777777" w:rsidR="00D475B6" w:rsidRDefault="00F34475">
      <w:pPr>
        <w:rPr>
          <w:b/>
          <w:sz w:val="24"/>
          <w:szCs w:val="24"/>
        </w:rPr>
      </w:pPr>
      <w:r>
        <w:rPr>
          <w:b/>
          <w:sz w:val="24"/>
          <w:szCs w:val="24"/>
        </w:rPr>
        <w:t>Implicit language learning on first exposure to naturalistic input</w:t>
      </w:r>
    </w:p>
    <w:p w14:paraId="2B83BAF1" w14:textId="70645A68" w:rsidR="00D475B6" w:rsidRDefault="00F34475" w:rsidP="6C0BAB00">
      <w:pPr>
        <w:spacing w:line="360" w:lineRule="auto"/>
        <w:rPr>
          <w:sz w:val="24"/>
          <w:szCs w:val="24"/>
        </w:rPr>
      </w:pPr>
      <w:r>
        <w:rPr>
          <w:sz w:val="24"/>
          <w:szCs w:val="24"/>
        </w:rPr>
        <w:t xml:space="preserve">In the field of adult second language acquisition, distinctions have traditionally been made between explicit and implicit learning. Explicit learning (often instructed learning in classrooms) is associated with intentional, deliberate attempts to memorise something with control, effort, and awareness, for example, in a setting where there has been advance warning of a test of learning. In contrast, implicit or incidental learning is characterised as learning without conscious attention to the input or effort, including in an experimental set-up in which </w:t>
      </w:r>
      <w:r>
        <w:rPr>
          <w:sz w:val="24"/>
          <w:szCs w:val="24"/>
        </w:rPr>
        <w:lastRenderedPageBreak/>
        <w:t xml:space="preserve">participants are unaware that there will be a test of learning, and where they therefore have no intention to learn and no awareness of what is being learnt (e.g., Andringa &amp; </w:t>
      </w:r>
      <w:proofErr w:type="spellStart"/>
      <w:r>
        <w:rPr>
          <w:sz w:val="24"/>
          <w:szCs w:val="24"/>
        </w:rPr>
        <w:t>Rebuschat</w:t>
      </w:r>
      <w:proofErr w:type="spellEnd"/>
      <w:r>
        <w:rPr>
          <w:sz w:val="24"/>
          <w:szCs w:val="24"/>
        </w:rPr>
        <w:t xml:space="preserve">, 2015; DeKeyser, 2003; </w:t>
      </w:r>
      <w:proofErr w:type="spellStart"/>
      <w:r>
        <w:rPr>
          <w:sz w:val="24"/>
          <w:szCs w:val="24"/>
        </w:rPr>
        <w:t>Godfroid</w:t>
      </w:r>
      <w:proofErr w:type="spellEnd"/>
      <w:r>
        <w:rPr>
          <w:sz w:val="24"/>
          <w:szCs w:val="24"/>
        </w:rPr>
        <w:t xml:space="preserve">, 2021; </w:t>
      </w:r>
      <w:proofErr w:type="spellStart"/>
      <w:r>
        <w:rPr>
          <w:sz w:val="24"/>
          <w:szCs w:val="24"/>
        </w:rPr>
        <w:t>Hulstijn</w:t>
      </w:r>
      <w:proofErr w:type="spellEnd"/>
      <w:r>
        <w:rPr>
          <w:sz w:val="24"/>
          <w:szCs w:val="24"/>
        </w:rPr>
        <w:t xml:space="preserve">, 2005; </w:t>
      </w:r>
      <w:proofErr w:type="spellStart"/>
      <w:r>
        <w:rPr>
          <w:sz w:val="24"/>
          <w:szCs w:val="24"/>
        </w:rPr>
        <w:t>Rebuschat</w:t>
      </w:r>
      <w:proofErr w:type="spellEnd"/>
      <w:r>
        <w:rPr>
          <w:sz w:val="24"/>
          <w:szCs w:val="24"/>
        </w:rPr>
        <w:t xml:space="preserve"> &amp; Williams, 2012, Williams, 2009, </w:t>
      </w:r>
      <w:r w:rsidRPr="519F8C63">
        <w:rPr>
          <w:i/>
          <w:iCs/>
          <w:sz w:val="24"/>
          <w:szCs w:val="24"/>
        </w:rPr>
        <w:t>inter alia</w:t>
      </w:r>
      <w:r>
        <w:rPr>
          <w:sz w:val="24"/>
          <w:szCs w:val="24"/>
        </w:rPr>
        <w:t>).</w:t>
      </w:r>
      <w:r w:rsidR="00EE7378">
        <w:rPr>
          <w:sz w:val="24"/>
          <w:szCs w:val="24"/>
        </w:rPr>
        <w:t xml:space="preserve"> The field is still rife with </w:t>
      </w:r>
      <w:r w:rsidR="00362CDF">
        <w:rPr>
          <w:sz w:val="24"/>
          <w:szCs w:val="24"/>
        </w:rPr>
        <w:t>debate, especially concerning whether implicit learning can ever actually be tested since the very face of testing draws attention to language and potentially to learning. However,</w:t>
      </w:r>
      <w:r>
        <w:rPr>
          <w:sz w:val="24"/>
          <w:szCs w:val="24"/>
        </w:rPr>
        <w:t xml:space="preserve"> </w:t>
      </w:r>
      <w:r w:rsidR="44A26661" w:rsidRPr="519F8C63">
        <w:rPr>
          <w:sz w:val="24"/>
          <w:szCs w:val="24"/>
        </w:rPr>
        <w:t>i</w:t>
      </w:r>
      <w:r w:rsidR="44A26661" w:rsidRPr="6C0BAB00">
        <w:rPr>
          <w:sz w:val="24"/>
          <w:szCs w:val="24"/>
          <w:highlight w:val="yellow"/>
        </w:rPr>
        <w:t>t is now widely recognised</w:t>
      </w:r>
      <w:r w:rsidRPr="6C0BAB00">
        <w:rPr>
          <w:sz w:val="24"/>
          <w:szCs w:val="24"/>
          <w:highlight w:val="yellow"/>
        </w:rPr>
        <w:t xml:space="preserve"> recognize</w:t>
      </w:r>
      <w:r w:rsidR="0F7C3083" w:rsidRPr="6C0BAB00">
        <w:rPr>
          <w:sz w:val="24"/>
          <w:szCs w:val="24"/>
          <w:highlight w:val="yellow"/>
        </w:rPr>
        <w:t>d</w:t>
      </w:r>
      <w:r w:rsidRPr="6C0BAB00">
        <w:rPr>
          <w:sz w:val="24"/>
          <w:szCs w:val="24"/>
          <w:highlight w:val="yellow"/>
        </w:rPr>
        <w:t xml:space="preserve"> that adult learning can take place under both explicit and implicit conditions.</w:t>
      </w:r>
      <w:r>
        <w:rPr>
          <w:sz w:val="24"/>
          <w:szCs w:val="24"/>
        </w:rPr>
        <w:t xml:space="preserve"> What is under discussion are the details, and which type of learning is optimal for which types of knowledge. </w:t>
      </w:r>
    </w:p>
    <w:p w14:paraId="2B83BAF2" w14:textId="08ACDCD1" w:rsidR="00D475B6" w:rsidRPr="009F41E7" w:rsidRDefault="00F34475" w:rsidP="009F41E7">
      <w:pPr>
        <w:spacing w:line="360" w:lineRule="auto"/>
        <w:rPr>
          <w:sz w:val="24"/>
          <w:szCs w:val="24"/>
        </w:rPr>
      </w:pPr>
      <w:r w:rsidRPr="009F41E7">
        <w:rPr>
          <w:sz w:val="24"/>
          <w:szCs w:val="24"/>
        </w:rPr>
        <w:t xml:space="preserve">The current study focuses on </w:t>
      </w:r>
      <w:r w:rsidRPr="009F41E7">
        <w:rPr>
          <w:i/>
          <w:iCs/>
          <w:sz w:val="24"/>
          <w:szCs w:val="24"/>
        </w:rPr>
        <w:t>implicit</w:t>
      </w:r>
      <w:r w:rsidRPr="009F41E7">
        <w:rPr>
          <w:sz w:val="24"/>
          <w:szCs w:val="24"/>
        </w:rPr>
        <w:t xml:space="preserve"> learning.</w:t>
      </w:r>
      <w:r w:rsidR="009F41E7" w:rsidRPr="009F41E7">
        <w:rPr>
          <w:sz w:val="24"/>
          <w:szCs w:val="24"/>
        </w:rPr>
        <w:t xml:space="preserve"> We use the term simply to refer to learning taking place without instruction or training, recognising the difficulties of assuring that there is no conscious effort to learn or awareness of what is being learnt. </w:t>
      </w:r>
      <w:r w:rsidRPr="009F41E7">
        <w:rPr>
          <w:sz w:val="24"/>
          <w:szCs w:val="24"/>
        </w:rPr>
        <w:t xml:space="preserve">Moreover, we focus on the very earliest stage of learning a new language, when the learner is a novice exposed to the language for the </w:t>
      </w:r>
      <w:r w:rsidRPr="009F41E7">
        <w:rPr>
          <w:i/>
          <w:iCs/>
          <w:sz w:val="24"/>
          <w:szCs w:val="24"/>
        </w:rPr>
        <w:t>first time</w:t>
      </w:r>
      <w:r w:rsidRPr="009F41E7">
        <w:rPr>
          <w:sz w:val="24"/>
          <w:szCs w:val="24"/>
        </w:rPr>
        <w:t xml:space="preserve">. Our interest is in how language learning gets off the ground, and specifically, how it does so when the language input is </w:t>
      </w:r>
      <w:r w:rsidRPr="009F41E7">
        <w:rPr>
          <w:i/>
          <w:iCs/>
          <w:sz w:val="24"/>
          <w:szCs w:val="24"/>
        </w:rPr>
        <w:t>naturalistic</w:t>
      </w:r>
      <w:r w:rsidRPr="009F41E7">
        <w:rPr>
          <w:sz w:val="24"/>
          <w:szCs w:val="24"/>
        </w:rPr>
        <w:t xml:space="preserve"> in form. Second</w:t>
      </w:r>
      <w:r w:rsidRPr="009F41E7">
        <w:rPr>
          <w:sz w:val="24"/>
          <w:szCs w:val="24"/>
          <w:vertAlign w:val="superscript"/>
        </w:rPr>
        <w:footnoteReference w:id="1"/>
      </w:r>
      <w:r w:rsidRPr="009F41E7">
        <w:rPr>
          <w:sz w:val="24"/>
          <w:szCs w:val="24"/>
        </w:rPr>
        <w:t xml:space="preserve"> language learning often takes place in instructed contexts, for example, in a classroom where linguistic input is broken down into manageable chunks, such as individual words, and often accompanied by explicit explanations, such as translations into the learner’s first language. However, this is not the only way in which learners might encounter a new language. In many contexts, such as migration to another country for personal, political or economic reasons during adult life, learners might instead encounter a new language in more informal contexts. This will involve implicit learning through interactions with colleagues, watching television, listening to song lyrics, playing video games and engaging with social media (see pioneering studies by Meisel et al., 1981; Perdue, 1984; and studies in the emerging field of informal second language learning, e.g., Arndt, 2019; Dressman, 2020; Sockett, 2022). An interesting question is how learning takes place in these scenarios, where input is more continuous in nature, and what exactly can be learnt.</w:t>
      </w:r>
    </w:p>
    <w:p w14:paraId="2B83BAF3" w14:textId="77777777" w:rsidR="00D475B6" w:rsidRDefault="00F34475">
      <w:pPr>
        <w:spacing w:line="360" w:lineRule="auto"/>
        <w:rPr>
          <w:sz w:val="24"/>
          <w:szCs w:val="24"/>
        </w:rPr>
      </w:pPr>
      <w:r>
        <w:rPr>
          <w:sz w:val="24"/>
          <w:szCs w:val="24"/>
        </w:rPr>
        <w:lastRenderedPageBreak/>
        <w:t xml:space="preserve">The process of breaking into a new language, what Klein (1986, p. 59) called the learner’s “problem of analysis”, contains three crucial aspects: (1) segmenting the continuous speech stream to identify relevant strings such as words, (2) identifying meaning that can be mapped onto those sound strings, and (3) generalising beyond the input exemplars to novel items so as to form linguistic categories and extract regularities. A set of three linked studies by Gullberg et al. (2010) investigated this very process by asking adult L1-speakers of Dutch to watch a 7-minute weather forecast presented in a typologically different, and previously unknown-to-them, language, namely Mandarin Chinese. Immediately after viewing the forecast, participants undertook ‘surprise’ tests tapping into form recognition, meaning assignment and phonotactic generalisations. Although participants found these tasks very challenging, and their overall performance was low, they did nevertheless show evidence of being able to extract word-form-related information, and of managing to extract lexical meaning from the context and map it onto word forms thus identified. They were also able to extract abstract, phonotactic information and generalize it to novel items not encountered in the input, a finding replicated by Ristin-Kaufman and Gullberg (2014) with the same materials but with Swiss-German speakers. These findings suggest that adult learners can deal efficiently and quickly with very complex language input at first exposure, even in the absence of instructions. </w:t>
      </w:r>
    </w:p>
    <w:p w14:paraId="2B83BAF4" w14:textId="77777777" w:rsidR="00D475B6" w:rsidRDefault="00F34475">
      <w:pPr>
        <w:spacing w:line="360" w:lineRule="auto"/>
        <w:rPr>
          <w:sz w:val="24"/>
          <w:szCs w:val="24"/>
        </w:rPr>
      </w:pPr>
      <w:r>
        <w:rPr>
          <w:sz w:val="24"/>
          <w:szCs w:val="24"/>
        </w:rPr>
        <w:t>A question that arises, however, is whether such results would obtain in languages other than spoken Mandarin. For example, could they be found for a sign language in participants unfamiliar with sign languages? In the next section we review evidence from two recent studies that suggests they can.</w:t>
      </w:r>
    </w:p>
    <w:p w14:paraId="2B83BAF5" w14:textId="77777777" w:rsidR="00D475B6" w:rsidRDefault="00D475B6">
      <w:pPr>
        <w:rPr>
          <w:sz w:val="24"/>
          <w:szCs w:val="24"/>
        </w:rPr>
      </w:pPr>
    </w:p>
    <w:p w14:paraId="2B83BAF6" w14:textId="77777777" w:rsidR="00D475B6" w:rsidRDefault="00F34475">
      <w:pPr>
        <w:rPr>
          <w:b/>
          <w:sz w:val="24"/>
          <w:szCs w:val="24"/>
        </w:rPr>
      </w:pPr>
      <w:r>
        <w:rPr>
          <w:b/>
          <w:sz w:val="24"/>
          <w:szCs w:val="24"/>
        </w:rPr>
        <w:t>Implicit learning in a new language modality: situating the current study</w:t>
      </w:r>
    </w:p>
    <w:p w14:paraId="2B83BAF7" w14:textId="30795FD7" w:rsidR="00D475B6" w:rsidRDefault="00F34475" w:rsidP="38A5A85B">
      <w:pPr>
        <w:spacing w:after="0" w:line="360" w:lineRule="auto"/>
        <w:rPr>
          <w:color w:val="000000" w:themeColor="text1"/>
          <w:sz w:val="24"/>
          <w:szCs w:val="24"/>
        </w:rPr>
      </w:pPr>
      <w:r w:rsidRPr="38A5A85B">
        <w:rPr>
          <w:sz w:val="24"/>
          <w:szCs w:val="24"/>
        </w:rPr>
        <w:t xml:space="preserve">We adapted Gullberg et al.’s (2010) implicit learning paradigm to a sign language (specifically, </w:t>
      </w:r>
      <w:r w:rsidRPr="38A5A85B">
        <w:rPr>
          <w:color w:val="000000" w:themeColor="text1"/>
          <w:sz w:val="24"/>
          <w:szCs w:val="24"/>
        </w:rPr>
        <w:t xml:space="preserve">Swedish Sign Language: </w:t>
      </w:r>
      <w:proofErr w:type="spellStart"/>
      <w:r w:rsidRPr="38A5A85B">
        <w:rPr>
          <w:color w:val="111111"/>
          <w:sz w:val="24"/>
          <w:szCs w:val="24"/>
          <w:highlight w:val="white"/>
        </w:rPr>
        <w:t>Svenskt</w:t>
      </w:r>
      <w:proofErr w:type="spellEnd"/>
      <w:r w:rsidRPr="38A5A85B">
        <w:rPr>
          <w:color w:val="111111"/>
          <w:sz w:val="24"/>
          <w:szCs w:val="24"/>
          <w:highlight w:val="white"/>
        </w:rPr>
        <w:t xml:space="preserve"> </w:t>
      </w:r>
      <w:proofErr w:type="spellStart"/>
      <w:r w:rsidRPr="38A5A85B">
        <w:rPr>
          <w:color w:val="111111"/>
          <w:sz w:val="24"/>
          <w:szCs w:val="24"/>
          <w:highlight w:val="white"/>
        </w:rPr>
        <w:t>teckenspråk</w:t>
      </w:r>
      <w:proofErr w:type="spellEnd"/>
      <w:r w:rsidRPr="38A5A85B">
        <w:rPr>
          <w:color w:val="000000" w:themeColor="text1"/>
          <w:sz w:val="24"/>
          <w:szCs w:val="24"/>
        </w:rPr>
        <w:t xml:space="preserve">, STS) to investigate whether the learning mechanisms identified in learners of spoken language at first exposure to uninstructed, naturalistic and continuous input are evident across the modality boundary. We created an STS weather forecast and produced STS versions of Gullberg et al.’s tasks for identifying word forms </w:t>
      </w:r>
      <w:r w:rsidRPr="38A5A85B">
        <w:rPr>
          <w:color w:val="000000" w:themeColor="text1"/>
          <w:sz w:val="24"/>
          <w:szCs w:val="24"/>
        </w:rPr>
        <w:lastRenderedPageBreak/>
        <w:t>and lexical meaning. In two studies linked to the current study, we showed that (1) sign novices can distinguish between signs that they have and have not seen in the STS weather forecast, revealing that they are able to identify sign forms in the sign stream (Hofweber et al., 2022), and that (2) they are able to assign meaning to signs more accurately than control participants who have not viewed the forecast (Hofweber et al., 2023). As in Gullberg et al.’s studies, performance was not high</w:t>
      </w:r>
      <w:r w:rsidRPr="38A5A85B">
        <w:rPr>
          <w:rStyle w:val="FootnoteReference"/>
          <w:color w:val="000000" w:themeColor="text1"/>
          <w:sz w:val="24"/>
          <w:szCs w:val="24"/>
          <w:highlight w:val="yellow"/>
        </w:rPr>
        <w:footnoteReference w:id="2"/>
      </w:r>
      <w:r w:rsidR="2DBBE6A8" w:rsidRPr="38A5A85B">
        <w:rPr>
          <w:color w:val="000000" w:themeColor="text1"/>
          <w:sz w:val="24"/>
          <w:szCs w:val="24"/>
          <w:highlight w:val="yellow"/>
        </w:rPr>
        <w:t>,</w:t>
      </w:r>
      <w:r w:rsidR="2DBBE6A8" w:rsidRPr="38A5A85B">
        <w:rPr>
          <w:color w:val="000000" w:themeColor="text1"/>
          <w:sz w:val="24"/>
          <w:szCs w:val="24"/>
        </w:rPr>
        <w:t xml:space="preserve"> </w:t>
      </w:r>
      <w:r w:rsidRPr="38A5A85B">
        <w:rPr>
          <w:color w:val="000000" w:themeColor="text1"/>
          <w:sz w:val="24"/>
          <w:szCs w:val="24"/>
        </w:rPr>
        <w:t xml:space="preserve">which indicates that the tasks are challenging. Nevertheless, the findings do provide evidence of implicit language learning. </w:t>
      </w:r>
    </w:p>
    <w:p w14:paraId="2B83BAF8" w14:textId="77777777" w:rsidR="00D475B6" w:rsidRDefault="00D475B6">
      <w:pPr>
        <w:spacing w:after="0" w:line="360" w:lineRule="auto"/>
        <w:rPr>
          <w:color w:val="000000"/>
          <w:sz w:val="24"/>
          <w:szCs w:val="24"/>
        </w:rPr>
      </w:pPr>
    </w:p>
    <w:p w14:paraId="2B83BAF9" w14:textId="40163DD0" w:rsidR="00D475B6" w:rsidRDefault="00F34475">
      <w:pPr>
        <w:spacing w:after="0" w:line="360" w:lineRule="auto"/>
        <w:rPr>
          <w:sz w:val="24"/>
          <w:szCs w:val="24"/>
        </w:rPr>
      </w:pPr>
      <w:r>
        <w:rPr>
          <w:color w:val="000000"/>
          <w:sz w:val="24"/>
          <w:szCs w:val="24"/>
        </w:rPr>
        <w:t xml:space="preserve">The </w:t>
      </w:r>
      <w:r>
        <w:rPr>
          <w:sz w:val="24"/>
          <w:szCs w:val="24"/>
        </w:rPr>
        <w:t xml:space="preserve">current study completes the trio of experiments by asking whether adults with no previous sign language exposure can generalise beyond encountered signed exemplars on first exposure. Can they, when presented with signs that they have not previously seen, make accurate judgements about which signs could be possible signs of the sign language they have viewed and those which could not? This question is particularly important with respect to implicit learning because whereas Hofweber et al.’s two previous studies focused on the encoding of lexical items in memory, here we ask whether sign novices </w:t>
      </w:r>
      <w:r w:rsidRPr="00EE0541">
        <w:rPr>
          <w:sz w:val="24"/>
          <w:szCs w:val="24"/>
          <w:highlight w:val="yellow"/>
        </w:rPr>
        <w:t>can extract regularities across those items.</w:t>
      </w:r>
      <w:r>
        <w:rPr>
          <w:sz w:val="24"/>
          <w:szCs w:val="24"/>
        </w:rPr>
        <w:t xml:space="preserve"> Language acquisition – whether in an individual’s first or subsequent languages – crucially involves learners being able to generalise beyond exemplars that they have encountered in the input, in order to form categories and establish regularities (see Ambridge, 2020, for an in-depth and up-to-date treatment of this topic). Hofweber et al. (2022, 2023) demonstrated that learners recognised and assigned meaning to new exemplars of lexical items viewed in the test phase of their studies. A remaining question, however, is whether they can establish regularities.</w:t>
      </w:r>
    </w:p>
    <w:p w14:paraId="2B83BAFA" w14:textId="77777777" w:rsidR="00D475B6" w:rsidRDefault="00D475B6">
      <w:pPr>
        <w:spacing w:after="0" w:line="360" w:lineRule="auto"/>
        <w:rPr>
          <w:sz w:val="24"/>
          <w:szCs w:val="24"/>
        </w:rPr>
      </w:pPr>
    </w:p>
    <w:p w14:paraId="2B83BAFB" w14:textId="77777777" w:rsidR="00D475B6" w:rsidRDefault="00F34475">
      <w:pPr>
        <w:spacing w:after="0" w:line="360" w:lineRule="auto"/>
        <w:rPr>
          <w:sz w:val="24"/>
          <w:szCs w:val="24"/>
        </w:rPr>
      </w:pPr>
      <w:r>
        <w:rPr>
          <w:sz w:val="24"/>
          <w:szCs w:val="24"/>
        </w:rPr>
        <w:t xml:space="preserve">Recall that Gullberg et al. (2010) showed that L1-Dutch-speaking adults could extract phonotactic regularities, i.e., highly abstract information about sound structures, from input in another newly encountered spoken language (Mandarin Chinese). More specifically, learners rejected consonant-vowel-consonant forms with a </w:t>
      </w:r>
      <w:proofErr w:type="spellStart"/>
      <w:r>
        <w:rPr>
          <w:sz w:val="24"/>
          <w:szCs w:val="24"/>
        </w:rPr>
        <w:t>phonotactically</w:t>
      </w:r>
      <w:proofErr w:type="spellEnd"/>
      <w:r>
        <w:rPr>
          <w:sz w:val="24"/>
          <w:szCs w:val="24"/>
        </w:rPr>
        <w:t xml:space="preserve">-illegal final consonant (e.g., </w:t>
      </w:r>
      <w:r>
        <w:rPr>
          <w:i/>
          <w:sz w:val="24"/>
          <w:szCs w:val="24"/>
        </w:rPr>
        <w:lastRenderedPageBreak/>
        <w:t>gam</w:t>
      </w:r>
      <w:r>
        <w:rPr>
          <w:sz w:val="24"/>
          <w:szCs w:val="24"/>
        </w:rPr>
        <w:t>). The ability to identify these words as impossible in Mandarin must have stemmed from participants analysing the new language input rather than from transferring their L1 phonotactic knowledge. This is because consonant-vowel-consonant words of this type are acceptable in Dutch (and, indeed, were accepted as possible Mandarin words by a control group of participants who had not viewed the weather forecast).</w:t>
      </w:r>
    </w:p>
    <w:p w14:paraId="2B83BAFC" w14:textId="77777777" w:rsidR="00D475B6" w:rsidRDefault="00D475B6">
      <w:pPr>
        <w:spacing w:after="0" w:line="360" w:lineRule="auto"/>
        <w:rPr>
          <w:sz w:val="24"/>
          <w:szCs w:val="24"/>
        </w:rPr>
      </w:pPr>
    </w:p>
    <w:p w14:paraId="2B83BAFD" w14:textId="77777777" w:rsidR="00D475B6" w:rsidRDefault="00F34475">
      <w:pPr>
        <w:spacing w:after="0" w:line="360" w:lineRule="auto"/>
        <w:rPr>
          <w:sz w:val="24"/>
          <w:szCs w:val="24"/>
        </w:rPr>
      </w:pPr>
      <w:r>
        <w:rPr>
          <w:sz w:val="24"/>
          <w:szCs w:val="24"/>
        </w:rPr>
        <w:t xml:space="preserve">At this point, one might reasonably ask how ‘phonotactics’ - a term coined in spoken language linguistics for the rule-based ways in which phonemes can be combined - relates to sign languages. In fact, just as there are phonotactic constraints in spoken languages, where not all combinations of phonemes are possible, so are there constraints on how the formational units of signs (i.e., handshapes, movements and locations) are combined. Certain formational properties are dispreferred in lexical signs across the world’s sign languages (Johnston &amp; Schembri, 2009; Sandler, 2012; Sandler &amp; Lillo-Martin, 2006). Examples of </w:t>
      </w:r>
      <w:proofErr w:type="spellStart"/>
      <w:r>
        <w:rPr>
          <w:sz w:val="24"/>
          <w:szCs w:val="24"/>
        </w:rPr>
        <w:t>phonotactically</w:t>
      </w:r>
      <w:proofErr w:type="spellEnd"/>
      <w:r>
        <w:rPr>
          <w:sz w:val="24"/>
          <w:szCs w:val="24"/>
        </w:rPr>
        <w:t>-dispreferred signs often involve a change of handshape, i.e., the second handshape involves a different set of selected fingers to the first (thereby violating the ‘selected fingers constraint’, Mandel, 1981), or two moving hands have different handshapes (thereby violating the ‘symmetry condition’, Battison, 1978).</w:t>
      </w:r>
    </w:p>
    <w:p w14:paraId="2B83BAFE" w14:textId="77777777" w:rsidR="00D475B6" w:rsidRDefault="00D475B6">
      <w:pPr>
        <w:spacing w:after="0" w:line="360" w:lineRule="auto"/>
        <w:rPr>
          <w:sz w:val="24"/>
          <w:szCs w:val="24"/>
        </w:rPr>
      </w:pPr>
    </w:p>
    <w:p w14:paraId="2B83BAFF" w14:textId="39B8F5AB" w:rsidR="00D475B6" w:rsidRDefault="00F34475">
      <w:pPr>
        <w:spacing w:after="0" w:line="360" w:lineRule="auto"/>
        <w:rPr>
          <w:sz w:val="24"/>
          <w:szCs w:val="24"/>
        </w:rPr>
      </w:pPr>
      <w:r w:rsidRPr="38A5A85B">
        <w:rPr>
          <w:sz w:val="24"/>
          <w:szCs w:val="24"/>
        </w:rPr>
        <w:t xml:space="preserve">Preliminary evidence indicates that people might indeed be sensitive to phonotactic regularities in sign when exposed to sign language for the first time. Hofweber et al. (2022) conducted a recognition test, whereby participants first watched a 4-minute weather forecast in STS and were then presented with individual signs. Their task was to decide whether or not each of those signs had or had not appeared in the forecast. There were two sets of items that participants had not seen in the forecast. One comprised phonologically plausible signs in that they were real signs of STS that shared some phonological features with the target signs. The second set, however, were phonologically implausible in that although they were real signs in other sign languages, they were not STS signs and contained phonological features that are dispreferred across the world’s sign languages (because they violated the selected fingers constraint or symmetry condition explained above). Participants were more accurate than </w:t>
      </w:r>
      <w:r w:rsidRPr="38A5A85B">
        <w:rPr>
          <w:sz w:val="24"/>
          <w:szCs w:val="24"/>
        </w:rPr>
        <w:lastRenderedPageBreak/>
        <w:t>chance at responding ‘no’ to both sets of signs that they had not seen in the forecast, but the fact that this effect was</w:t>
      </w:r>
      <w:r w:rsidR="7A2E13B6" w:rsidRPr="38A5A85B">
        <w:rPr>
          <w:sz w:val="24"/>
          <w:szCs w:val="24"/>
        </w:rPr>
        <w:t xml:space="preserve"> </w:t>
      </w:r>
      <w:r w:rsidRPr="38A5A85B">
        <w:rPr>
          <w:sz w:val="24"/>
          <w:szCs w:val="24"/>
        </w:rPr>
        <w:t>greater for the implausible signs than the plausible signs</w:t>
      </w:r>
      <w:r w:rsidR="28D9861A" w:rsidRPr="38A5A85B">
        <w:rPr>
          <w:sz w:val="24"/>
          <w:szCs w:val="24"/>
        </w:rPr>
        <w:t xml:space="preserve"> </w:t>
      </w:r>
      <w:r w:rsidRPr="38A5A85B">
        <w:rPr>
          <w:sz w:val="24"/>
          <w:szCs w:val="24"/>
        </w:rPr>
        <w:t>suggests some sensitivity to sign phonotactics.</w:t>
      </w:r>
    </w:p>
    <w:p w14:paraId="2B83BB00" w14:textId="77777777" w:rsidR="00D475B6" w:rsidRDefault="00D475B6">
      <w:pPr>
        <w:spacing w:after="0" w:line="360" w:lineRule="auto"/>
        <w:rPr>
          <w:sz w:val="24"/>
          <w:szCs w:val="24"/>
        </w:rPr>
      </w:pPr>
    </w:p>
    <w:p w14:paraId="2B83BB01" w14:textId="5F900453" w:rsidR="00D475B6" w:rsidRDefault="00F34475">
      <w:pPr>
        <w:spacing w:after="0" w:line="360" w:lineRule="auto"/>
        <w:rPr>
          <w:sz w:val="24"/>
          <w:szCs w:val="24"/>
        </w:rPr>
      </w:pPr>
      <w:r>
        <w:rPr>
          <w:sz w:val="24"/>
          <w:szCs w:val="24"/>
        </w:rPr>
        <w:t>Further with respect to sign language phonology and the phonotactic constraints discussed above, the core lexicon</w:t>
      </w:r>
      <w:r>
        <w:rPr>
          <w:sz w:val="24"/>
          <w:szCs w:val="24"/>
          <w:vertAlign w:val="superscript"/>
        </w:rPr>
        <w:footnoteReference w:id="3"/>
      </w:r>
      <w:r>
        <w:rPr>
          <w:sz w:val="24"/>
          <w:szCs w:val="24"/>
        </w:rPr>
        <w:t xml:space="preserve"> of each sign language uses a specific set of handshapes</w:t>
      </w:r>
      <w:r w:rsidR="0008518B">
        <w:rPr>
          <w:sz w:val="24"/>
          <w:szCs w:val="24"/>
        </w:rPr>
        <w:t>. The handshape inventory of any particular sign language is smaller than the larger set of handshapes attested among sign l</w:t>
      </w:r>
      <w:r w:rsidR="007B2A3A">
        <w:rPr>
          <w:sz w:val="24"/>
          <w:szCs w:val="24"/>
        </w:rPr>
        <w:t xml:space="preserve">anguages of the world (just as each particular spoken language </w:t>
      </w:r>
      <w:r w:rsidR="00DC0460">
        <w:rPr>
          <w:sz w:val="24"/>
          <w:szCs w:val="24"/>
        </w:rPr>
        <w:t xml:space="preserve">uses only a portion of the phonemes attested worldwide) </w:t>
      </w:r>
      <w:r>
        <w:rPr>
          <w:sz w:val="24"/>
          <w:szCs w:val="24"/>
        </w:rPr>
        <w:t xml:space="preserve">(Brentari &amp; </w:t>
      </w:r>
      <w:proofErr w:type="spellStart"/>
      <w:r>
        <w:rPr>
          <w:sz w:val="24"/>
          <w:szCs w:val="24"/>
        </w:rPr>
        <w:t>Eccarius</w:t>
      </w:r>
      <w:proofErr w:type="spellEnd"/>
      <w:r>
        <w:rPr>
          <w:sz w:val="24"/>
          <w:szCs w:val="24"/>
        </w:rPr>
        <w:t xml:space="preserve">, 2010). This inventory may be augmented by handshapes that represent letters in the one-handed manual alphabet (‘fingerspelling’). The inventory for STS can be found here </w:t>
      </w:r>
      <w:hyperlink r:id="rId9">
        <w:r w:rsidR="00D475B6">
          <w:rPr>
            <w:color w:val="0563C1"/>
            <w:sz w:val="24"/>
            <w:szCs w:val="24"/>
            <w:u w:val="single"/>
          </w:rPr>
          <w:t>https://teckensprakslexikon.su.se/handformer</w:t>
        </w:r>
      </w:hyperlink>
      <w:r>
        <w:rPr>
          <w:sz w:val="24"/>
          <w:szCs w:val="24"/>
        </w:rPr>
        <w:t xml:space="preserve">. We investigated whether our participants would be sensitive to the handshapes that had occurred in the weather forecast so, when shown signs that they had </w:t>
      </w:r>
      <w:r w:rsidRPr="519F8C63">
        <w:rPr>
          <w:i/>
          <w:iCs/>
          <w:sz w:val="24"/>
          <w:szCs w:val="24"/>
        </w:rPr>
        <w:t>not</w:t>
      </w:r>
      <w:r>
        <w:rPr>
          <w:sz w:val="24"/>
          <w:szCs w:val="24"/>
        </w:rPr>
        <w:t xml:space="preserve"> seen in the input materials, would accept signs that contain handshapes they </w:t>
      </w:r>
      <w:r w:rsidRPr="519F8C63">
        <w:rPr>
          <w:i/>
          <w:iCs/>
          <w:sz w:val="24"/>
          <w:szCs w:val="24"/>
        </w:rPr>
        <w:t>had</w:t>
      </w:r>
      <w:r>
        <w:rPr>
          <w:sz w:val="24"/>
          <w:szCs w:val="24"/>
        </w:rPr>
        <w:t xml:space="preserve"> seen as possible signs of the language but reject signs that contained handshapes they had not seen. Because in the current study we look at both phonotactics and handshapes, we use the broader term ‘phonological regularities’ from here on.</w:t>
      </w:r>
    </w:p>
    <w:p w14:paraId="2B83BB02" w14:textId="77777777" w:rsidR="00D475B6" w:rsidRDefault="00D475B6">
      <w:pPr>
        <w:spacing w:after="0" w:line="360" w:lineRule="auto"/>
        <w:rPr>
          <w:sz w:val="24"/>
          <w:szCs w:val="24"/>
        </w:rPr>
      </w:pPr>
    </w:p>
    <w:p w14:paraId="2B83BB03" w14:textId="77777777" w:rsidR="00D475B6" w:rsidRDefault="00F34475">
      <w:pPr>
        <w:spacing w:after="0" w:line="360" w:lineRule="auto"/>
        <w:rPr>
          <w:color w:val="000000"/>
          <w:sz w:val="24"/>
          <w:szCs w:val="24"/>
        </w:rPr>
      </w:pPr>
      <w:r>
        <w:rPr>
          <w:sz w:val="24"/>
          <w:szCs w:val="24"/>
        </w:rPr>
        <w:t xml:space="preserve">For the current task, we used the same STS weather forecast exposure video as in Hofweber et al. (2022, 2023) but administered a different experimental task to determine whether sign novices are sensitive to phonological regularities in a newly encountered sign language. Our experimental task required participants to decide whether the signs being shown were real signs of STS or not. There were four sets of signs. Two of these sets comprised real STS signs, one of which appeared in the forecast and one of which did not. The remaining two sets </w:t>
      </w:r>
      <w:r>
        <w:rPr>
          <w:sz w:val="24"/>
          <w:szCs w:val="24"/>
        </w:rPr>
        <w:lastRenderedPageBreak/>
        <w:t>comprised signs that are not signs of STS (and therefore which also did not appear in the forecast). More specifically, one of these sets comprised signs with</w:t>
      </w:r>
      <w:r>
        <w:rPr>
          <w:color w:val="000000"/>
          <w:sz w:val="24"/>
          <w:szCs w:val="24"/>
        </w:rPr>
        <w:t xml:space="preserve"> handshapes outside the STS handshape inventory, and the other comprised signs with sets of phonological features that are dispreferred across sign languages (because they violated the </w:t>
      </w:r>
      <w:r>
        <w:rPr>
          <w:sz w:val="24"/>
          <w:szCs w:val="24"/>
        </w:rPr>
        <w:t>selected fingers constraint or symmetry condition)</w:t>
      </w:r>
      <w:r>
        <w:rPr>
          <w:color w:val="000000"/>
          <w:sz w:val="24"/>
          <w:szCs w:val="24"/>
        </w:rPr>
        <w:t>.</w:t>
      </w:r>
    </w:p>
    <w:p w14:paraId="2B83BB04" w14:textId="77777777" w:rsidR="00D475B6" w:rsidRDefault="00D475B6">
      <w:pPr>
        <w:spacing w:after="0" w:line="360" w:lineRule="auto"/>
        <w:rPr>
          <w:color w:val="000000"/>
          <w:sz w:val="24"/>
          <w:szCs w:val="24"/>
        </w:rPr>
      </w:pPr>
    </w:p>
    <w:p w14:paraId="2B83BB05" w14:textId="77777777" w:rsidR="00D475B6" w:rsidRDefault="00F34475">
      <w:pPr>
        <w:spacing w:after="0" w:line="360" w:lineRule="auto"/>
        <w:rPr>
          <w:sz w:val="24"/>
          <w:szCs w:val="24"/>
        </w:rPr>
      </w:pPr>
      <w:r>
        <w:rPr>
          <w:sz w:val="24"/>
          <w:szCs w:val="24"/>
        </w:rPr>
        <w:t xml:space="preserve">Of course, it might be the case that people who have never experienced a sign language nevertheless have expectations of what signs might look like. After all, they bring with them a lifetime of using their hands to make co-speech gestures and of watching the co-speech gestures of others. Furthermore, there is growing evidence that the phonological system is, at least in part, </w:t>
      </w:r>
      <w:proofErr w:type="spellStart"/>
      <w:r>
        <w:rPr>
          <w:sz w:val="24"/>
          <w:szCs w:val="24"/>
        </w:rPr>
        <w:t>amodal</w:t>
      </w:r>
      <w:proofErr w:type="spellEnd"/>
      <w:r>
        <w:rPr>
          <w:sz w:val="24"/>
          <w:szCs w:val="24"/>
        </w:rPr>
        <w:t xml:space="preserve">, and that sign-naïve adults can transfer knowledge of regularities in their spoken L1 to signs (Berent &amp; </w:t>
      </w:r>
      <w:proofErr w:type="spellStart"/>
      <w:r>
        <w:rPr>
          <w:sz w:val="24"/>
          <w:szCs w:val="24"/>
        </w:rPr>
        <w:t>Gervain</w:t>
      </w:r>
      <w:proofErr w:type="spellEnd"/>
      <w:r>
        <w:rPr>
          <w:sz w:val="24"/>
          <w:szCs w:val="24"/>
        </w:rPr>
        <w:t>, 2023, and references therein). It is possible that certain hand configurations and movements are more plausible than others when people are required to make an explicit judgement on what could or could not be a sign. To control for this possibility, a group of participants undertook the lexical decision task without having watched the weather forecast.</w:t>
      </w:r>
    </w:p>
    <w:p w14:paraId="2B83BB06" w14:textId="77777777" w:rsidR="00D475B6" w:rsidRDefault="00D475B6">
      <w:pPr>
        <w:spacing w:after="0" w:line="360" w:lineRule="auto"/>
        <w:rPr>
          <w:sz w:val="24"/>
          <w:szCs w:val="24"/>
        </w:rPr>
      </w:pPr>
    </w:p>
    <w:p w14:paraId="2B83BB07" w14:textId="77777777" w:rsidR="00D475B6" w:rsidRDefault="00F34475">
      <w:pPr>
        <w:spacing w:after="0" w:line="360" w:lineRule="auto"/>
        <w:rPr>
          <w:sz w:val="24"/>
          <w:szCs w:val="24"/>
        </w:rPr>
      </w:pPr>
      <w:r>
        <w:rPr>
          <w:sz w:val="24"/>
          <w:szCs w:val="24"/>
        </w:rPr>
        <w:t xml:space="preserve">We expected the task to be challenging (as it was for the participants in the studies by Gullberg et al., 2010; Hofweber et al., 2022; Hofweber et al., 2023; Ristin-Kaufmann &amp; Gullberg, 2014), but predicted that participants who had viewed the forecast would be more accurate at distinguishing between STS and non-STS signs than those who had not viewed it. Importantly, if participants were able to accept both real STS signs that they had just viewed and signs that they had not, and also reject signs that are not signs of STS (which, by definition, would not have appeared in the forecast), this would indicate some level of generalization across the input and not just the recognition of viewed exemplars. </w:t>
      </w:r>
    </w:p>
    <w:p w14:paraId="2B83BB08" w14:textId="77777777" w:rsidR="00D475B6" w:rsidRDefault="00D475B6">
      <w:pPr>
        <w:rPr>
          <w:sz w:val="24"/>
          <w:szCs w:val="24"/>
        </w:rPr>
      </w:pPr>
    </w:p>
    <w:p w14:paraId="2B83BB09" w14:textId="77777777" w:rsidR="00D475B6" w:rsidRDefault="00F34475">
      <w:pPr>
        <w:pStyle w:val="Heading2"/>
        <w:rPr>
          <w:rFonts w:ascii="Calibri" w:eastAsia="Calibri" w:hAnsi="Calibri" w:cs="Calibri"/>
          <w:sz w:val="28"/>
          <w:szCs w:val="28"/>
        </w:rPr>
      </w:pPr>
      <w:r>
        <w:rPr>
          <w:sz w:val="28"/>
          <w:szCs w:val="28"/>
        </w:rPr>
        <w:lastRenderedPageBreak/>
        <w:t>Methods</w:t>
      </w:r>
    </w:p>
    <w:p w14:paraId="2B83BB0A" w14:textId="77777777" w:rsidR="00D475B6" w:rsidRDefault="00F34475">
      <w:pPr>
        <w:pStyle w:val="Heading2"/>
        <w:spacing w:before="0" w:line="360" w:lineRule="auto"/>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The materials used in this study can be accessed on the Open Science Framework site via the following link:  </w:t>
      </w:r>
      <w:hyperlink r:id="rId10">
        <w:r w:rsidR="00D475B6">
          <w:rPr>
            <w:rFonts w:ascii="Calibri" w:eastAsia="Calibri" w:hAnsi="Calibri" w:cs="Calibri"/>
            <w:color w:val="0563C1"/>
            <w:sz w:val="24"/>
            <w:szCs w:val="24"/>
            <w:highlight w:val="white"/>
            <w:u w:val="single"/>
          </w:rPr>
          <w:t>https://osf.io/8hrp6/</w:t>
        </w:r>
      </w:hyperlink>
      <w:r>
        <w:rPr>
          <w:rFonts w:ascii="Calibri" w:eastAsia="Calibri" w:hAnsi="Calibri" w:cs="Calibri"/>
          <w:color w:val="000000"/>
          <w:sz w:val="24"/>
          <w:szCs w:val="24"/>
          <w:highlight w:val="white"/>
        </w:rPr>
        <w:t xml:space="preserve">. It should be noted that video materials need to be downloaded for viewing. </w:t>
      </w:r>
    </w:p>
    <w:p w14:paraId="2B83BB0B" w14:textId="77777777" w:rsidR="00D475B6" w:rsidRDefault="00D475B6">
      <w:pPr>
        <w:pStyle w:val="Heading2"/>
        <w:spacing w:before="0" w:line="360" w:lineRule="auto"/>
        <w:rPr>
          <w:rFonts w:ascii="Calibri" w:eastAsia="Calibri" w:hAnsi="Calibri" w:cs="Calibri"/>
          <w:color w:val="000000"/>
          <w:sz w:val="24"/>
          <w:szCs w:val="24"/>
          <w:highlight w:val="white"/>
        </w:rPr>
      </w:pPr>
    </w:p>
    <w:p w14:paraId="2B83BB0C" w14:textId="77777777" w:rsidR="00D475B6" w:rsidRDefault="00F34475">
      <w:pPr>
        <w:pStyle w:val="Heading2"/>
        <w:spacing w:before="0" w:line="360" w:lineRule="auto"/>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The study received ethical approval from the Institute of Education Staff Research Ethics Committee, University College London. Participants provided informed consent.   </w:t>
      </w:r>
    </w:p>
    <w:p w14:paraId="2B83BB0D" w14:textId="77777777" w:rsidR="00D475B6" w:rsidRDefault="00D475B6">
      <w:pPr>
        <w:rPr>
          <w:sz w:val="24"/>
          <w:szCs w:val="24"/>
        </w:rPr>
      </w:pPr>
    </w:p>
    <w:p w14:paraId="2B83BB0E" w14:textId="77777777" w:rsidR="00D475B6" w:rsidRDefault="00F34475">
      <w:pPr>
        <w:pStyle w:val="Heading2"/>
        <w:rPr>
          <w:sz w:val="24"/>
          <w:szCs w:val="24"/>
        </w:rPr>
      </w:pPr>
      <w:r>
        <w:rPr>
          <w:sz w:val="24"/>
          <w:szCs w:val="24"/>
        </w:rPr>
        <w:t>Participants</w:t>
      </w:r>
    </w:p>
    <w:p w14:paraId="2B83BB0F" w14:textId="77777777" w:rsidR="00D475B6" w:rsidRDefault="00D475B6"/>
    <w:p w14:paraId="2B83BB10" w14:textId="7681CBB2" w:rsidR="00D475B6" w:rsidRDefault="00F34475">
      <w:pPr>
        <w:spacing w:after="0" w:line="360" w:lineRule="auto"/>
        <w:rPr>
          <w:sz w:val="24"/>
          <w:szCs w:val="24"/>
        </w:rPr>
      </w:pPr>
      <w:r w:rsidRPr="6C0BAB00">
        <w:rPr>
          <w:sz w:val="24"/>
          <w:szCs w:val="24"/>
        </w:rPr>
        <w:t xml:space="preserve">This study had originally been designed to be run face-to-face in the lab. However, due to testing restrictions in place during the Covid-19 pandemic, we adapted it for online administration. Hence, we uploaded the experiment originally designed in </w:t>
      </w:r>
      <w:proofErr w:type="spellStart"/>
      <w:r w:rsidRPr="6C0BAB00">
        <w:rPr>
          <w:sz w:val="24"/>
          <w:szCs w:val="24"/>
        </w:rPr>
        <w:t>PsychoPy</w:t>
      </w:r>
      <w:proofErr w:type="spellEnd"/>
      <w:r w:rsidRPr="6C0BAB00">
        <w:rPr>
          <w:sz w:val="24"/>
          <w:szCs w:val="24"/>
        </w:rPr>
        <w:t xml:space="preserve"> onto the </w:t>
      </w:r>
      <w:proofErr w:type="spellStart"/>
      <w:r w:rsidRPr="6C0BAB00">
        <w:rPr>
          <w:sz w:val="24"/>
          <w:szCs w:val="24"/>
        </w:rPr>
        <w:t>Pavlovia</w:t>
      </w:r>
      <w:proofErr w:type="spellEnd"/>
      <w:r w:rsidRPr="6C0BAB00">
        <w:rPr>
          <w:sz w:val="24"/>
          <w:szCs w:val="24"/>
        </w:rPr>
        <w:t xml:space="preserve"> platform, </w:t>
      </w:r>
      <w:hyperlink>
        <w:r w:rsidR="00D475B6" w:rsidRPr="6C0BAB00">
          <w:rPr>
            <w:color w:val="0563C1"/>
            <w:sz w:val="24"/>
            <w:szCs w:val="24"/>
            <w:u w:val="single"/>
          </w:rPr>
          <w:t>https://pavlovia.org/</w:t>
        </w:r>
      </w:hyperlink>
      <w:r w:rsidRPr="6C0BAB00">
        <w:rPr>
          <w:sz w:val="24"/>
          <w:szCs w:val="24"/>
        </w:rPr>
        <w:t xml:space="preserve">. This allowed us to reach a more diverse participant pool than is common in lab-based psychology studies. </w:t>
      </w:r>
      <w:r w:rsidRPr="6C0BAB00">
        <w:rPr>
          <w:sz w:val="24"/>
          <w:szCs w:val="24"/>
          <w:highlight w:val="yellow"/>
        </w:rPr>
        <w:t xml:space="preserve">However, the online format also meant that compatibility issues between </w:t>
      </w:r>
      <w:proofErr w:type="spellStart"/>
      <w:r w:rsidRPr="6C0BAB00">
        <w:rPr>
          <w:sz w:val="24"/>
          <w:szCs w:val="24"/>
          <w:highlight w:val="yellow"/>
        </w:rPr>
        <w:t>Pavlovia</w:t>
      </w:r>
      <w:proofErr w:type="spellEnd"/>
      <w:r w:rsidRPr="6C0BAB00">
        <w:rPr>
          <w:sz w:val="24"/>
          <w:szCs w:val="24"/>
          <w:highlight w:val="yellow"/>
        </w:rPr>
        <w:t xml:space="preserve"> and participants’ domestic software set-up</w:t>
      </w:r>
      <w:r w:rsidR="62CC4B93" w:rsidRPr="6C0BAB00">
        <w:rPr>
          <w:sz w:val="24"/>
          <w:szCs w:val="24"/>
          <w:highlight w:val="yellow"/>
        </w:rPr>
        <w:t xml:space="preserve"> meant that data from some participants (7 in the 0x, 10 in the 1x and 3 in the 2x Exposure groups) could not be collected.</w:t>
      </w:r>
      <w:r w:rsidRPr="6C0BAB00">
        <w:rPr>
          <w:sz w:val="24"/>
          <w:szCs w:val="24"/>
        </w:rPr>
        <w:t xml:space="preserve"> Hence, this paper only reports data collected from participants in which no compatibility issues occurred and the </w:t>
      </w:r>
      <w:r w:rsidR="6AF84FCE" w:rsidRPr="6C0BAB00">
        <w:rPr>
          <w:sz w:val="24"/>
          <w:szCs w:val="24"/>
        </w:rPr>
        <w:t xml:space="preserve">full </w:t>
      </w:r>
      <w:r w:rsidRPr="6C0BAB00">
        <w:rPr>
          <w:sz w:val="24"/>
          <w:szCs w:val="24"/>
        </w:rPr>
        <w:t xml:space="preserve">experimental task could be administered (final </w:t>
      </w:r>
      <w:r w:rsidRPr="6C0BAB00">
        <w:rPr>
          <w:i/>
          <w:iCs/>
          <w:sz w:val="24"/>
          <w:szCs w:val="24"/>
        </w:rPr>
        <w:t>N</w:t>
      </w:r>
      <w:r w:rsidRPr="6C0BAB00">
        <w:rPr>
          <w:sz w:val="24"/>
          <w:szCs w:val="24"/>
        </w:rPr>
        <w:t>=121). In addition, some of the</w:t>
      </w:r>
      <w:r w:rsidR="00700D7F" w:rsidRPr="6C0BAB00">
        <w:rPr>
          <w:sz w:val="24"/>
          <w:szCs w:val="24"/>
        </w:rPr>
        <w:t xml:space="preserve"> Wechsler Adult Intelligence Scale </w:t>
      </w:r>
      <w:r w:rsidRPr="6C0BAB00">
        <w:rPr>
          <w:sz w:val="24"/>
          <w:szCs w:val="24"/>
        </w:rPr>
        <w:t xml:space="preserve">(WAIS) vocabulary task data had to be discarded </w:t>
      </w:r>
      <w:r w:rsidRPr="6C0BAB00">
        <w:rPr>
          <w:sz w:val="24"/>
          <w:szCs w:val="24"/>
          <w:highlight w:val="yellow"/>
        </w:rPr>
        <w:t>(</w:t>
      </w:r>
      <w:r w:rsidR="00700D7F" w:rsidRPr="6C0BAB00">
        <w:rPr>
          <w:sz w:val="24"/>
          <w:szCs w:val="24"/>
          <w:highlight w:val="yellow"/>
        </w:rPr>
        <w:t xml:space="preserve">data from </w:t>
      </w:r>
      <w:r w:rsidR="00A105DE" w:rsidRPr="6C0BAB00">
        <w:rPr>
          <w:sz w:val="24"/>
          <w:szCs w:val="24"/>
          <w:highlight w:val="yellow"/>
        </w:rPr>
        <w:t xml:space="preserve">3 participants each in the 0x and 2x </w:t>
      </w:r>
      <w:r w:rsidR="00CD0130" w:rsidRPr="6C0BAB00">
        <w:rPr>
          <w:sz w:val="24"/>
          <w:szCs w:val="24"/>
          <w:highlight w:val="yellow"/>
        </w:rPr>
        <w:t>Exposure groups and 15 p</w:t>
      </w:r>
      <w:r w:rsidR="00700D7F" w:rsidRPr="6C0BAB00">
        <w:rPr>
          <w:sz w:val="24"/>
          <w:szCs w:val="24"/>
          <w:highlight w:val="yellow"/>
        </w:rPr>
        <w:t>articipants in the 1x Exposure group</w:t>
      </w:r>
      <w:r w:rsidRPr="6C0BAB00">
        <w:rPr>
          <w:sz w:val="24"/>
          <w:szCs w:val="24"/>
          <w:highlight w:val="yellow"/>
        </w:rPr>
        <w:t>)</w:t>
      </w:r>
      <w:r w:rsidRPr="6C0BAB00">
        <w:rPr>
          <w:sz w:val="24"/>
          <w:szCs w:val="24"/>
        </w:rPr>
        <w:t xml:space="preserve"> due to problems with the audio quality of the voice recording that made transcription unreliable. </w:t>
      </w:r>
    </w:p>
    <w:p w14:paraId="2B83BB11" w14:textId="77777777" w:rsidR="00D475B6" w:rsidRDefault="00D475B6">
      <w:pPr>
        <w:spacing w:after="0" w:line="360" w:lineRule="auto"/>
        <w:rPr>
          <w:sz w:val="24"/>
          <w:szCs w:val="24"/>
        </w:rPr>
      </w:pPr>
    </w:p>
    <w:p w14:paraId="2B83BB12" w14:textId="0A918875" w:rsidR="00D475B6" w:rsidRDefault="00F34475">
      <w:pPr>
        <w:spacing w:after="0" w:line="360" w:lineRule="auto"/>
        <w:rPr>
          <w:sz w:val="24"/>
          <w:szCs w:val="24"/>
        </w:rPr>
      </w:pPr>
      <w:r>
        <w:rPr>
          <w:color w:val="000000"/>
          <w:sz w:val="24"/>
          <w:szCs w:val="24"/>
          <w:highlight w:val="white"/>
        </w:rPr>
        <w:t>Participants were recruited using the website “Call for participants” (</w:t>
      </w:r>
      <w:r>
        <w:rPr>
          <w:sz w:val="24"/>
          <w:szCs w:val="24"/>
          <w:highlight w:val="white"/>
        </w:rPr>
        <w:t>https://www.callforparticipants.com</w:t>
      </w:r>
      <w:r>
        <w:rPr>
          <w:color w:val="000000"/>
          <w:sz w:val="24"/>
          <w:szCs w:val="24"/>
          <w:highlight w:val="white"/>
        </w:rPr>
        <w:t xml:space="preserve">). None of them had participated in either of the companion studies to this study (Hofweber et al., 2022; Hofweber et al., 2023). </w:t>
      </w:r>
      <w:r>
        <w:rPr>
          <w:sz w:val="24"/>
          <w:szCs w:val="24"/>
        </w:rPr>
        <w:t xml:space="preserve">They were adult native-speakers of English with no prior knowledge of any sign languages or of Swedish. Given that the tasks were visual, and to avoid confounds from age-related decline of vision, the maximum age for participants was set at 40 years. Participants were randomly assigned to one </w:t>
      </w:r>
      <w:r>
        <w:rPr>
          <w:sz w:val="24"/>
          <w:szCs w:val="24"/>
        </w:rPr>
        <w:lastRenderedPageBreak/>
        <w:t xml:space="preserve">of the following three groups, with group sizes </w:t>
      </w:r>
      <w:r w:rsidR="002934E3" w:rsidRPr="00AC7DFF">
        <w:rPr>
          <w:sz w:val="24"/>
          <w:szCs w:val="24"/>
          <w:highlight w:val="yellow"/>
        </w:rPr>
        <w:t>des</w:t>
      </w:r>
      <w:r w:rsidR="00AC7DFF" w:rsidRPr="00AC7DFF">
        <w:rPr>
          <w:sz w:val="24"/>
          <w:szCs w:val="24"/>
          <w:highlight w:val="yellow"/>
        </w:rPr>
        <w:t xml:space="preserve">igned to be </w:t>
      </w:r>
      <w:r w:rsidRPr="00AC7DFF">
        <w:rPr>
          <w:sz w:val="24"/>
          <w:szCs w:val="24"/>
          <w:highlight w:val="yellow"/>
        </w:rPr>
        <w:t>twice as large as those used by Gullberg et al. (2010) and commensurate with those used by Hofweber et al. (2022) and Hofweber et al. (2023):</w:t>
      </w:r>
      <w:r>
        <w:rPr>
          <w:sz w:val="24"/>
          <w:szCs w:val="24"/>
        </w:rPr>
        <w:t xml:space="preserve"> </w:t>
      </w:r>
    </w:p>
    <w:p w14:paraId="2B83BB13" w14:textId="77777777" w:rsidR="00D475B6" w:rsidRDefault="00F34475">
      <w:pPr>
        <w:numPr>
          <w:ilvl w:val="0"/>
          <w:numId w:val="6"/>
        </w:numPr>
        <w:pBdr>
          <w:top w:val="nil"/>
          <w:left w:val="nil"/>
          <w:bottom w:val="nil"/>
          <w:right w:val="nil"/>
          <w:between w:val="nil"/>
        </w:pBdr>
        <w:spacing w:after="0" w:line="360" w:lineRule="auto"/>
        <w:rPr>
          <w:color w:val="000000"/>
          <w:sz w:val="24"/>
          <w:szCs w:val="24"/>
        </w:rPr>
      </w:pPr>
      <w:r>
        <w:rPr>
          <w:color w:val="000000"/>
          <w:sz w:val="24"/>
          <w:szCs w:val="24"/>
        </w:rPr>
        <w:t>1x exposure group (</w:t>
      </w:r>
      <w:r>
        <w:rPr>
          <w:i/>
          <w:color w:val="000000"/>
          <w:sz w:val="24"/>
          <w:szCs w:val="24"/>
        </w:rPr>
        <w:t>N</w:t>
      </w:r>
      <w:r>
        <w:rPr>
          <w:color w:val="000000"/>
          <w:sz w:val="24"/>
          <w:szCs w:val="24"/>
        </w:rPr>
        <w:t>=43; 17 males): exposed to the STS forecast once</w:t>
      </w:r>
    </w:p>
    <w:p w14:paraId="2B83BB14" w14:textId="77777777" w:rsidR="00D475B6" w:rsidRDefault="00F34475">
      <w:pPr>
        <w:numPr>
          <w:ilvl w:val="0"/>
          <w:numId w:val="6"/>
        </w:numPr>
        <w:pBdr>
          <w:top w:val="nil"/>
          <w:left w:val="nil"/>
          <w:bottom w:val="nil"/>
          <w:right w:val="nil"/>
          <w:between w:val="nil"/>
        </w:pBdr>
        <w:spacing w:after="0" w:line="360" w:lineRule="auto"/>
        <w:rPr>
          <w:color w:val="000000"/>
          <w:sz w:val="24"/>
          <w:szCs w:val="24"/>
        </w:rPr>
      </w:pPr>
      <w:r>
        <w:rPr>
          <w:color w:val="000000"/>
          <w:sz w:val="24"/>
          <w:szCs w:val="24"/>
        </w:rPr>
        <w:t>2x exposure group (</w:t>
      </w:r>
      <w:r>
        <w:rPr>
          <w:i/>
          <w:color w:val="000000"/>
          <w:sz w:val="24"/>
          <w:szCs w:val="24"/>
        </w:rPr>
        <w:t>N</w:t>
      </w:r>
      <w:r>
        <w:rPr>
          <w:color w:val="000000"/>
          <w:sz w:val="24"/>
          <w:szCs w:val="24"/>
        </w:rPr>
        <w:t>=38; 19 males): exposed to the STS forecast twice</w:t>
      </w:r>
    </w:p>
    <w:p w14:paraId="2B83BB15" w14:textId="77777777" w:rsidR="00D475B6" w:rsidRDefault="00F34475">
      <w:pPr>
        <w:numPr>
          <w:ilvl w:val="0"/>
          <w:numId w:val="6"/>
        </w:numPr>
        <w:pBdr>
          <w:top w:val="nil"/>
          <w:left w:val="nil"/>
          <w:bottom w:val="nil"/>
          <w:right w:val="nil"/>
          <w:between w:val="nil"/>
        </w:pBdr>
        <w:spacing w:after="0" w:line="360" w:lineRule="auto"/>
        <w:rPr>
          <w:color w:val="000000"/>
          <w:sz w:val="24"/>
          <w:szCs w:val="24"/>
        </w:rPr>
      </w:pPr>
      <w:r>
        <w:rPr>
          <w:color w:val="000000"/>
          <w:sz w:val="24"/>
          <w:szCs w:val="24"/>
        </w:rPr>
        <w:t>0x exposure group (</w:t>
      </w:r>
      <w:r>
        <w:rPr>
          <w:i/>
          <w:color w:val="000000"/>
          <w:sz w:val="24"/>
          <w:szCs w:val="24"/>
        </w:rPr>
        <w:t>N</w:t>
      </w:r>
      <w:r>
        <w:rPr>
          <w:color w:val="000000"/>
          <w:sz w:val="24"/>
          <w:szCs w:val="24"/>
        </w:rPr>
        <w:t xml:space="preserve">=40; 21 males): control group who were not exposed to the STS forecast </w:t>
      </w:r>
    </w:p>
    <w:p w14:paraId="2B83BB16" w14:textId="77777777" w:rsidR="00D475B6" w:rsidRDefault="00D475B6">
      <w:pPr>
        <w:spacing w:after="0" w:line="360" w:lineRule="auto"/>
        <w:rPr>
          <w:sz w:val="24"/>
          <w:szCs w:val="24"/>
        </w:rPr>
      </w:pPr>
    </w:p>
    <w:p w14:paraId="2B83BB17" w14:textId="5964641D" w:rsidR="00D475B6" w:rsidRDefault="00F34475">
      <w:pPr>
        <w:spacing w:after="0" w:line="360" w:lineRule="auto"/>
        <w:rPr>
          <w:sz w:val="24"/>
          <w:szCs w:val="24"/>
        </w:rPr>
      </w:pPr>
      <w:r w:rsidRPr="6C0BAB00">
        <w:rPr>
          <w:sz w:val="24"/>
          <w:szCs w:val="24"/>
        </w:rPr>
        <w:t xml:space="preserve">Using a detailed </w:t>
      </w:r>
      <w:r w:rsidR="4A10A63B" w:rsidRPr="6C0BAB00">
        <w:rPr>
          <w:sz w:val="24"/>
          <w:szCs w:val="24"/>
        </w:rPr>
        <w:t xml:space="preserve">demographic and language </w:t>
      </w:r>
      <w:r w:rsidRPr="6C0BAB00">
        <w:rPr>
          <w:sz w:val="24"/>
          <w:szCs w:val="24"/>
        </w:rPr>
        <w:t xml:space="preserve">background questionnaire, each participant was assessed for general demographic variables, such as age and education (an indicator of socio-economic status), as well as for existing knowledge of languages. We also assessed non-verbal </w:t>
      </w:r>
      <w:r w:rsidRPr="6C0BAB00">
        <w:rPr>
          <w:color w:val="000000" w:themeColor="text1"/>
          <w:sz w:val="24"/>
          <w:szCs w:val="24"/>
        </w:rPr>
        <w:t>reasoning</w:t>
      </w:r>
      <w:r w:rsidRPr="6C0BAB00">
        <w:rPr>
          <w:sz w:val="24"/>
          <w:szCs w:val="24"/>
        </w:rPr>
        <w:t xml:space="preserve"> using the matrices subtest of the WAIS III, and English (i.e., the participants’ L1) vocabulary knowledge using the vocabulary subtest of the WAIS IV. Between-subject ANOVAs were conducted to compare the participant groups on these background variables. As can be seen from Table 1, the three groups were matched for age, education and number of known languages. However, the 1x exposure group displayed significantly higher non-verbal </w:t>
      </w:r>
      <w:r w:rsidRPr="6C0BAB00">
        <w:rPr>
          <w:color w:val="000000" w:themeColor="text1"/>
          <w:sz w:val="24"/>
          <w:szCs w:val="24"/>
        </w:rPr>
        <w:t>reasoning a</w:t>
      </w:r>
      <w:r w:rsidRPr="6C0BAB00">
        <w:rPr>
          <w:sz w:val="24"/>
          <w:szCs w:val="24"/>
        </w:rPr>
        <w:t>nd English vocabulary scores than the other groups. Nevertheless, these factors did not correlate with the dependent variable of the study (accuracy in the experimental task), so the difference was not interpreted further.</w:t>
      </w:r>
    </w:p>
    <w:p w14:paraId="2B83BB18" w14:textId="77777777" w:rsidR="00D475B6" w:rsidRDefault="00D475B6">
      <w:pPr>
        <w:rPr>
          <w:sz w:val="24"/>
          <w:szCs w:val="24"/>
        </w:rPr>
      </w:pPr>
    </w:p>
    <w:p w14:paraId="2B83BB19" w14:textId="77777777" w:rsidR="00D475B6" w:rsidRDefault="00F34475">
      <w:pPr>
        <w:keepNext/>
        <w:pBdr>
          <w:top w:val="nil"/>
          <w:left w:val="nil"/>
          <w:bottom w:val="nil"/>
          <w:right w:val="nil"/>
          <w:between w:val="nil"/>
        </w:pBdr>
        <w:spacing w:line="240" w:lineRule="auto"/>
        <w:rPr>
          <w:b/>
          <w:smallCaps/>
          <w:color w:val="44546A"/>
          <w:sz w:val="24"/>
          <w:szCs w:val="24"/>
        </w:rPr>
      </w:pPr>
      <w:r>
        <w:rPr>
          <w:b/>
          <w:smallCaps/>
          <w:color w:val="44546A"/>
          <w:sz w:val="24"/>
          <w:szCs w:val="24"/>
        </w:rPr>
        <w:t xml:space="preserve">Table 1 </w:t>
      </w:r>
      <w:r>
        <w:rPr>
          <w:b/>
          <w:color w:val="44546A"/>
          <w:sz w:val="24"/>
          <w:szCs w:val="24"/>
        </w:rPr>
        <w:t>Participant background variables</w:t>
      </w:r>
    </w:p>
    <w:tbl>
      <w:tblPr>
        <w:tblW w:w="100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106"/>
        <w:gridCol w:w="851"/>
        <w:gridCol w:w="850"/>
        <w:gridCol w:w="851"/>
        <w:gridCol w:w="900"/>
        <w:gridCol w:w="750"/>
        <w:gridCol w:w="955"/>
        <w:gridCol w:w="764"/>
      </w:tblGrid>
      <w:tr w:rsidR="00D475B6" w14:paraId="2B83BB1F" w14:textId="77777777" w:rsidTr="6C0BAB00">
        <w:tc>
          <w:tcPr>
            <w:tcW w:w="4957" w:type="dxa"/>
            <w:gridSpan w:val="2"/>
            <w:vMerge w:val="restart"/>
          </w:tcPr>
          <w:p w14:paraId="2B83BB1A" w14:textId="77777777" w:rsidR="00D475B6" w:rsidRDefault="00D475B6">
            <w:pPr>
              <w:rPr>
                <w:sz w:val="24"/>
                <w:szCs w:val="24"/>
              </w:rPr>
            </w:pPr>
          </w:p>
        </w:tc>
        <w:tc>
          <w:tcPr>
            <w:tcW w:w="2601" w:type="dxa"/>
            <w:gridSpan w:val="3"/>
          </w:tcPr>
          <w:p w14:paraId="2B83BB1B" w14:textId="77777777" w:rsidR="00D475B6" w:rsidRDefault="00F34475">
            <w:pPr>
              <w:rPr>
                <w:sz w:val="24"/>
                <w:szCs w:val="24"/>
              </w:rPr>
            </w:pPr>
            <w:r>
              <w:rPr>
                <w:sz w:val="24"/>
                <w:szCs w:val="24"/>
              </w:rPr>
              <w:t>Exposure group</w:t>
            </w:r>
          </w:p>
        </w:tc>
        <w:tc>
          <w:tcPr>
            <w:tcW w:w="750" w:type="dxa"/>
            <w:vMerge w:val="restart"/>
          </w:tcPr>
          <w:p w14:paraId="2B83BB1C" w14:textId="77777777" w:rsidR="00D475B6" w:rsidRDefault="00F34475">
            <w:pPr>
              <w:rPr>
                <w:i/>
                <w:sz w:val="24"/>
                <w:szCs w:val="24"/>
              </w:rPr>
            </w:pPr>
            <w:r>
              <w:rPr>
                <w:i/>
                <w:sz w:val="24"/>
                <w:szCs w:val="24"/>
              </w:rPr>
              <w:t>F</w:t>
            </w:r>
          </w:p>
        </w:tc>
        <w:tc>
          <w:tcPr>
            <w:tcW w:w="955" w:type="dxa"/>
            <w:vMerge w:val="restart"/>
          </w:tcPr>
          <w:p w14:paraId="2B83BB1D" w14:textId="77777777" w:rsidR="00D475B6" w:rsidRDefault="00F34475">
            <w:pPr>
              <w:rPr>
                <w:i/>
                <w:sz w:val="24"/>
                <w:szCs w:val="24"/>
              </w:rPr>
            </w:pPr>
            <w:r>
              <w:rPr>
                <w:i/>
                <w:sz w:val="24"/>
                <w:szCs w:val="24"/>
              </w:rPr>
              <w:t>p</w:t>
            </w:r>
          </w:p>
        </w:tc>
        <w:tc>
          <w:tcPr>
            <w:tcW w:w="764" w:type="dxa"/>
            <w:vMerge w:val="restart"/>
          </w:tcPr>
          <w:p w14:paraId="2B83BB1E" w14:textId="77777777" w:rsidR="00D475B6" w:rsidRDefault="00F34475">
            <w:pPr>
              <w:rPr>
                <w:sz w:val="24"/>
                <w:szCs w:val="24"/>
              </w:rPr>
            </w:pPr>
            <w:r>
              <w:rPr>
                <w:sz w:val="24"/>
                <w:szCs w:val="24"/>
              </w:rPr>
              <w:t>ŋ</w:t>
            </w:r>
            <w:r>
              <w:rPr>
                <w:sz w:val="24"/>
                <w:szCs w:val="24"/>
                <w:vertAlign w:val="superscript"/>
              </w:rPr>
              <w:t>2</w:t>
            </w:r>
          </w:p>
        </w:tc>
      </w:tr>
      <w:tr w:rsidR="00D475B6" w14:paraId="2B83BB27" w14:textId="77777777" w:rsidTr="6C0BAB00">
        <w:tc>
          <w:tcPr>
            <w:tcW w:w="4957" w:type="dxa"/>
            <w:gridSpan w:val="2"/>
            <w:vMerge/>
          </w:tcPr>
          <w:p w14:paraId="2B83BB20" w14:textId="77777777" w:rsidR="00D475B6" w:rsidRDefault="00D475B6">
            <w:pPr>
              <w:widowControl w:val="0"/>
              <w:pBdr>
                <w:top w:val="nil"/>
                <w:left w:val="nil"/>
                <w:bottom w:val="nil"/>
                <w:right w:val="nil"/>
                <w:between w:val="nil"/>
              </w:pBdr>
              <w:spacing w:line="276" w:lineRule="auto"/>
              <w:rPr>
                <w:sz w:val="24"/>
                <w:szCs w:val="24"/>
              </w:rPr>
            </w:pPr>
          </w:p>
        </w:tc>
        <w:tc>
          <w:tcPr>
            <w:tcW w:w="850" w:type="dxa"/>
          </w:tcPr>
          <w:p w14:paraId="2B83BB21" w14:textId="77777777" w:rsidR="00D475B6" w:rsidRDefault="00F34475">
            <w:pPr>
              <w:rPr>
                <w:sz w:val="24"/>
                <w:szCs w:val="24"/>
              </w:rPr>
            </w:pPr>
            <w:r>
              <w:rPr>
                <w:sz w:val="24"/>
                <w:szCs w:val="24"/>
              </w:rPr>
              <w:t>0x</w:t>
            </w:r>
          </w:p>
        </w:tc>
        <w:tc>
          <w:tcPr>
            <w:tcW w:w="851" w:type="dxa"/>
          </w:tcPr>
          <w:p w14:paraId="2B83BB22" w14:textId="77777777" w:rsidR="00D475B6" w:rsidRDefault="00F34475">
            <w:pPr>
              <w:rPr>
                <w:sz w:val="24"/>
                <w:szCs w:val="24"/>
              </w:rPr>
            </w:pPr>
            <w:r>
              <w:rPr>
                <w:sz w:val="24"/>
                <w:szCs w:val="24"/>
              </w:rPr>
              <w:t>1x</w:t>
            </w:r>
          </w:p>
        </w:tc>
        <w:tc>
          <w:tcPr>
            <w:tcW w:w="900" w:type="dxa"/>
          </w:tcPr>
          <w:p w14:paraId="2B83BB23" w14:textId="77777777" w:rsidR="00D475B6" w:rsidRDefault="00F34475">
            <w:pPr>
              <w:rPr>
                <w:sz w:val="24"/>
                <w:szCs w:val="24"/>
              </w:rPr>
            </w:pPr>
            <w:r>
              <w:rPr>
                <w:sz w:val="24"/>
                <w:szCs w:val="24"/>
              </w:rPr>
              <w:t>2x</w:t>
            </w:r>
          </w:p>
        </w:tc>
        <w:tc>
          <w:tcPr>
            <w:tcW w:w="750" w:type="dxa"/>
            <w:vMerge/>
          </w:tcPr>
          <w:p w14:paraId="2B83BB24" w14:textId="77777777" w:rsidR="00D475B6" w:rsidRDefault="00D475B6">
            <w:pPr>
              <w:widowControl w:val="0"/>
              <w:pBdr>
                <w:top w:val="nil"/>
                <w:left w:val="nil"/>
                <w:bottom w:val="nil"/>
                <w:right w:val="nil"/>
                <w:between w:val="nil"/>
              </w:pBdr>
              <w:spacing w:line="276" w:lineRule="auto"/>
              <w:rPr>
                <w:sz w:val="24"/>
                <w:szCs w:val="24"/>
              </w:rPr>
            </w:pPr>
          </w:p>
        </w:tc>
        <w:tc>
          <w:tcPr>
            <w:tcW w:w="955" w:type="dxa"/>
            <w:vMerge/>
          </w:tcPr>
          <w:p w14:paraId="2B83BB25" w14:textId="77777777" w:rsidR="00D475B6" w:rsidRDefault="00D475B6">
            <w:pPr>
              <w:widowControl w:val="0"/>
              <w:pBdr>
                <w:top w:val="nil"/>
                <w:left w:val="nil"/>
                <w:bottom w:val="nil"/>
                <w:right w:val="nil"/>
                <w:between w:val="nil"/>
              </w:pBdr>
              <w:spacing w:line="276" w:lineRule="auto"/>
              <w:rPr>
                <w:sz w:val="24"/>
                <w:szCs w:val="24"/>
              </w:rPr>
            </w:pPr>
          </w:p>
        </w:tc>
        <w:tc>
          <w:tcPr>
            <w:tcW w:w="764" w:type="dxa"/>
            <w:vMerge/>
          </w:tcPr>
          <w:p w14:paraId="2B83BB26" w14:textId="77777777" w:rsidR="00D475B6" w:rsidRDefault="00D475B6">
            <w:pPr>
              <w:widowControl w:val="0"/>
              <w:pBdr>
                <w:top w:val="nil"/>
                <w:left w:val="nil"/>
                <w:bottom w:val="nil"/>
                <w:right w:val="nil"/>
                <w:between w:val="nil"/>
              </w:pBdr>
              <w:spacing w:line="276" w:lineRule="auto"/>
              <w:rPr>
                <w:sz w:val="24"/>
                <w:szCs w:val="24"/>
              </w:rPr>
            </w:pPr>
          </w:p>
        </w:tc>
      </w:tr>
      <w:tr w:rsidR="00D475B6" w14:paraId="2B83BB30" w14:textId="77777777" w:rsidTr="6C0BAB00">
        <w:tc>
          <w:tcPr>
            <w:tcW w:w="4106" w:type="dxa"/>
            <w:vMerge w:val="restart"/>
          </w:tcPr>
          <w:p w14:paraId="2B83BB28" w14:textId="77777777" w:rsidR="00D475B6" w:rsidRDefault="00F34475">
            <w:pPr>
              <w:rPr>
                <w:sz w:val="24"/>
                <w:szCs w:val="24"/>
              </w:rPr>
            </w:pPr>
            <w:r>
              <w:rPr>
                <w:sz w:val="24"/>
                <w:szCs w:val="24"/>
              </w:rPr>
              <w:t>Age (years)</w:t>
            </w:r>
          </w:p>
        </w:tc>
        <w:tc>
          <w:tcPr>
            <w:tcW w:w="851" w:type="dxa"/>
          </w:tcPr>
          <w:p w14:paraId="2B83BB29" w14:textId="77777777" w:rsidR="00D475B6" w:rsidRDefault="00F34475">
            <w:pPr>
              <w:rPr>
                <w:sz w:val="24"/>
                <w:szCs w:val="24"/>
              </w:rPr>
            </w:pPr>
            <w:r>
              <w:rPr>
                <w:sz w:val="24"/>
                <w:szCs w:val="24"/>
              </w:rPr>
              <w:t>Mean</w:t>
            </w:r>
          </w:p>
        </w:tc>
        <w:tc>
          <w:tcPr>
            <w:tcW w:w="850" w:type="dxa"/>
          </w:tcPr>
          <w:p w14:paraId="2B83BB2A" w14:textId="77777777" w:rsidR="00D475B6" w:rsidRDefault="00F34475">
            <w:pPr>
              <w:rPr>
                <w:sz w:val="24"/>
                <w:szCs w:val="24"/>
              </w:rPr>
            </w:pPr>
            <w:r>
              <w:rPr>
                <w:sz w:val="24"/>
                <w:szCs w:val="24"/>
              </w:rPr>
              <w:t>23.87</w:t>
            </w:r>
          </w:p>
        </w:tc>
        <w:tc>
          <w:tcPr>
            <w:tcW w:w="851" w:type="dxa"/>
          </w:tcPr>
          <w:p w14:paraId="2B83BB2B" w14:textId="77777777" w:rsidR="00D475B6" w:rsidRDefault="00F34475">
            <w:pPr>
              <w:rPr>
                <w:sz w:val="24"/>
                <w:szCs w:val="24"/>
              </w:rPr>
            </w:pPr>
            <w:r>
              <w:rPr>
                <w:sz w:val="24"/>
                <w:szCs w:val="24"/>
              </w:rPr>
              <w:t>25.88</w:t>
            </w:r>
          </w:p>
        </w:tc>
        <w:tc>
          <w:tcPr>
            <w:tcW w:w="900" w:type="dxa"/>
          </w:tcPr>
          <w:p w14:paraId="2B83BB2C" w14:textId="77777777" w:rsidR="00D475B6" w:rsidRDefault="00F34475">
            <w:pPr>
              <w:rPr>
                <w:sz w:val="24"/>
                <w:szCs w:val="24"/>
              </w:rPr>
            </w:pPr>
            <w:r>
              <w:rPr>
                <w:sz w:val="24"/>
                <w:szCs w:val="24"/>
              </w:rPr>
              <w:t>24.30</w:t>
            </w:r>
          </w:p>
        </w:tc>
        <w:tc>
          <w:tcPr>
            <w:tcW w:w="750" w:type="dxa"/>
            <w:vMerge w:val="restart"/>
          </w:tcPr>
          <w:p w14:paraId="2B83BB2D" w14:textId="77777777" w:rsidR="00D475B6" w:rsidRDefault="00F34475">
            <w:pPr>
              <w:rPr>
                <w:sz w:val="24"/>
                <w:szCs w:val="24"/>
              </w:rPr>
            </w:pPr>
            <w:r>
              <w:rPr>
                <w:sz w:val="24"/>
                <w:szCs w:val="24"/>
              </w:rPr>
              <w:t>2.06</w:t>
            </w:r>
          </w:p>
        </w:tc>
        <w:tc>
          <w:tcPr>
            <w:tcW w:w="955" w:type="dxa"/>
            <w:vMerge w:val="restart"/>
          </w:tcPr>
          <w:p w14:paraId="2B83BB2E" w14:textId="77777777" w:rsidR="00D475B6" w:rsidRDefault="00F34475">
            <w:pPr>
              <w:rPr>
                <w:sz w:val="24"/>
                <w:szCs w:val="24"/>
              </w:rPr>
            </w:pPr>
            <w:r>
              <w:rPr>
                <w:sz w:val="24"/>
                <w:szCs w:val="24"/>
              </w:rPr>
              <w:t>.13</w:t>
            </w:r>
          </w:p>
        </w:tc>
        <w:tc>
          <w:tcPr>
            <w:tcW w:w="764" w:type="dxa"/>
            <w:vMerge w:val="restart"/>
          </w:tcPr>
          <w:p w14:paraId="2B83BB2F" w14:textId="77777777" w:rsidR="00D475B6" w:rsidRDefault="00F34475">
            <w:pPr>
              <w:rPr>
                <w:sz w:val="24"/>
                <w:szCs w:val="24"/>
              </w:rPr>
            </w:pPr>
            <w:r>
              <w:rPr>
                <w:sz w:val="24"/>
                <w:szCs w:val="24"/>
              </w:rPr>
              <w:t>.05</w:t>
            </w:r>
          </w:p>
        </w:tc>
      </w:tr>
      <w:tr w:rsidR="00D475B6" w14:paraId="2B83BB39" w14:textId="77777777" w:rsidTr="6C0BAB00">
        <w:tc>
          <w:tcPr>
            <w:tcW w:w="4106" w:type="dxa"/>
            <w:vMerge/>
          </w:tcPr>
          <w:p w14:paraId="2B83BB31" w14:textId="77777777" w:rsidR="00D475B6" w:rsidRDefault="00D475B6">
            <w:pPr>
              <w:widowControl w:val="0"/>
              <w:pBdr>
                <w:top w:val="nil"/>
                <w:left w:val="nil"/>
                <w:bottom w:val="nil"/>
                <w:right w:val="nil"/>
                <w:between w:val="nil"/>
              </w:pBdr>
              <w:spacing w:line="276" w:lineRule="auto"/>
              <w:rPr>
                <w:sz w:val="24"/>
                <w:szCs w:val="24"/>
              </w:rPr>
            </w:pPr>
          </w:p>
        </w:tc>
        <w:tc>
          <w:tcPr>
            <w:tcW w:w="851" w:type="dxa"/>
          </w:tcPr>
          <w:p w14:paraId="2B83BB32" w14:textId="77777777" w:rsidR="00D475B6" w:rsidRDefault="00F34475">
            <w:pPr>
              <w:rPr>
                <w:sz w:val="24"/>
                <w:szCs w:val="24"/>
              </w:rPr>
            </w:pPr>
            <w:r>
              <w:rPr>
                <w:sz w:val="24"/>
                <w:szCs w:val="24"/>
              </w:rPr>
              <w:t>SD</w:t>
            </w:r>
          </w:p>
        </w:tc>
        <w:tc>
          <w:tcPr>
            <w:tcW w:w="850" w:type="dxa"/>
          </w:tcPr>
          <w:p w14:paraId="2B83BB33" w14:textId="77777777" w:rsidR="00D475B6" w:rsidRDefault="00F34475">
            <w:pPr>
              <w:rPr>
                <w:sz w:val="24"/>
                <w:szCs w:val="24"/>
              </w:rPr>
            </w:pPr>
            <w:r>
              <w:rPr>
                <w:sz w:val="24"/>
                <w:szCs w:val="24"/>
              </w:rPr>
              <w:t>2.56</w:t>
            </w:r>
          </w:p>
        </w:tc>
        <w:tc>
          <w:tcPr>
            <w:tcW w:w="851" w:type="dxa"/>
          </w:tcPr>
          <w:p w14:paraId="2B83BB34" w14:textId="77777777" w:rsidR="00D475B6" w:rsidRDefault="00F34475">
            <w:pPr>
              <w:rPr>
                <w:sz w:val="24"/>
                <w:szCs w:val="24"/>
              </w:rPr>
            </w:pPr>
            <w:r>
              <w:rPr>
                <w:sz w:val="24"/>
                <w:szCs w:val="24"/>
              </w:rPr>
              <w:t>5.10</w:t>
            </w:r>
          </w:p>
        </w:tc>
        <w:tc>
          <w:tcPr>
            <w:tcW w:w="900" w:type="dxa"/>
          </w:tcPr>
          <w:p w14:paraId="2B83BB35" w14:textId="77777777" w:rsidR="00D475B6" w:rsidRDefault="00F34475">
            <w:pPr>
              <w:rPr>
                <w:sz w:val="24"/>
                <w:szCs w:val="24"/>
              </w:rPr>
            </w:pPr>
            <w:r>
              <w:rPr>
                <w:sz w:val="24"/>
                <w:szCs w:val="24"/>
              </w:rPr>
              <w:t>3.51</w:t>
            </w:r>
          </w:p>
        </w:tc>
        <w:tc>
          <w:tcPr>
            <w:tcW w:w="750" w:type="dxa"/>
            <w:vMerge/>
          </w:tcPr>
          <w:p w14:paraId="2B83BB36" w14:textId="77777777" w:rsidR="00D475B6" w:rsidRDefault="00D475B6">
            <w:pPr>
              <w:widowControl w:val="0"/>
              <w:pBdr>
                <w:top w:val="nil"/>
                <w:left w:val="nil"/>
                <w:bottom w:val="nil"/>
                <w:right w:val="nil"/>
                <w:between w:val="nil"/>
              </w:pBdr>
              <w:spacing w:line="276" w:lineRule="auto"/>
              <w:rPr>
                <w:sz w:val="24"/>
                <w:szCs w:val="24"/>
              </w:rPr>
            </w:pPr>
          </w:p>
        </w:tc>
        <w:tc>
          <w:tcPr>
            <w:tcW w:w="955" w:type="dxa"/>
            <w:vMerge/>
          </w:tcPr>
          <w:p w14:paraId="2B83BB37" w14:textId="77777777" w:rsidR="00D475B6" w:rsidRDefault="00D475B6">
            <w:pPr>
              <w:widowControl w:val="0"/>
              <w:pBdr>
                <w:top w:val="nil"/>
                <w:left w:val="nil"/>
                <w:bottom w:val="nil"/>
                <w:right w:val="nil"/>
                <w:between w:val="nil"/>
              </w:pBdr>
              <w:spacing w:line="276" w:lineRule="auto"/>
              <w:rPr>
                <w:sz w:val="24"/>
                <w:szCs w:val="24"/>
              </w:rPr>
            </w:pPr>
          </w:p>
        </w:tc>
        <w:tc>
          <w:tcPr>
            <w:tcW w:w="764" w:type="dxa"/>
            <w:vMerge/>
          </w:tcPr>
          <w:p w14:paraId="2B83BB38" w14:textId="77777777" w:rsidR="00D475B6" w:rsidRDefault="00D475B6">
            <w:pPr>
              <w:widowControl w:val="0"/>
              <w:pBdr>
                <w:top w:val="nil"/>
                <w:left w:val="nil"/>
                <w:bottom w:val="nil"/>
                <w:right w:val="nil"/>
                <w:between w:val="nil"/>
              </w:pBdr>
              <w:spacing w:line="276" w:lineRule="auto"/>
              <w:rPr>
                <w:sz w:val="24"/>
                <w:szCs w:val="24"/>
              </w:rPr>
            </w:pPr>
          </w:p>
        </w:tc>
      </w:tr>
      <w:tr w:rsidR="00D475B6" w14:paraId="2B83BB42" w14:textId="77777777" w:rsidTr="6C0BAB00">
        <w:tc>
          <w:tcPr>
            <w:tcW w:w="4106" w:type="dxa"/>
            <w:vMerge w:val="restart"/>
          </w:tcPr>
          <w:p w14:paraId="2B83BB3A" w14:textId="77777777" w:rsidR="00D475B6" w:rsidRDefault="00F34475">
            <w:pPr>
              <w:rPr>
                <w:sz w:val="24"/>
                <w:szCs w:val="24"/>
              </w:rPr>
            </w:pPr>
            <w:r>
              <w:rPr>
                <w:sz w:val="24"/>
                <w:szCs w:val="24"/>
              </w:rPr>
              <w:t>Education (years)</w:t>
            </w:r>
          </w:p>
        </w:tc>
        <w:tc>
          <w:tcPr>
            <w:tcW w:w="851" w:type="dxa"/>
          </w:tcPr>
          <w:p w14:paraId="2B83BB3B" w14:textId="77777777" w:rsidR="00D475B6" w:rsidRDefault="00F34475">
            <w:pPr>
              <w:rPr>
                <w:sz w:val="24"/>
                <w:szCs w:val="24"/>
              </w:rPr>
            </w:pPr>
            <w:r>
              <w:rPr>
                <w:sz w:val="24"/>
                <w:szCs w:val="24"/>
              </w:rPr>
              <w:t>Mean</w:t>
            </w:r>
          </w:p>
        </w:tc>
        <w:tc>
          <w:tcPr>
            <w:tcW w:w="850" w:type="dxa"/>
          </w:tcPr>
          <w:p w14:paraId="2B83BB3C" w14:textId="77777777" w:rsidR="00D475B6" w:rsidRDefault="00F34475">
            <w:pPr>
              <w:rPr>
                <w:sz w:val="24"/>
                <w:szCs w:val="24"/>
              </w:rPr>
            </w:pPr>
            <w:r>
              <w:rPr>
                <w:sz w:val="24"/>
                <w:szCs w:val="24"/>
              </w:rPr>
              <w:t>16.53</w:t>
            </w:r>
          </w:p>
        </w:tc>
        <w:tc>
          <w:tcPr>
            <w:tcW w:w="851" w:type="dxa"/>
          </w:tcPr>
          <w:p w14:paraId="2B83BB3D" w14:textId="77777777" w:rsidR="00D475B6" w:rsidRDefault="00F34475">
            <w:pPr>
              <w:rPr>
                <w:sz w:val="24"/>
                <w:szCs w:val="24"/>
              </w:rPr>
            </w:pPr>
            <w:r>
              <w:rPr>
                <w:sz w:val="24"/>
                <w:szCs w:val="24"/>
              </w:rPr>
              <w:t>16.58</w:t>
            </w:r>
          </w:p>
        </w:tc>
        <w:tc>
          <w:tcPr>
            <w:tcW w:w="900" w:type="dxa"/>
          </w:tcPr>
          <w:p w14:paraId="2B83BB3E" w14:textId="77777777" w:rsidR="00D475B6" w:rsidRDefault="00F34475">
            <w:pPr>
              <w:rPr>
                <w:sz w:val="24"/>
                <w:szCs w:val="24"/>
              </w:rPr>
            </w:pPr>
            <w:r>
              <w:rPr>
                <w:sz w:val="24"/>
                <w:szCs w:val="24"/>
              </w:rPr>
              <w:t>16.97</w:t>
            </w:r>
          </w:p>
        </w:tc>
        <w:tc>
          <w:tcPr>
            <w:tcW w:w="750" w:type="dxa"/>
            <w:vMerge w:val="restart"/>
          </w:tcPr>
          <w:p w14:paraId="2B83BB3F" w14:textId="77777777" w:rsidR="00D475B6" w:rsidRDefault="00F34475">
            <w:pPr>
              <w:rPr>
                <w:sz w:val="24"/>
                <w:szCs w:val="24"/>
              </w:rPr>
            </w:pPr>
            <w:r>
              <w:rPr>
                <w:sz w:val="24"/>
                <w:szCs w:val="24"/>
              </w:rPr>
              <w:t>0.23</w:t>
            </w:r>
          </w:p>
        </w:tc>
        <w:tc>
          <w:tcPr>
            <w:tcW w:w="955" w:type="dxa"/>
            <w:vMerge w:val="restart"/>
          </w:tcPr>
          <w:p w14:paraId="2B83BB40" w14:textId="77777777" w:rsidR="00D475B6" w:rsidRDefault="00F34475">
            <w:pPr>
              <w:rPr>
                <w:sz w:val="24"/>
                <w:szCs w:val="24"/>
              </w:rPr>
            </w:pPr>
            <w:r>
              <w:rPr>
                <w:sz w:val="24"/>
                <w:szCs w:val="24"/>
              </w:rPr>
              <w:t>.79</w:t>
            </w:r>
          </w:p>
        </w:tc>
        <w:tc>
          <w:tcPr>
            <w:tcW w:w="764" w:type="dxa"/>
            <w:vMerge w:val="restart"/>
          </w:tcPr>
          <w:p w14:paraId="2B83BB41" w14:textId="77777777" w:rsidR="00D475B6" w:rsidRDefault="00F34475">
            <w:pPr>
              <w:rPr>
                <w:sz w:val="24"/>
                <w:szCs w:val="24"/>
              </w:rPr>
            </w:pPr>
            <w:r>
              <w:rPr>
                <w:sz w:val="24"/>
                <w:szCs w:val="24"/>
              </w:rPr>
              <w:t>.005</w:t>
            </w:r>
          </w:p>
        </w:tc>
      </w:tr>
      <w:tr w:rsidR="00D475B6" w14:paraId="2B83BB4B" w14:textId="77777777" w:rsidTr="6C0BAB00">
        <w:tc>
          <w:tcPr>
            <w:tcW w:w="4106" w:type="dxa"/>
            <w:vMerge/>
          </w:tcPr>
          <w:p w14:paraId="2B83BB43" w14:textId="77777777" w:rsidR="00D475B6" w:rsidRDefault="00D475B6">
            <w:pPr>
              <w:widowControl w:val="0"/>
              <w:pBdr>
                <w:top w:val="nil"/>
                <w:left w:val="nil"/>
                <w:bottom w:val="nil"/>
                <w:right w:val="nil"/>
                <w:between w:val="nil"/>
              </w:pBdr>
              <w:spacing w:line="276" w:lineRule="auto"/>
              <w:rPr>
                <w:sz w:val="24"/>
                <w:szCs w:val="24"/>
              </w:rPr>
            </w:pPr>
          </w:p>
        </w:tc>
        <w:tc>
          <w:tcPr>
            <w:tcW w:w="851" w:type="dxa"/>
          </w:tcPr>
          <w:p w14:paraId="2B83BB44" w14:textId="77777777" w:rsidR="00D475B6" w:rsidRDefault="00F34475">
            <w:pPr>
              <w:rPr>
                <w:sz w:val="24"/>
                <w:szCs w:val="24"/>
              </w:rPr>
            </w:pPr>
            <w:r>
              <w:rPr>
                <w:sz w:val="24"/>
                <w:szCs w:val="24"/>
              </w:rPr>
              <w:t>SD</w:t>
            </w:r>
          </w:p>
        </w:tc>
        <w:tc>
          <w:tcPr>
            <w:tcW w:w="850" w:type="dxa"/>
          </w:tcPr>
          <w:p w14:paraId="2B83BB45" w14:textId="77777777" w:rsidR="00D475B6" w:rsidRDefault="00F34475">
            <w:pPr>
              <w:rPr>
                <w:sz w:val="24"/>
                <w:szCs w:val="24"/>
              </w:rPr>
            </w:pPr>
            <w:r>
              <w:rPr>
                <w:sz w:val="24"/>
                <w:szCs w:val="24"/>
              </w:rPr>
              <w:t>2.79</w:t>
            </w:r>
          </w:p>
        </w:tc>
        <w:tc>
          <w:tcPr>
            <w:tcW w:w="851" w:type="dxa"/>
          </w:tcPr>
          <w:p w14:paraId="2B83BB46" w14:textId="77777777" w:rsidR="00D475B6" w:rsidRDefault="00F34475">
            <w:pPr>
              <w:rPr>
                <w:sz w:val="24"/>
                <w:szCs w:val="24"/>
              </w:rPr>
            </w:pPr>
            <w:r>
              <w:rPr>
                <w:sz w:val="24"/>
                <w:szCs w:val="24"/>
              </w:rPr>
              <w:t>3.37</w:t>
            </w:r>
          </w:p>
        </w:tc>
        <w:tc>
          <w:tcPr>
            <w:tcW w:w="900" w:type="dxa"/>
          </w:tcPr>
          <w:p w14:paraId="2B83BB47" w14:textId="77777777" w:rsidR="00D475B6" w:rsidRDefault="00F34475">
            <w:pPr>
              <w:rPr>
                <w:sz w:val="24"/>
                <w:szCs w:val="24"/>
              </w:rPr>
            </w:pPr>
            <w:r>
              <w:rPr>
                <w:sz w:val="24"/>
                <w:szCs w:val="24"/>
              </w:rPr>
              <w:t>2.21</w:t>
            </w:r>
          </w:p>
        </w:tc>
        <w:tc>
          <w:tcPr>
            <w:tcW w:w="750" w:type="dxa"/>
            <w:vMerge/>
          </w:tcPr>
          <w:p w14:paraId="2B83BB48" w14:textId="77777777" w:rsidR="00D475B6" w:rsidRDefault="00D475B6">
            <w:pPr>
              <w:widowControl w:val="0"/>
              <w:pBdr>
                <w:top w:val="nil"/>
                <w:left w:val="nil"/>
                <w:bottom w:val="nil"/>
                <w:right w:val="nil"/>
                <w:between w:val="nil"/>
              </w:pBdr>
              <w:spacing w:line="276" w:lineRule="auto"/>
              <w:rPr>
                <w:sz w:val="24"/>
                <w:szCs w:val="24"/>
              </w:rPr>
            </w:pPr>
          </w:p>
        </w:tc>
        <w:tc>
          <w:tcPr>
            <w:tcW w:w="955" w:type="dxa"/>
            <w:vMerge/>
          </w:tcPr>
          <w:p w14:paraId="2B83BB49" w14:textId="77777777" w:rsidR="00D475B6" w:rsidRDefault="00D475B6">
            <w:pPr>
              <w:widowControl w:val="0"/>
              <w:pBdr>
                <w:top w:val="nil"/>
                <w:left w:val="nil"/>
                <w:bottom w:val="nil"/>
                <w:right w:val="nil"/>
                <w:between w:val="nil"/>
              </w:pBdr>
              <w:spacing w:line="276" w:lineRule="auto"/>
              <w:rPr>
                <w:sz w:val="24"/>
                <w:szCs w:val="24"/>
              </w:rPr>
            </w:pPr>
          </w:p>
        </w:tc>
        <w:tc>
          <w:tcPr>
            <w:tcW w:w="764" w:type="dxa"/>
            <w:vMerge/>
          </w:tcPr>
          <w:p w14:paraId="2B83BB4A" w14:textId="77777777" w:rsidR="00D475B6" w:rsidRDefault="00D475B6">
            <w:pPr>
              <w:widowControl w:val="0"/>
              <w:pBdr>
                <w:top w:val="nil"/>
                <w:left w:val="nil"/>
                <w:bottom w:val="nil"/>
                <w:right w:val="nil"/>
                <w:between w:val="nil"/>
              </w:pBdr>
              <w:spacing w:line="276" w:lineRule="auto"/>
              <w:rPr>
                <w:sz w:val="24"/>
                <w:szCs w:val="24"/>
              </w:rPr>
            </w:pPr>
          </w:p>
        </w:tc>
      </w:tr>
      <w:tr w:rsidR="00D475B6" w14:paraId="2B83BB55" w14:textId="77777777" w:rsidTr="6C0BAB00">
        <w:tc>
          <w:tcPr>
            <w:tcW w:w="4106" w:type="dxa"/>
            <w:vMerge w:val="restart"/>
          </w:tcPr>
          <w:p w14:paraId="2B83BB4C" w14:textId="77777777" w:rsidR="00D475B6" w:rsidRDefault="00F34475">
            <w:pPr>
              <w:rPr>
                <w:sz w:val="24"/>
                <w:szCs w:val="24"/>
              </w:rPr>
            </w:pPr>
            <w:r>
              <w:rPr>
                <w:sz w:val="24"/>
                <w:szCs w:val="24"/>
              </w:rPr>
              <w:t xml:space="preserve">English vocabulary knowledge </w:t>
            </w:r>
          </w:p>
          <w:p w14:paraId="2B83BB4D" w14:textId="77777777" w:rsidR="00D475B6" w:rsidRDefault="00F34475">
            <w:pPr>
              <w:rPr>
                <w:sz w:val="24"/>
                <w:szCs w:val="24"/>
              </w:rPr>
            </w:pPr>
            <w:r>
              <w:rPr>
                <w:sz w:val="24"/>
                <w:szCs w:val="24"/>
              </w:rPr>
              <w:lastRenderedPageBreak/>
              <w:t>(WAIS IV vocabulary subtest raw score)</w:t>
            </w:r>
          </w:p>
        </w:tc>
        <w:tc>
          <w:tcPr>
            <w:tcW w:w="851" w:type="dxa"/>
          </w:tcPr>
          <w:p w14:paraId="2B83BB4E" w14:textId="77777777" w:rsidR="00D475B6" w:rsidRDefault="00F34475">
            <w:pPr>
              <w:rPr>
                <w:sz w:val="24"/>
                <w:szCs w:val="24"/>
              </w:rPr>
            </w:pPr>
            <w:r>
              <w:rPr>
                <w:sz w:val="24"/>
                <w:szCs w:val="24"/>
              </w:rPr>
              <w:lastRenderedPageBreak/>
              <w:t>Mean</w:t>
            </w:r>
          </w:p>
        </w:tc>
        <w:tc>
          <w:tcPr>
            <w:tcW w:w="850" w:type="dxa"/>
          </w:tcPr>
          <w:p w14:paraId="2B83BB4F" w14:textId="77777777" w:rsidR="00D475B6" w:rsidRDefault="00F34475">
            <w:pPr>
              <w:rPr>
                <w:sz w:val="24"/>
                <w:szCs w:val="24"/>
              </w:rPr>
            </w:pPr>
            <w:r>
              <w:rPr>
                <w:sz w:val="24"/>
                <w:szCs w:val="24"/>
              </w:rPr>
              <w:t>33.17</w:t>
            </w:r>
          </w:p>
        </w:tc>
        <w:tc>
          <w:tcPr>
            <w:tcW w:w="851" w:type="dxa"/>
          </w:tcPr>
          <w:p w14:paraId="2B83BB50" w14:textId="77777777" w:rsidR="00D475B6" w:rsidRDefault="00F34475">
            <w:pPr>
              <w:rPr>
                <w:sz w:val="24"/>
                <w:szCs w:val="24"/>
              </w:rPr>
            </w:pPr>
            <w:r>
              <w:rPr>
                <w:sz w:val="24"/>
                <w:szCs w:val="24"/>
              </w:rPr>
              <w:t>38.42</w:t>
            </w:r>
          </w:p>
        </w:tc>
        <w:tc>
          <w:tcPr>
            <w:tcW w:w="900" w:type="dxa"/>
          </w:tcPr>
          <w:p w14:paraId="2B83BB51" w14:textId="77777777" w:rsidR="00D475B6" w:rsidRDefault="00F34475">
            <w:pPr>
              <w:rPr>
                <w:sz w:val="24"/>
                <w:szCs w:val="24"/>
              </w:rPr>
            </w:pPr>
            <w:r>
              <w:rPr>
                <w:sz w:val="24"/>
                <w:szCs w:val="24"/>
              </w:rPr>
              <w:t>34.94</w:t>
            </w:r>
          </w:p>
        </w:tc>
        <w:tc>
          <w:tcPr>
            <w:tcW w:w="750" w:type="dxa"/>
            <w:vMerge w:val="restart"/>
          </w:tcPr>
          <w:p w14:paraId="2B83BB52" w14:textId="77777777" w:rsidR="00D475B6" w:rsidRDefault="00F34475">
            <w:pPr>
              <w:rPr>
                <w:sz w:val="24"/>
                <w:szCs w:val="24"/>
              </w:rPr>
            </w:pPr>
            <w:r>
              <w:rPr>
                <w:sz w:val="24"/>
                <w:szCs w:val="24"/>
              </w:rPr>
              <w:t>3.93</w:t>
            </w:r>
          </w:p>
        </w:tc>
        <w:tc>
          <w:tcPr>
            <w:tcW w:w="955" w:type="dxa"/>
            <w:vMerge w:val="restart"/>
          </w:tcPr>
          <w:p w14:paraId="2B83BB53" w14:textId="77777777" w:rsidR="00D475B6" w:rsidRDefault="00F34475">
            <w:pPr>
              <w:rPr>
                <w:sz w:val="24"/>
                <w:szCs w:val="24"/>
              </w:rPr>
            </w:pPr>
            <w:r>
              <w:rPr>
                <w:sz w:val="24"/>
                <w:szCs w:val="24"/>
              </w:rPr>
              <w:t>.02*</w:t>
            </w:r>
          </w:p>
        </w:tc>
        <w:tc>
          <w:tcPr>
            <w:tcW w:w="764" w:type="dxa"/>
            <w:vMerge w:val="restart"/>
          </w:tcPr>
          <w:p w14:paraId="2B83BB54" w14:textId="77777777" w:rsidR="00D475B6" w:rsidRDefault="00F34475">
            <w:pPr>
              <w:rPr>
                <w:sz w:val="24"/>
                <w:szCs w:val="24"/>
              </w:rPr>
            </w:pPr>
            <w:r>
              <w:rPr>
                <w:sz w:val="24"/>
                <w:szCs w:val="24"/>
              </w:rPr>
              <w:t>.09</w:t>
            </w:r>
          </w:p>
        </w:tc>
      </w:tr>
      <w:tr w:rsidR="00D475B6" w14:paraId="2B83BB5E" w14:textId="77777777" w:rsidTr="6C0BAB00">
        <w:tc>
          <w:tcPr>
            <w:tcW w:w="4106" w:type="dxa"/>
            <w:vMerge/>
          </w:tcPr>
          <w:p w14:paraId="2B83BB56" w14:textId="77777777" w:rsidR="00D475B6" w:rsidRDefault="00D475B6">
            <w:pPr>
              <w:widowControl w:val="0"/>
              <w:pBdr>
                <w:top w:val="nil"/>
                <w:left w:val="nil"/>
                <w:bottom w:val="nil"/>
                <w:right w:val="nil"/>
                <w:between w:val="nil"/>
              </w:pBdr>
              <w:spacing w:line="276" w:lineRule="auto"/>
              <w:rPr>
                <w:sz w:val="24"/>
                <w:szCs w:val="24"/>
              </w:rPr>
            </w:pPr>
          </w:p>
        </w:tc>
        <w:tc>
          <w:tcPr>
            <w:tcW w:w="851" w:type="dxa"/>
          </w:tcPr>
          <w:p w14:paraId="2B83BB57" w14:textId="77777777" w:rsidR="00D475B6" w:rsidRDefault="00F34475">
            <w:pPr>
              <w:rPr>
                <w:sz w:val="24"/>
                <w:szCs w:val="24"/>
              </w:rPr>
            </w:pPr>
            <w:r>
              <w:rPr>
                <w:sz w:val="24"/>
                <w:szCs w:val="24"/>
              </w:rPr>
              <w:t>SD</w:t>
            </w:r>
          </w:p>
        </w:tc>
        <w:tc>
          <w:tcPr>
            <w:tcW w:w="850" w:type="dxa"/>
          </w:tcPr>
          <w:p w14:paraId="2B83BB58" w14:textId="77777777" w:rsidR="00D475B6" w:rsidRDefault="00F34475">
            <w:pPr>
              <w:rPr>
                <w:sz w:val="24"/>
                <w:szCs w:val="24"/>
              </w:rPr>
            </w:pPr>
            <w:r>
              <w:rPr>
                <w:sz w:val="24"/>
                <w:szCs w:val="24"/>
              </w:rPr>
              <w:t>6.85</w:t>
            </w:r>
          </w:p>
        </w:tc>
        <w:tc>
          <w:tcPr>
            <w:tcW w:w="851" w:type="dxa"/>
          </w:tcPr>
          <w:p w14:paraId="2B83BB59" w14:textId="77777777" w:rsidR="00D475B6" w:rsidRDefault="00F34475">
            <w:pPr>
              <w:rPr>
                <w:sz w:val="24"/>
                <w:szCs w:val="24"/>
              </w:rPr>
            </w:pPr>
            <w:r>
              <w:rPr>
                <w:sz w:val="24"/>
                <w:szCs w:val="24"/>
              </w:rPr>
              <w:t>7.31</w:t>
            </w:r>
          </w:p>
        </w:tc>
        <w:tc>
          <w:tcPr>
            <w:tcW w:w="900" w:type="dxa"/>
          </w:tcPr>
          <w:p w14:paraId="2B83BB5A" w14:textId="77777777" w:rsidR="00D475B6" w:rsidRDefault="00F34475">
            <w:pPr>
              <w:rPr>
                <w:sz w:val="24"/>
                <w:szCs w:val="24"/>
              </w:rPr>
            </w:pPr>
            <w:r>
              <w:rPr>
                <w:sz w:val="24"/>
                <w:szCs w:val="24"/>
              </w:rPr>
              <w:t>6.63</w:t>
            </w:r>
          </w:p>
        </w:tc>
        <w:tc>
          <w:tcPr>
            <w:tcW w:w="750" w:type="dxa"/>
            <w:vMerge/>
          </w:tcPr>
          <w:p w14:paraId="2B83BB5B" w14:textId="77777777" w:rsidR="00D475B6" w:rsidRDefault="00D475B6">
            <w:pPr>
              <w:widowControl w:val="0"/>
              <w:pBdr>
                <w:top w:val="nil"/>
                <w:left w:val="nil"/>
                <w:bottom w:val="nil"/>
                <w:right w:val="nil"/>
                <w:between w:val="nil"/>
              </w:pBdr>
              <w:spacing w:line="276" w:lineRule="auto"/>
              <w:rPr>
                <w:sz w:val="24"/>
                <w:szCs w:val="24"/>
              </w:rPr>
            </w:pPr>
          </w:p>
        </w:tc>
        <w:tc>
          <w:tcPr>
            <w:tcW w:w="955" w:type="dxa"/>
            <w:vMerge/>
          </w:tcPr>
          <w:p w14:paraId="2B83BB5C" w14:textId="77777777" w:rsidR="00D475B6" w:rsidRDefault="00D475B6">
            <w:pPr>
              <w:widowControl w:val="0"/>
              <w:pBdr>
                <w:top w:val="nil"/>
                <w:left w:val="nil"/>
                <w:bottom w:val="nil"/>
                <w:right w:val="nil"/>
                <w:between w:val="nil"/>
              </w:pBdr>
              <w:spacing w:line="276" w:lineRule="auto"/>
              <w:rPr>
                <w:sz w:val="24"/>
                <w:szCs w:val="24"/>
              </w:rPr>
            </w:pPr>
          </w:p>
        </w:tc>
        <w:tc>
          <w:tcPr>
            <w:tcW w:w="764" w:type="dxa"/>
            <w:vMerge/>
          </w:tcPr>
          <w:p w14:paraId="2B83BB5D" w14:textId="77777777" w:rsidR="00D475B6" w:rsidRDefault="00D475B6">
            <w:pPr>
              <w:widowControl w:val="0"/>
              <w:pBdr>
                <w:top w:val="nil"/>
                <w:left w:val="nil"/>
                <w:bottom w:val="nil"/>
                <w:right w:val="nil"/>
                <w:between w:val="nil"/>
              </w:pBdr>
              <w:spacing w:line="276" w:lineRule="auto"/>
              <w:rPr>
                <w:sz w:val="24"/>
                <w:szCs w:val="24"/>
              </w:rPr>
            </w:pPr>
          </w:p>
        </w:tc>
      </w:tr>
      <w:tr w:rsidR="00D475B6" w14:paraId="2B83BB67" w14:textId="77777777" w:rsidTr="6C0BAB00">
        <w:tc>
          <w:tcPr>
            <w:tcW w:w="4106" w:type="dxa"/>
            <w:vMerge w:val="restart"/>
          </w:tcPr>
          <w:p w14:paraId="2B83BB5F" w14:textId="77777777" w:rsidR="00D475B6" w:rsidRDefault="00F34475">
            <w:pPr>
              <w:rPr>
                <w:sz w:val="24"/>
                <w:szCs w:val="24"/>
              </w:rPr>
            </w:pPr>
            <w:r>
              <w:rPr>
                <w:sz w:val="24"/>
                <w:szCs w:val="24"/>
              </w:rPr>
              <w:t>Number of known languages</w:t>
            </w:r>
          </w:p>
        </w:tc>
        <w:tc>
          <w:tcPr>
            <w:tcW w:w="851" w:type="dxa"/>
          </w:tcPr>
          <w:p w14:paraId="2B83BB60" w14:textId="77777777" w:rsidR="00D475B6" w:rsidRDefault="00F34475">
            <w:pPr>
              <w:rPr>
                <w:sz w:val="24"/>
                <w:szCs w:val="24"/>
              </w:rPr>
            </w:pPr>
            <w:r>
              <w:rPr>
                <w:sz w:val="24"/>
                <w:szCs w:val="24"/>
              </w:rPr>
              <w:t>Mean</w:t>
            </w:r>
          </w:p>
        </w:tc>
        <w:tc>
          <w:tcPr>
            <w:tcW w:w="850" w:type="dxa"/>
          </w:tcPr>
          <w:p w14:paraId="2B83BB61" w14:textId="77777777" w:rsidR="00D475B6" w:rsidRDefault="00F34475">
            <w:pPr>
              <w:rPr>
                <w:sz w:val="24"/>
                <w:szCs w:val="24"/>
              </w:rPr>
            </w:pPr>
            <w:r>
              <w:rPr>
                <w:sz w:val="24"/>
                <w:szCs w:val="24"/>
              </w:rPr>
              <w:t>1.87</w:t>
            </w:r>
          </w:p>
        </w:tc>
        <w:tc>
          <w:tcPr>
            <w:tcW w:w="851" w:type="dxa"/>
          </w:tcPr>
          <w:p w14:paraId="2B83BB62" w14:textId="77777777" w:rsidR="00D475B6" w:rsidRDefault="00F34475">
            <w:pPr>
              <w:rPr>
                <w:sz w:val="24"/>
                <w:szCs w:val="24"/>
              </w:rPr>
            </w:pPr>
            <w:r>
              <w:rPr>
                <w:sz w:val="24"/>
                <w:szCs w:val="24"/>
              </w:rPr>
              <w:t>2.04</w:t>
            </w:r>
          </w:p>
        </w:tc>
        <w:tc>
          <w:tcPr>
            <w:tcW w:w="900" w:type="dxa"/>
          </w:tcPr>
          <w:p w14:paraId="2B83BB63" w14:textId="77777777" w:rsidR="00D475B6" w:rsidRDefault="00F34475">
            <w:pPr>
              <w:rPr>
                <w:sz w:val="24"/>
                <w:szCs w:val="24"/>
              </w:rPr>
            </w:pPr>
            <w:r>
              <w:rPr>
                <w:sz w:val="24"/>
                <w:szCs w:val="24"/>
              </w:rPr>
              <w:t>2.24</w:t>
            </w:r>
          </w:p>
        </w:tc>
        <w:tc>
          <w:tcPr>
            <w:tcW w:w="750" w:type="dxa"/>
            <w:vMerge w:val="restart"/>
          </w:tcPr>
          <w:p w14:paraId="2B83BB64" w14:textId="77777777" w:rsidR="00D475B6" w:rsidRDefault="00F34475">
            <w:pPr>
              <w:rPr>
                <w:sz w:val="24"/>
                <w:szCs w:val="24"/>
              </w:rPr>
            </w:pPr>
            <w:r>
              <w:rPr>
                <w:sz w:val="24"/>
                <w:szCs w:val="24"/>
              </w:rPr>
              <w:t>0.58</w:t>
            </w:r>
          </w:p>
        </w:tc>
        <w:tc>
          <w:tcPr>
            <w:tcW w:w="955" w:type="dxa"/>
            <w:vMerge w:val="restart"/>
          </w:tcPr>
          <w:p w14:paraId="2B83BB65" w14:textId="77777777" w:rsidR="00D475B6" w:rsidRDefault="00F34475">
            <w:pPr>
              <w:rPr>
                <w:sz w:val="24"/>
                <w:szCs w:val="24"/>
              </w:rPr>
            </w:pPr>
            <w:r>
              <w:rPr>
                <w:sz w:val="24"/>
                <w:szCs w:val="24"/>
              </w:rPr>
              <w:t>.57</w:t>
            </w:r>
          </w:p>
        </w:tc>
        <w:tc>
          <w:tcPr>
            <w:tcW w:w="764" w:type="dxa"/>
            <w:vMerge w:val="restart"/>
          </w:tcPr>
          <w:p w14:paraId="2B83BB66" w14:textId="77777777" w:rsidR="00D475B6" w:rsidRDefault="00F34475">
            <w:pPr>
              <w:rPr>
                <w:sz w:val="24"/>
                <w:szCs w:val="24"/>
              </w:rPr>
            </w:pPr>
            <w:r>
              <w:rPr>
                <w:sz w:val="24"/>
                <w:szCs w:val="24"/>
              </w:rPr>
              <w:t>.01</w:t>
            </w:r>
          </w:p>
        </w:tc>
      </w:tr>
      <w:tr w:rsidR="00D475B6" w14:paraId="2B83BB70" w14:textId="77777777" w:rsidTr="6C0BAB00">
        <w:tc>
          <w:tcPr>
            <w:tcW w:w="4106" w:type="dxa"/>
            <w:vMerge/>
          </w:tcPr>
          <w:p w14:paraId="2B83BB68" w14:textId="77777777" w:rsidR="00D475B6" w:rsidRDefault="00D475B6">
            <w:pPr>
              <w:widowControl w:val="0"/>
              <w:pBdr>
                <w:top w:val="nil"/>
                <w:left w:val="nil"/>
                <w:bottom w:val="nil"/>
                <w:right w:val="nil"/>
                <w:between w:val="nil"/>
              </w:pBdr>
              <w:spacing w:line="276" w:lineRule="auto"/>
              <w:rPr>
                <w:sz w:val="24"/>
                <w:szCs w:val="24"/>
              </w:rPr>
            </w:pPr>
          </w:p>
        </w:tc>
        <w:tc>
          <w:tcPr>
            <w:tcW w:w="851" w:type="dxa"/>
          </w:tcPr>
          <w:p w14:paraId="2B83BB69" w14:textId="77777777" w:rsidR="00D475B6" w:rsidRDefault="00F34475">
            <w:pPr>
              <w:rPr>
                <w:sz w:val="24"/>
                <w:szCs w:val="24"/>
              </w:rPr>
            </w:pPr>
            <w:r>
              <w:rPr>
                <w:sz w:val="24"/>
                <w:szCs w:val="24"/>
              </w:rPr>
              <w:t>SD</w:t>
            </w:r>
          </w:p>
        </w:tc>
        <w:tc>
          <w:tcPr>
            <w:tcW w:w="850" w:type="dxa"/>
          </w:tcPr>
          <w:p w14:paraId="2B83BB6A" w14:textId="77777777" w:rsidR="00D475B6" w:rsidRDefault="00F34475">
            <w:pPr>
              <w:rPr>
                <w:sz w:val="24"/>
                <w:szCs w:val="24"/>
              </w:rPr>
            </w:pPr>
            <w:r>
              <w:rPr>
                <w:sz w:val="24"/>
                <w:szCs w:val="24"/>
              </w:rPr>
              <w:t>1.38</w:t>
            </w:r>
          </w:p>
        </w:tc>
        <w:tc>
          <w:tcPr>
            <w:tcW w:w="851" w:type="dxa"/>
          </w:tcPr>
          <w:p w14:paraId="2B83BB6B" w14:textId="77777777" w:rsidR="00D475B6" w:rsidRDefault="00F34475">
            <w:pPr>
              <w:rPr>
                <w:sz w:val="24"/>
                <w:szCs w:val="24"/>
              </w:rPr>
            </w:pPr>
            <w:r>
              <w:rPr>
                <w:sz w:val="24"/>
                <w:szCs w:val="24"/>
              </w:rPr>
              <w:t>1.16</w:t>
            </w:r>
          </w:p>
        </w:tc>
        <w:tc>
          <w:tcPr>
            <w:tcW w:w="900" w:type="dxa"/>
          </w:tcPr>
          <w:p w14:paraId="2B83BB6C" w14:textId="77777777" w:rsidR="00D475B6" w:rsidRDefault="00F34475">
            <w:pPr>
              <w:rPr>
                <w:sz w:val="24"/>
                <w:szCs w:val="24"/>
              </w:rPr>
            </w:pPr>
            <w:r>
              <w:rPr>
                <w:sz w:val="24"/>
                <w:szCs w:val="24"/>
              </w:rPr>
              <w:t>1.54</w:t>
            </w:r>
          </w:p>
        </w:tc>
        <w:tc>
          <w:tcPr>
            <w:tcW w:w="750" w:type="dxa"/>
            <w:vMerge/>
          </w:tcPr>
          <w:p w14:paraId="2B83BB6D" w14:textId="77777777" w:rsidR="00D475B6" w:rsidRDefault="00D475B6">
            <w:pPr>
              <w:widowControl w:val="0"/>
              <w:pBdr>
                <w:top w:val="nil"/>
                <w:left w:val="nil"/>
                <w:bottom w:val="nil"/>
                <w:right w:val="nil"/>
                <w:between w:val="nil"/>
              </w:pBdr>
              <w:spacing w:line="276" w:lineRule="auto"/>
              <w:rPr>
                <w:sz w:val="24"/>
                <w:szCs w:val="24"/>
              </w:rPr>
            </w:pPr>
          </w:p>
        </w:tc>
        <w:tc>
          <w:tcPr>
            <w:tcW w:w="955" w:type="dxa"/>
            <w:vMerge/>
          </w:tcPr>
          <w:p w14:paraId="2B83BB6E" w14:textId="77777777" w:rsidR="00D475B6" w:rsidRDefault="00D475B6">
            <w:pPr>
              <w:widowControl w:val="0"/>
              <w:pBdr>
                <w:top w:val="nil"/>
                <w:left w:val="nil"/>
                <w:bottom w:val="nil"/>
                <w:right w:val="nil"/>
                <w:between w:val="nil"/>
              </w:pBdr>
              <w:spacing w:line="276" w:lineRule="auto"/>
              <w:rPr>
                <w:sz w:val="24"/>
                <w:szCs w:val="24"/>
              </w:rPr>
            </w:pPr>
          </w:p>
        </w:tc>
        <w:tc>
          <w:tcPr>
            <w:tcW w:w="764" w:type="dxa"/>
            <w:vMerge/>
          </w:tcPr>
          <w:p w14:paraId="2B83BB6F" w14:textId="77777777" w:rsidR="00D475B6" w:rsidRDefault="00D475B6">
            <w:pPr>
              <w:widowControl w:val="0"/>
              <w:pBdr>
                <w:top w:val="nil"/>
                <w:left w:val="nil"/>
                <w:bottom w:val="nil"/>
                <w:right w:val="nil"/>
                <w:between w:val="nil"/>
              </w:pBdr>
              <w:spacing w:line="276" w:lineRule="auto"/>
              <w:rPr>
                <w:sz w:val="24"/>
                <w:szCs w:val="24"/>
              </w:rPr>
            </w:pPr>
          </w:p>
        </w:tc>
      </w:tr>
      <w:tr w:rsidR="00D475B6" w14:paraId="2B83BB7A" w14:textId="77777777" w:rsidTr="6C0BAB00">
        <w:tc>
          <w:tcPr>
            <w:tcW w:w="4106" w:type="dxa"/>
            <w:vMerge w:val="restart"/>
          </w:tcPr>
          <w:p w14:paraId="2B83BB71" w14:textId="77777777" w:rsidR="00D475B6" w:rsidRDefault="00F34475">
            <w:pPr>
              <w:rPr>
                <w:sz w:val="24"/>
                <w:szCs w:val="24"/>
              </w:rPr>
            </w:pPr>
            <w:r>
              <w:rPr>
                <w:sz w:val="24"/>
                <w:szCs w:val="24"/>
              </w:rPr>
              <w:t xml:space="preserve">Non-verbal reasoning ability </w:t>
            </w:r>
          </w:p>
          <w:p w14:paraId="2B83BB72" w14:textId="77777777" w:rsidR="00D475B6" w:rsidRDefault="00F34475">
            <w:pPr>
              <w:rPr>
                <w:sz w:val="24"/>
                <w:szCs w:val="24"/>
              </w:rPr>
            </w:pPr>
            <w:r>
              <w:rPr>
                <w:sz w:val="24"/>
                <w:szCs w:val="24"/>
              </w:rPr>
              <w:t>(WAIS III matrices subtest raw score)</w:t>
            </w:r>
          </w:p>
        </w:tc>
        <w:tc>
          <w:tcPr>
            <w:tcW w:w="851" w:type="dxa"/>
          </w:tcPr>
          <w:p w14:paraId="2B83BB73" w14:textId="77777777" w:rsidR="00D475B6" w:rsidRDefault="00F34475">
            <w:pPr>
              <w:rPr>
                <w:sz w:val="24"/>
                <w:szCs w:val="24"/>
              </w:rPr>
            </w:pPr>
            <w:r>
              <w:rPr>
                <w:sz w:val="24"/>
                <w:szCs w:val="24"/>
              </w:rPr>
              <w:t>Mean</w:t>
            </w:r>
          </w:p>
        </w:tc>
        <w:tc>
          <w:tcPr>
            <w:tcW w:w="850" w:type="dxa"/>
          </w:tcPr>
          <w:p w14:paraId="2B83BB74" w14:textId="77777777" w:rsidR="00D475B6" w:rsidRDefault="00F34475">
            <w:pPr>
              <w:rPr>
                <w:sz w:val="24"/>
                <w:szCs w:val="24"/>
              </w:rPr>
            </w:pPr>
            <w:r>
              <w:rPr>
                <w:sz w:val="24"/>
                <w:szCs w:val="24"/>
              </w:rPr>
              <w:t>18.67</w:t>
            </w:r>
          </w:p>
        </w:tc>
        <w:tc>
          <w:tcPr>
            <w:tcW w:w="851" w:type="dxa"/>
          </w:tcPr>
          <w:p w14:paraId="2B83BB75" w14:textId="77777777" w:rsidR="00D475B6" w:rsidRDefault="00F34475">
            <w:pPr>
              <w:rPr>
                <w:sz w:val="24"/>
                <w:szCs w:val="24"/>
              </w:rPr>
            </w:pPr>
            <w:r>
              <w:rPr>
                <w:sz w:val="24"/>
                <w:szCs w:val="24"/>
              </w:rPr>
              <w:t>22.21</w:t>
            </w:r>
          </w:p>
        </w:tc>
        <w:tc>
          <w:tcPr>
            <w:tcW w:w="900" w:type="dxa"/>
          </w:tcPr>
          <w:p w14:paraId="2B83BB76" w14:textId="77777777" w:rsidR="00D475B6" w:rsidRDefault="00F34475">
            <w:pPr>
              <w:rPr>
                <w:sz w:val="24"/>
                <w:szCs w:val="24"/>
              </w:rPr>
            </w:pPr>
            <w:r>
              <w:rPr>
                <w:sz w:val="24"/>
                <w:szCs w:val="24"/>
              </w:rPr>
              <w:t>19.73</w:t>
            </w:r>
          </w:p>
        </w:tc>
        <w:tc>
          <w:tcPr>
            <w:tcW w:w="750" w:type="dxa"/>
            <w:vMerge w:val="restart"/>
          </w:tcPr>
          <w:p w14:paraId="2B83BB77" w14:textId="77777777" w:rsidR="00D475B6" w:rsidRDefault="00F34475">
            <w:pPr>
              <w:rPr>
                <w:sz w:val="24"/>
                <w:szCs w:val="24"/>
              </w:rPr>
            </w:pPr>
            <w:r>
              <w:rPr>
                <w:sz w:val="24"/>
                <w:szCs w:val="24"/>
              </w:rPr>
              <w:t>5.83</w:t>
            </w:r>
          </w:p>
        </w:tc>
        <w:tc>
          <w:tcPr>
            <w:tcW w:w="955" w:type="dxa"/>
            <w:vMerge w:val="restart"/>
          </w:tcPr>
          <w:p w14:paraId="2B83BB78" w14:textId="77777777" w:rsidR="00D475B6" w:rsidRDefault="00F34475">
            <w:pPr>
              <w:rPr>
                <w:sz w:val="24"/>
                <w:szCs w:val="24"/>
              </w:rPr>
            </w:pPr>
            <w:r>
              <w:rPr>
                <w:sz w:val="24"/>
                <w:szCs w:val="24"/>
              </w:rPr>
              <w:t>.004**</w:t>
            </w:r>
          </w:p>
        </w:tc>
        <w:tc>
          <w:tcPr>
            <w:tcW w:w="764" w:type="dxa"/>
            <w:vMerge w:val="restart"/>
          </w:tcPr>
          <w:p w14:paraId="2B83BB79" w14:textId="77777777" w:rsidR="00D475B6" w:rsidRDefault="00F34475">
            <w:pPr>
              <w:rPr>
                <w:sz w:val="24"/>
                <w:szCs w:val="24"/>
              </w:rPr>
            </w:pPr>
            <w:r>
              <w:rPr>
                <w:sz w:val="24"/>
                <w:szCs w:val="24"/>
              </w:rPr>
              <w:t>.12</w:t>
            </w:r>
          </w:p>
        </w:tc>
      </w:tr>
      <w:tr w:rsidR="00D475B6" w14:paraId="2B83BB83" w14:textId="77777777" w:rsidTr="6C0BAB00">
        <w:tc>
          <w:tcPr>
            <w:tcW w:w="4106" w:type="dxa"/>
            <w:vMerge/>
          </w:tcPr>
          <w:p w14:paraId="2B83BB7B" w14:textId="77777777" w:rsidR="00D475B6" w:rsidRDefault="00D475B6">
            <w:pPr>
              <w:widowControl w:val="0"/>
              <w:pBdr>
                <w:top w:val="nil"/>
                <w:left w:val="nil"/>
                <w:bottom w:val="nil"/>
                <w:right w:val="nil"/>
                <w:between w:val="nil"/>
              </w:pBdr>
              <w:spacing w:line="276" w:lineRule="auto"/>
              <w:rPr>
                <w:sz w:val="24"/>
                <w:szCs w:val="24"/>
              </w:rPr>
            </w:pPr>
          </w:p>
        </w:tc>
        <w:tc>
          <w:tcPr>
            <w:tcW w:w="851" w:type="dxa"/>
          </w:tcPr>
          <w:p w14:paraId="2B83BB7C" w14:textId="77777777" w:rsidR="00D475B6" w:rsidRDefault="00F34475">
            <w:pPr>
              <w:rPr>
                <w:sz w:val="24"/>
                <w:szCs w:val="24"/>
              </w:rPr>
            </w:pPr>
            <w:r>
              <w:rPr>
                <w:sz w:val="24"/>
                <w:szCs w:val="24"/>
              </w:rPr>
              <w:t>SD</w:t>
            </w:r>
          </w:p>
        </w:tc>
        <w:tc>
          <w:tcPr>
            <w:tcW w:w="850" w:type="dxa"/>
          </w:tcPr>
          <w:p w14:paraId="2B83BB7D" w14:textId="77777777" w:rsidR="00D475B6" w:rsidRDefault="00F34475">
            <w:pPr>
              <w:rPr>
                <w:sz w:val="24"/>
                <w:szCs w:val="24"/>
              </w:rPr>
            </w:pPr>
            <w:r>
              <w:rPr>
                <w:sz w:val="24"/>
                <w:szCs w:val="24"/>
              </w:rPr>
              <w:t>3.48</w:t>
            </w:r>
          </w:p>
        </w:tc>
        <w:tc>
          <w:tcPr>
            <w:tcW w:w="851" w:type="dxa"/>
          </w:tcPr>
          <w:p w14:paraId="2B83BB7E" w14:textId="77777777" w:rsidR="00D475B6" w:rsidRDefault="00F34475">
            <w:pPr>
              <w:rPr>
                <w:sz w:val="24"/>
                <w:szCs w:val="24"/>
              </w:rPr>
            </w:pPr>
            <w:r>
              <w:rPr>
                <w:sz w:val="24"/>
                <w:szCs w:val="24"/>
              </w:rPr>
              <w:t>4.38</w:t>
            </w:r>
          </w:p>
        </w:tc>
        <w:tc>
          <w:tcPr>
            <w:tcW w:w="900" w:type="dxa"/>
          </w:tcPr>
          <w:p w14:paraId="2B83BB7F" w14:textId="77777777" w:rsidR="00D475B6" w:rsidRDefault="00F34475">
            <w:pPr>
              <w:rPr>
                <w:sz w:val="24"/>
                <w:szCs w:val="24"/>
              </w:rPr>
            </w:pPr>
            <w:r>
              <w:rPr>
                <w:sz w:val="24"/>
                <w:szCs w:val="24"/>
              </w:rPr>
              <w:t>3.75</w:t>
            </w:r>
          </w:p>
        </w:tc>
        <w:tc>
          <w:tcPr>
            <w:tcW w:w="750" w:type="dxa"/>
            <w:vMerge/>
          </w:tcPr>
          <w:p w14:paraId="2B83BB80" w14:textId="77777777" w:rsidR="00D475B6" w:rsidRDefault="00D475B6">
            <w:pPr>
              <w:widowControl w:val="0"/>
              <w:pBdr>
                <w:top w:val="nil"/>
                <w:left w:val="nil"/>
                <w:bottom w:val="nil"/>
                <w:right w:val="nil"/>
                <w:between w:val="nil"/>
              </w:pBdr>
              <w:spacing w:line="276" w:lineRule="auto"/>
              <w:rPr>
                <w:sz w:val="24"/>
                <w:szCs w:val="24"/>
              </w:rPr>
            </w:pPr>
          </w:p>
        </w:tc>
        <w:tc>
          <w:tcPr>
            <w:tcW w:w="955" w:type="dxa"/>
            <w:vMerge/>
          </w:tcPr>
          <w:p w14:paraId="2B83BB81" w14:textId="77777777" w:rsidR="00D475B6" w:rsidRDefault="00D475B6">
            <w:pPr>
              <w:widowControl w:val="0"/>
              <w:pBdr>
                <w:top w:val="nil"/>
                <w:left w:val="nil"/>
                <w:bottom w:val="nil"/>
                <w:right w:val="nil"/>
                <w:between w:val="nil"/>
              </w:pBdr>
              <w:spacing w:line="276" w:lineRule="auto"/>
              <w:rPr>
                <w:sz w:val="24"/>
                <w:szCs w:val="24"/>
              </w:rPr>
            </w:pPr>
          </w:p>
        </w:tc>
        <w:tc>
          <w:tcPr>
            <w:tcW w:w="764" w:type="dxa"/>
            <w:vMerge/>
          </w:tcPr>
          <w:p w14:paraId="2B83BB82" w14:textId="77777777" w:rsidR="00D475B6" w:rsidRDefault="00D475B6">
            <w:pPr>
              <w:widowControl w:val="0"/>
              <w:pBdr>
                <w:top w:val="nil"/>
                <w:left w:val="nil"/>
                <w:bottom w:val="nil"/>
                <w:right w:val="nil"/>
                <w:between w:val="nil"/>
              </w:pBdr>
              <w:spacing w:line="276" w:lineRule="auto"/>
              <w:rPr>
                <w:sz w:val="24"/>
                <w:szCs w:val="24"/>
              </w:rPr>
            </w:pPr>
          </w:p>
        </w:tc>
      </w:tr>
    </w:tbl>
    <w:p w14:paraId="2B83BB84" w14:textId="77777777" w:rsidR="00D475B6" w:rsidRDefault="00F34475">
      <w:pPr>
        <w:rPr>
          <w:sz w:val="24"/>
          <w:szCs w:val="24"/>
        </w:rPr>
      </w:pPr>
      <w:r>
        <w:rPr>
          <w:sz w:val="24"/>
          <w:szCs w:val="24"/>
        </w:rPr>
        <w:t>Key: * = p &lt; .05; ** = p &lt; .01</w:t>
      </w:r>
    </w:p>
    <w:p w14:paraId="2B83BB85" w14:textId="77777777" w:rsidR="00D475B6" w:rsidRDefault="00D475B6">
      <w:pPr>
        <w:pStyle w:val="Heading2"/>
        <w:rPr>
          <w:rFonts w:ascii="Calibri" w:eastAsia="Calibri" w:hAnsi="Calibri" w:cs="Calibri"/>
          <w:sz w:val="24"/>
          <w:szCs w:val="24"/>
        </w:rPr>
      </w:pPr>
    </w:p>
    <w:p w14:paraId="2B83BB86" w14:textId="77777777" w:rsidR="00D475B6" w:rsidRDefault="00F34475">
      <w:pPr>
        <w:pStyle w:val="Heading2"/>
        <w:spacing w:line="360" w:lineRule="auto"/>
        <w:rPr>
          <w:rFonts w:ascii="Calibri" w:eastAsia="Calibri" w:hAnsi="Calibri" w:cs="Calibri"/>
          <w:sz w:val="24"/>
          <w:szCs w:val="24"/>
        </w:rPr>
      </w:pPr>
      <w:r>
        <w:rPr>
          <w:sz w:val="24"/>
          <w:szCs w:val="24"/>
        </w:rPr>
        <w:t>Experimental m</w:t>
      </w:r>
      <w:r>
        <w:rPr>
          <w:rFonts w:ascii="Calibri" w:eastAsia="Calibri" w:hAnsi="Calibri" w:cs="Calibri"/>
          <w:sz w:val="24"/>
          <w:szCs w:val="24"/>
        </w:rPr>
        <w:t>aterials</w:t>
      </w:r>
    </w:p>
    <w:p w14:paraId="2B83BB87" w14:textId="30A1730A" w:rsidR="00D475B6" w:rsidRDefault="00F34475">
      <w:pPr>
        <w:pBdr>
          <w:top w:val="nil"/>
          <w:left w:val="nil"/>
          <w:bottom w:val="nil"/>
          <w:right w:val="nil"/>
          <w:between w:val="nil"/>
        </w:pBdr>
        <w:spacing w:after="0" w:line="360" w:lineRule="auto"/>
        <w:rPr>
          <w:color w:val="000000"/>
          <w:sz w:val="24"/>
          <w:szCs w:val="24"/>
        </w:rPr>
      </w:pPr>
      <w:r>
        <w:rPr>
          <w:i/>
          <w:color w:val="000000"/>
          <w:sz w:val="24"/>
          <w:szCs w:val="24"/>
        </w:rPr>
        <w:t>Weather forecast.</w:t>
      </w:r>
      <w:r>
        <w:rPr>
          <w:color w:val="000000"/>
          <w:sz w:val="24"/>
          <w:szCs w:val="24"/>
        </w:rPr>
        <w:t xml:space="preserve"> The exposure materials consisted of a 4-minute weather forecast in STS,</w:t>
      </w:r>
      <w:r w:rsidR="003808A9">
        <w:rPr>
          <w:color w:val="000000"/>
          <w:sz w:val="24"/>
          <w:szCs w:val="24"/>
        </w:rPr>
        <w:t xml:space="preserve"> recorded by a hearing native signer of STS who is a qualified and highly experienced interpreter.</w:t>
      </w:r>
      <w:r>
        <w:rPr>
          <w:color w:val="000000"/>
          <w:sz w:val="24"/>
          <w:szCs w:val="24"/>
        </w:rPr>
        <w:t xml:space="preserve"> </w:t>
      </w:r>
      <w:r>
        <w:rPr>
          <w:sz w:val="24"/>
          <w:szCs w:val="24"/>
        </w:rPr>
        <w:t xml:space="preserve">These materials were </w:t>
      </w:r>
      <w:r>
        <w:rPr>
          <w:color w:val="000000"/>
          <w:sz w:val="24"/>
          <w:szCs w:val="24"/>
        </w:rPr>
        <w:t xml:space="preserve">created specifically for this study and for those reported in Hofweber et al. (2022, 2023). Because our participants had English as their L1 and because we were particularly interested in the manual aspects of sign language, we did not use British Sign Language (BSL): the mouthing of many BSL signs is based on the lip patterns for the corresponding English words, so our participants might have relied on lip-reading to make sense of the input materials. For this reason, we chose another language - STS - as the target language. </w:t>
      </w:r>
    </w:p>
    <w:p w14:paraId="2B83BB88" w14:textId="77777777" w:rsidR="00D475B6" w:rsidRDefault="00D475B6">
      <w:pPr>
        <w:pBdr>
          <w:top w:val="nil"/>
          <w:left w:val="nil"/>
          <w:bottom w:val="nil"/>
          <w:right w:val="nil"/>
          <w:between w:val="nil"/>
        </w:pBdr>
        <w:spacing w:after="0" w:line="360" w:lineRule="auto"/>
        <w:rPr>
          <w:color w:val="000000"/>
          <w:sz w:val="24"/>
          <w:szCs w:val="24"/>
        </w:rPr>
      </w:pPr>
    </w:p>
    <w:p w14:paraId="2B83BB89" w14:textId="08355F9B" w:rsidR="00D475B6" w:rsidRDefault="00F34475" w:rsidP="38A5A85B">
      <w:pPr>
        <w:pBdr>
          <w:top w:val="nil"/>
          <w:left w:val="nil"/>
          <w:bottom w:val="nil"/>
          <w:right w:val="nil"/>
          <w:between w:val="nil"/>
        </w:pBdr>
        <w:spacing w:after="0" w:line="360" w:lineRule="auto"/>
        <w:rPr>
          <w:color w:val="000000"/>
          <w:sz w:val="24"/>
          <w:szCs w:val="24"/>
        </w:rPr>
      </w:pPr>
      <w:r w:rsidRPr="38A5A85B">
        <w:rPr>
          <w:color w:val="000000" w:themeColor="text1"/>
          <w:sz w:val="24"/>
          <w:szCs w:val="24"/>
        </w:rPr>
        <w:t>Amongst a range of other signs, the forecast incorporated 22 target signs which featured in the lexical decision task</w:t>
      </w:r>
      <w:r w:rsidR="79C78A37" w:rsidRPr="38A5A85B">
        <w:rPr>
          <w:color w:val="000000" w:themeColor="text1"/>
          <w:sz w:val="24"/>
          <w:szCs w:val="24"/>
        </w:rPr>
        <w:t xml:space="preserve"> </w:t>
      </w:r>
      <w:r w:rsidR="79C78A37" w:rsidRPr="38A5A85B">
        <w:rPr>
          <w:color w:val="000000" w:themeColor="text1"/>
          <w:sz w:val="24"/>
          <w:szCs w:val="24"/>
          <w:highlight w:val="yellow"/>
        </w:rPr>
        <w:t>(designed to be similar in number to the 24 target words used by Gullberg et al., 2010, in their Mandarin weather forecast)</w:t>
      </w:r>
      <w:r w:rsidRPr="38A5A85B">
        <w:rPr>
          <w:color w:val="000000" w:themeColor="text1"/>
          <w:sz w:val="24"/>
          <w:szCs w:val="24"/>
        </w:rPr>
        <w:t>. These 22 target signs occurred with different frequencies in the forecast. We presented 11 ‘high frequency’ target signs (8 occurrences) versus 11 ‘low frequency’ target signs (3 occurrences; with the exception of one item, SӦDER ‘south’, which occurred 4 times in error). The high and low frequency sets were matched for a range of crucial aspects of sign language, such as phonology (</w:t>
      </w:r>
      <w:r w:rsidRPr="38A5A85B">
        <w:rPr>
          <w:color w:val="000000" w:themeColor="text1"/>
          <w:sz w:val="24"/>
          <w:szCs w:val="24"/>
          <w:highlight w:val="white"/>
        </w:rPr>
        <w:t>i.e., locations and hand configurations, and the number of one-handed versus two-handed signs)</w:t>
      </w:r>
      <w:r w:rsidRPr="38A5A85B">
        <w:rPr>
          <w:rFonts w:ascii="Times New Roman" w:eastAsia="Times New Roman" w:hAnsi="Times New Roman" w:cs="Times New Roman"/>
          <w:color w:val="000000" w:themeColor="text1"/>
          <w:sz w:val="24"/>
          <w:szCs w:val="24"/>
          <w:highlight w:val="white"/>
        </w:rPr>
        <w:t xml:space="preserve"> </w:t>
      </w:r>
      <w:r w:rsidRPr="38A5A85B">
        <w:rPr>
          <w:color w:val="000000" w:themeColor="text1"/>
          <w:sz w:val="24"/>
          <w:szCs w:val="24"/>
        </w:rPr>
        <w:t>and iconicity. Iconicity ratings collected from an independent group of 24 sign-naïve participants confirmed the experimenters’ intuition that high (</w:t>
      </w:r>
      <w:r w:rsidRPr="38A5A85B">
        <w:rPr>
          <w:i/>
          <w:iCs/>
          <w:color w:val="000000" w:themeColor="text1"/>
          <w:sz w:val="24"/>
          <w:szCs w:val="24"/>
        </w:rPr>
        <w:t xml:space="preserve">M </w:t>
      </w:r>
      <w:r w:rsidRPr="38A5A85B">
        <w:rPr>
          <w:color w:val="000000" w:themeColor="text1"/>
          <w:sz w:val="24"/>
          <w:szCs w:val="24"/>
        </w:rPr>
        <w:t xml:space="preserve">= 3.64, </w:t>
      </w:r>
      <w:r w:rsidRPr="38A5A85B">
        <w:rPr>
          <w:i/>
          <w:iCs/>
          <w:color w:val="000000" w:themeColor="text1"/>
          <w:sz w:val="24"/>
          <w:szCs w:val="24"/>
        </w:rPr>
        <w:t xml:space="preserve">SD </w:t>
      </w:r>
      <w:r w:rsidRPr="38A5A85B">
        <w:rPr>
          <w:color w:val="000000" w:themeColor="text1"/>
          <w:sz w:val="24"/>
          <w:szCs w:val="24"/>
        </w:rPr>
        <w:t>= 1.55) and low frequency (</w:t>
      </w:r>
      <w:r w:rsidRPr="38A5A85B">
        <w:rPr>
          <w:i/>
          <w:iCs/>
          <w:color w:val="000000" w:themeColor="text1"/>
          <w:sz w:val="24"/>
          <w:szCs w:val="24"/>
        </w:rPr>
        <w:t xml:space="preserve">M </w:t>
      </w:r>
      <w:r w:rsidRPr="38A5A85B">
        <w:rPr>
          <w:color w:val="000000" w:themeColor="text1"/>
          <w:sz w:val="24"/>
          <w:szCs w:val="24"/>
        </w:rPr>
        <w:t xml:space="preserve">= 3.68, </w:t>
      </w:r>
      <w:r w:rsidRPr="38A5A85B">
        <w:rPr>
          <w:i/>
          <w:iCs/>
          <w:color w:val="000000" w:themeColor="text1"/>
          <w:sz w:val="24"/>
          <w:szCs w:val="24"/>
        </w:rPr>
        <w:t xml:space="preserve">SD </w:t>
      </w:r>
      <w:r w:rsidRPr="38A5A85B">
        <w:rPr>
          <w:color w:val="000000" w:themeColor="text1"/>
          <w:sz w:val="24"/>
          <w:szCs w:val="24"/>
        </w:rPr>
        <w:t xml:space="preserve">= 1.76) signs did not differ in their level of perceived iconicity, </w:t>
      </w:r>
      <w:r w:rsidRPr="38A5A85B">
        <w:rPr>
          <w:i/>
          <w:iCs/>
          <w:color w:val="000000" w:themeColor="text1"/>
          <w:sz w:val="24"/>
          <w:szCs w:val="24"/>
        </w:rPr>
        <w:t>F</w:t>
      </w:r>
      <w:r w:rsidRPr="38A5A85B">
        <w:rPr>
          <w:color w:val="000000" w:themeColor="text1"/>
          <w:sz w:val="24"/>
          <w:szCs w:val="24"/>
        </w:rPr>
        <w:t xml:space="preserve">(1,22) = 0.003, </w:t>
      </w:r>
      <w:r w:rsidRPr="38A5A85B">
        <w:rPr>
          <w:i/>
          <w:iCs/>
          <w:color w:val="000000" w:themeColor="text1"/>
          <w:sz w:val="24"/>
          <w:szCs w:val="24"/>
        </w:rPr>
        <w:t>p = .</w:t>
      </w:r>
      <w:r w:rsidRPr="38A5A85B">
        <w:rPr>
          <w:color w:val="000000" w:themeColor="text1"/>
          <w:sz w:val="24"/>
          <w:szCs w:val="24"/>
        </w:rPr>
        <w:t>96, η</w:t>
      </w:r>
      <w:r w:rsidRPr="38A5A85B">
        <w:rPr>
          <w:color w:val="000000" w:themeColor="text1"/>
          <w:sz w:val="24"/>
          <w:szCs w:val="24"/>
          <w:vertAlign w:val="superscript"/>
        </w:rPr>
        <w:t xml:space="preserve">2 </w:t>
      </w:r>
      <w:r w:rsidRPr="38A5A85B">
        <w:rPr>
          <w:i/>
          <w:iCs/>
          <w:color w:val="000000" w:themeColor="text1"/>
          <w:sz w:val="24"/>
          <w:szCs w:val="24"/>
        </w:rPr>
        <w:t xml:space="preserve">= </w:t>
      </w:r>
      <w:r w:rsidRPr="38A5A85B">
        <w:rPr>
          <w:color w:val="000000" w:themeColor="text1"/>
          <w:sz w:val="24"/>
          <w:szCs w:val="24"/>
        </w:rPr>
        <w:t xml:space="preserve">0.000 (see </w:t>
      </w:r>
      <w:r w:rsidRPr="38A5A85B">
        <w:rPr>
          <w:color w:val="000000" w:themeColor="text1"/>
          <w:sz w:val="24"/>
          <w:szCs w:val="24"/>
        </w:rPr>
        <w:lastRenderedPageBreak/>
        <w:t>Hofweber et al., 2023, for further details). The two types of target items were also matched for the occurrence frequency of their English translation equivalents using CELEX corpus (</w:t>
      </w:r>
      <w:proofErr w:type="spellStart"/>
      <w:r w:rsidRPr="38A5A85B">
        <w:rPr>
          <w:color w:val="000000" w:themeColor="text1"/>
          <w:sz w:val="24"/>
          <w:szCs w:val="24"/>
        </w:rPr>
        <w:t>Baayen</w:t>
      </w:r>
      <w:proofErr w:type="spellEnd"/>
      <w:r w:rsidRPr="38A5A85B">
        <w:rPr>
          <w:color w:val="000000" w:themeColor="text1"/>
          <w:sz w:val="24"/>
          <w:szCs w:val="24"/>
        </w:rPr>
        <w:t xml:space="preserve"> et al., 1995): low: </w:t>
      </w:r>
      <w:r w:rsidRPr="38A5A85B">
        <w:rPr>
          <w:i/>
          <w:iCs/>
          <w:color w:val="000000" w:themeColor="text1"/>
          <w:sz w:val="24"/>
          <w:szCs w:val="24"/>
        </w:rPr>
        <w:t xml:space="preserve">M = </w:t>
      </w:r>
      <w:r w:rsidRPr="38A5A85B">
        <w:rPr>
          <w:color w:val="000000" w:themeColor="text1"/>
          <w:sz w:val="24"/>
          <w:szCs w:val="24"/>
        </w:rPr>
        <w:t xml:space="preserve">32,759, </w:t>
      </w:r>
      <w:r w:rsidRPr="38A5A85B">
        <w:rPr>
          <w:i/>
          <w:iCs/>
          <w:color w:val="000000" w:themeColor="text1"/>
          <w:sz w:val="24"/>
          <w:szCs w:val="24"/>
        </w:rPr>
        <w:t xml:space="preserve">SD = </w:t>
      </w:r>
      <w:r w:rsidRPr="38A5A85B">
        <w:rPr>
          <w:color w:val="000000" w:themeColor="text1"/>
          <w:sz w:val="24"/>
          <w:szCs w:val="24"/>
        </w:rPr>
        <w:t xml:space="preserve">51,978; high: </w:t>
      </w:r>
      <w:r w:rsidRPr="38A5A85B">
        <w:rPr>
          <w:i/>
          <w:iCs/>
          <w:color w:val="000000" w:themeColor="text1"/>
          <w:sz w:val="24"/>
          <w:szCs w:val="24"/>
        </w:rPr>
        <w:t>M =</w:t>
      </w:r>
      <w:r w:rsidRPr="38A5A85B">
        <w:rPr>
          <w:color w:val="000000" w:themeColor="text1"/>
          <w:sz w:val="24"/>
          <w:szCs w:val="24"/>
        </w:rPr>
        <w:t xml:space="preserve"> 27,027, </w:t>
      </w:r>
      <w:r w:rsidRPr="38A5A85B">
        <w:rPr>
          <w:i/>
          <w:iCs/>
          <w:color w:val="000000" w:themeColor="text1"/>
          <w:sz w:val="24"/>
          <w:szCs w:val="24"/>
        </w:rPr>
        <w:t>SD =</w:t>
      </w:r>
      <w:r w:rsidRPr="38A5A85B">
        <w:rPr>
          <w:color w:val="000000" w:themeColor="text1"/>
          <w:sz w:val="24"/>
          <w:szCs w:val="24"/>
        </w:rPr>
        <w:t xml:space="preserve"> 22,771, </w:t>
      </w:r>
      <w:r w:rsidRPr="38A5A85B">
        <w:rPr>
          <w:i/>
          <w:iCs/>
          <w:color w:val="000000" w:themeColor="text1"/>
          <w:sz w:val="24"/>
          <w:szCs w:val="24"/>
        </w:rPr>
        <w:t>F</w:t>
      </w:r>
      <w:r w:rsidRPr="38A5A85B">
        <w:rPr>
          <w:color w:val="000000" w:themeColor="text1"/>
          <w:sz w:val="24"/>
          <w:szCs w:val="24"/>
        </w:rPr>
        <w:t xml:space="preserve">(1,22) = 0.11, </w:t>
      </w:r>
      <w:r w:rsidRPr="38A5A85B">
        <w:rPr>
          <w:i/>
          <w:iCs/>
          <w:color w:val="000000" w:themeColor="text1"/>
          <w:sz w:val="24"/>
          <w:szCs w:val="24"/>
        </w:rPr>
        <w:t>p = .</w:t>
      </w:r>
      <w:r w:rsidRPr="38A5A85B">
        <w:rPr>
          <w:color w:val="000000" w:themeColor="text1"/>
          <w:sz w:val="24"/>
          <w:szCs w:val="24"/>
        </w:rPr>
        <w:t>74, η</w:t>
      </w:r>
      <w:r w:rsidRPr="38A5A85B">
        <w:rPr>
          <w:color w:val="000000" w:themeColor="text1"/>
          <w:sz w:val="24"/>
          <w:szCs w:val="24"/>
          <w:vertAlign w:val="superscript"/>
        </w:rPr>
        <w:t xml:space="preserve">2 </w:t>
      </w:r>
      <w:r w:rsidRPr="38A5A85B">
        <w:rPr>
          <w:i/>
          <w:iCs/>
          <w:color w:val="000000" w:themeColor="text1"/>
          <w:sz w:val="24"/>
          <w:szCs w:val="24"/>
        </w:rPr>
        <w:t xml:space="preserve">=  </w:t>
      </w:r>
      <w:r w:rsidRPr="38A5A85B">
        <w:rPr>
          <w:color w:val="000000" w:themeColor="text1"/>
          <w:sz w:val="24"/>
          <w:szCs w:val="24"/>
        </w:rPr>
        <w:t>0.006.  </w:t>
      </w:r>
    </w:p>
    <w:p w14:paraId="2B83BB8A" w14:textId="77777777" w:rsidR="00D475B6" w:rsidRDefault="00F34475">
      <w:pPr>
        <w:pBdr>
          <w:top w:val="nil"/>
          <w:left w:val="nil"/>
          <w:bottom w:val="nil"/>
          <w:right w:val="nil"/>
          <w:between w:val="nil"/>
        </w:pBdr>
        <w:spacing w:after="0" w:line="360" w:lineRule="auto"/>
        <w:rPr>
          <w:color w:val="000000"/>
          <w:sz w:val="24"/>
          <w:szCs w:val="24"/>
        </w:rPr>
      </w:pPr>
      <w:r>
        <w:rPr>
          <w:color w:val="000000"/>
          <w:sz w:val="24"/>
          <w:szCs w:val="24"/>
        </w:rPr>
        <w:t> </w:t>
      </w:r>
    </w:p>
    <w:p w14:paraId="2B83BB8B" w14:textId="7B79EF3C" w:rsidR="00D475B6" w:rsidRDefault="00F34475" w:rsidP="519F8C63">
      <w:pPr>
        <w:pBdr>
          <w:top w:val="nil"/>
          <w:left w:val="nil"/>
          <w:bottom w:val="nil"/>
          <w:right w:val="nil"/>
          <w:between w:val="nil"/>
        </w:pBdr>
        <w:spacing w:after="0" w:line="360" w:lineRule="auto"/>
        <w:rPr>
          <w:color w:val="000000"/>
          <w:sz w:val="24"/>
          <w:szCs w:val="24"/>
        </w:rPr>
      </w:pPr>
      <w:r w:rsidRPr="519F8C63">
        <w:rPr>
          <w:i/>
          <w:iCs/>
          <w:color w:val="000000"/>
          <w:sz w:val="24"/>
          <w:szCs w:val="24"/>
        </w:rPr>
        <w:t>Lexical Decision Task.</w:t>
      </w:r>
      <w:r>
        <w:rPr>
          <w:color w:val="000000"/>
          <w:sz w:val="24"/>
          <w:szCs w:val="24"/>
        </w:rPr>
        <w:t xml:space="preserve"> Participants saw 88 short video clips of individual signs,</w:t>
      </w:r>
      <w:r w:rsidR="003019EC">
        <w:rPr>
          <w:color w:val="000000"/>
          <w:sz w:val="24"/>
          <w:szCs w:val="24"/>
        </w:rPr>
        <w:t xml:space="preserve"> each signed by the same signer who signed the forecast. </w:t>
      </w:r>
      <w:r>
        <w:rPr>
          <w:color w:val="000000"/>
          <w:sz w:val="24"/>
          <w:szCs w:val="24"/>
        </w:rPr>
        <w:t xml:space="preserve">After each clip, they made a meta-linguistic judgement as to whether or not the sign was a real sign of sign languages. All participants were presented with the same video stimuli but the instructions differed slightly, depending on whether participants had seen the forecast or not. Participants in the 1x and 2x exposure groups were asked if the signs could be real signs of STS specifically, whilst participants in the control group were asked whether the signs could be real signs of sign languages more generally. Control participants received different instructions because it would have been pragmatically odd to ask them to make a judgement relating to a specific sign language they had never seen before, but they could be assumed to have some expectation of what sign languages in general look like. </w:t>
      </w:r>
    </w:p>
    <w:p w14:paraId="2B83BB8C" w14:textId="77777777" w:rsidR="00D475B6" w:rsidRDefault="00D475B6">
      <w:pPr>
        <w:pBdr>
          <w:top w:val="nil"/>
          <w:left w:val="nil"/>
          <w:bottom w:val="nil"/>
          <w:right w:val="nil"/>
          <w:between w:val="nil"/>
        </w:pBdr>
        <w:spacing w:after="0" w:line="360" w:lineRule="auto"/>
        <w:rPr>
          <w:color w:val="000000"/>
          <w:sz w:val="24"/>
          <w:szCs w:val="24"/>
        </w:rPr>
      </w:pPr>
    </w:p>
    <w:p w14:paraId="2B83BB8D" w14:textId="32144339" w:rsidR="00D475B6" w:rsidRDefault="00F34475" w:rsidP="519F8C63">
      <w:pPr>
        <w:pBdr>
          <w:top w:val="nil"/>
          <w:left w:val="nil"/>
          <w:bottom w:val="nil"/>
          <w:right w:val="nil"/>
          <w:between w:val="nil"/>
        </w:pBdr>
        <w:spacing w:after="0" w:line="360" w:lineRule="auto"/>
        <w:rPr>
          <w:sz w:val="24"/>
          <w:szCs w:val="24"/>
          <w:shd w:val="clear" w:color="auto" w:fill="9FC5E8"/>
        </w:rPr>
      </w:pPr>
      <w:r>
        <w:rPr>
          <w:color w:val="000000"/>
          <w:sz w:val="24"/>
          <w:szCs w:val="24"/>
        </w:rPr>
        <w:t>The stimuli consisted of four sets of signs, 1, 2, 3 and 4.</w:t>
      </w:r>
      <w:r w:rsidR="00365D27">
        <w:rPr>
          <w:color w:val="000000"/>
          <w:sz w:val="24"/>
          <w:szCs w:val="24"/>
        </w:rPr>
        <w:t xml:space="preserve"> None of these signs contai</w:t>
      </w:r>
      <w:r w:rsidR="0019382E">
        <w:rPr>
          <w:color w:val="000000"/>
          <w:sz w:val="24"/>
          <w:szCs w:val="24"/>
        </w:rPr>
        <w:t xml:space="preserve">ned </w:t>
      </w:r>
      <w:proofErr w:type="spellStart"/>
      <w:r w:rsidR="0019382E">
        <w:rPr>
          <w:color w:val="000000"/>
          <w:sz w:val="24"/>
          <w:szCs w:val="24"/>
        </w:rPr>
        <w:t>mouthings</w:t>
      </w:r>
      <w:proofErr w:type="spellEnd"/>
      <w:r w:rsidR="003F2063">
        <w:rPr>
          <w:color w:val="000000"/>
          <w:sz w:val="24"/>
          <w:szCs w:val="24"/>
        </w:rPr>
        <w:t xml:space="preserve"> (</w:t>
      </w:r>
      <w:r w:rsidR="003F2063" w:rsidRPr="002364BB">
        <w:rPr>
          <w:color w:val="000000"/>
          <w:sz w:val="24"/>
          <w:szCs w:val="24"/>
          <w:highlight w:val="yellow"/>
        </w:rPr>
        <w:t xml:space="preserve">i.e., </w:t>
      </w:r>
      <w:r w:rsidR="003853E4" w:rsidRPr="002364BB">
        <w:rPr>
          <w:color w:val="000000"/>
          <w:sz w:val="24"/>
          <w:szCs w:val="24"/>
          <w:highlight w:val="yellow"/>
        </w:rPr>
        <w:t xml:space="preserve">silent mouth patterns from spoken words that signers sometimes use to accompany </w:t>
      </w:r>
      <w:r w:rsidR="002364BB" w:rsidRPr="002364BB">
        <w:rPr>
          <w:color w:val="000000"/>
          <w:sz w:val="24"/>
          <w:szCs w:val="24"/>
          <w:highlight w:val="yellow"/>
        </w:rPr>
        <w:t>manual signs</w:t>
      </w:r>
      <w:r w:rsidR="002364BB">
        <w:rPr>
          <w:color w:val="000000"/>
          <w:sz w:val="24"/>
          <w:szCs w:val="24"/>
        </w:rPr>
        <w:t>)</w:t>
      </w:r>
      <w:r w:rsidR="0019382E">
        <w:rPr>
          <w:color w:val="000000"/>
          <w:sz w:val="24"/>
          <w:szCs w:val="24"/>
        </w:rPr>
        <w:t xml:space="preserve">, so participants were not able to gain any (spoken) language information from viewing </w:t>
      </w:r>
      <w:r w:rsidR="0019382E" w:rsidRPr="003058E1">
        <w:rPr>
          <w:color w:val="000000"/>
          <w:sz w:val="24"/>
          <w:szCs w:val="24"/>
          <w:highlight w:val="yellow"/>
        </w:rPr>
        <w:t>the signer’s mouth</w:t>
      </w:r>
      <w:r w:rsidR="0019382E">
        <w:rPr>
          <w:color w:val="000000"/>
          <w:sz w:val="24"/>
          <w:szCs w:val="24"/>
        </w:rPr>
        <w:t xml:space="preserve">. </w:t>
      </w:r>
      <w:r w:rsidRPr="00C36264">
        <w:rPr>
          <w:color w:val="000000"/>
          <w:sz w:val="24"/>
          <w:szCs w:val="24"/>
        </w:rPr>
        <w:t>Set</w:t>
      </w:r>
      <w:r>
        <w:rPr>
          <w:color w:val="000000"/>
          <w:sz w:val="24"/>
          <w:szCs w:val="24"/>
        </w:rPr>
        <w:t xml:space="preserve"> 1 included 22 stimuli that were the target signs from the forecast, so the accurate answer to these was ‘yes’, given that they are real signs of STS. Set 2 had 22 stimuli which were also real signs of STS. They contained handshapes, hand orientations, movements and locations that had occurred in the forecast but that were combined in different ways from those shown in the forecast. Therefore, for this set, too, the correct response was ‘yes’. The remaining two sets of signs required the response ‘no’. Set 3 comprised 22 signs with handshapes (different for each sign) that are not part of the core STS lexicon, and had therefore not appeared in the forecast. However, these handshapes do occur in other sign languages and the signs were indeed real signs (e.g., American Sign Language, </w:t>
      </w:r>
      <w:r>
        <w:rPr>
          <w:color w:val="000000"/>
          <w:sz w:val="24"/>
          <w:szCs w:val="24"/>
        </w:rPr>
        <w:lastRenderedPageBreak/>
        <w:t>Chinese Sign Language, Kenyan Sign Language and Khmer Sign Language). The fourth and final set comprised 22 signs with the sorts of handshape changes and movements that violate constraints of sign formation and are therefore dispreferred across the world’s sign languages. None of the signs shown in the forecast violated these constraints. Again, however, signs in this set were real signs from other sign languages. Table 2 summarises the properties of each set of signs.</w:t>
      </w:r>
      <w:r w:rsidR="003019EC">
        <w:rPr>
          <w:color w:val="000000"/>
          <w:sz w:val="24"/>
          <w:szCs w:val="24"/>
        </w:rPr>
        <w:t xml:space="preserve"> Note that all other phonological differences between the four sets were minimal: all four</w:t>
      </w:r>
      <w:r w:rsidR="00780DA2">
        <w:rPr>
          <w:color w:val="000000"/>
          <w:sz w:val="24"/>
          <w:szCs w:val="24"/>
        </w:rPr>
        <w:t xml:space="preserve"> sets were matched for the number of one- and two-handed signs, and set 2 was matched to Set 1 for the hand configurations used. </w:t>
      </w:r>
      <w:r>
        <w:rPr>
          <w:color w:val="000000"/>
          <w:sz w:val="24"/>
          <w:szCs w:val="24"/>
        </w:rPr>
        <w:t xml:space="preserve"> </w:t>
      </w:r>
    </w:p>
    <w:p w14:paraId="2B83BB8E" w14:textId="77777777" w:rsidR="00D475B6" w:rsidRDefault="00D475B6">
      <w:pPr>
        <w:pBdr>
          <w:top w:val="nil"/>
          <w:left w:val="nil"/>
          <w:bottom w:val="nil"/>
          <w:right w:val="nil"/>
          <w:between w:val="nil"/>
        </w:pBdr>
        <w:spacing w:after="0" w:line="360" w:lineRule="auto"/>
        <w:rPr>
          <w:sz w:val="24"/>
          <w:szCs w:val="24"/>
        </w:rPr>
      </w:pPr>
    </w:p>
    <w:p w14:paraId="2B83BB8F" w14:textId="77777777" w:rsidR="00D475B6" w:rsidRDefault="00F34475">
      <w:pPr>
        <w:pBdr>
          <w:top w:val="nil"/>
          <w:left w:val="nil"/>
          <w:bottom w:val="nil"/>
          <w:right w:val="nil"/>
          <w:between w:val="nil"/>
        </w:pBdr>
        <w:spacing w:after="0" w:line="240" w:lineRule="auto"/>
        <w:rPr>
          <w:color w:val="000000"/>
          <w:sz w:val="24"/>
          <w:szCs w:val="24"/>
        </w:rPr>
      </w:pPr>
      <w:r>
        <w:rPr>
          <w:color w:val="000000"/>
          <w:sz w:val="24"/>
          <w:szCs w:val="24"/>
        </w:rPr>
        <w:t xml:space="preserve">TABLE 2: Properties of the stimulus items in each sign set </w:t>
      </w:r>
    </w:p>
    <w:tbl>
      <w:tblPr>
        <w:tblStyle w:val="a0"/>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276"/>
        <w:gridCol w:w="1276"/>
        <w:gridCol w:w="1559"/>
        <w:gridCol w:w="1843"/>
        <w:gridCol w:w="3685"/>
      </w:tblGrid>
      <w:tr w:rsidR="00D475B6" w14:paraId="2B83BB96" w14:textId="77777777" w:rsidTr="519F8C63">
        <w:trPr>
          <w:trHeight w:val="977"/>
        </w:trPr>
        <w:tc>
          <w:tcPr>
            <w:tcW w:w="704" w:type="dxa"/>
          </w:tcPr>
          <w:p w14:paraId="2B83BB90" w14:textId="77777777" w:rsidR="00D475B6" w:rsidRDefault="00F34475">
            <w:pPr>
              <w:pBdr>
                <w:top w:val="nil"/>
                <w:left w:val="nil"/>
                <w:bottom w:val="nil"/>
                <w:right w:val="nil"/>
                <w:between w:val="nil"/>
              </w:pBdr>
              <w:rPr>
                <w:color w:val="000000"/>
                <w:sz w:val="24"/>
                <w:szCs w:val="24"/>
              </w:rPr>
            </w:pPr>
            <w:r>
              <w:rPr>
                <w:color w:val="000000"/>
                <w:sz w:val="24"/>
                <w:szCs w:val="24"/>
              </w:rPr>
              <w:t>Set</w:t>
            </w:r>
          </w:p>
        </w:tc>
        <w:tc>
          <w:tcPr>
            <w:tcW w:w="1276" w:type="dxa"/>
          </w:tcPr>
          <w:p w14:paraId="2B83BB91" w14:textId="77777777" w:rsidR="00D475B6" w:rsidRDefault="00F34475">
            <w:pPr>
              <w:pBdr>
                <w:top w:val="nil"/>
                <w:left w:val="nil"/>
                <w:bottom w:val="nil"/>
                <w:right w:val="nil"/>
                <w:between w:val="nil"/>
              </w:pBdr>
              <w:rPr>
                <w:color w:val="000000"/>
                <w:sz w:val="24"/>
                <w:szCs w:val="24"/>
              </w:rPr>
            </w:pPr>
            <w:r>
              <w:rPr>
                <w:color w:val="000000"/>
                <w:sz w:val="24"/>
                <w:szCs w:val="24"/>
              </w:rPr>
              <w:t>Signs are included in weather forecast</w:t>
            </w:r>
          </w:p>
        </w:tc>
        <w:tc>
          <w:tcPr>
            <w:tcW w:w="1276" w:type="dxa"/>
          </w:tcPr>
          <w:p w14:paraId="2B83BB92" w14:textId="77777777" w:rsidR="00D475B6" w:rsidRDefault="00F34475">
            <w:pPr>
              <w:pBdr>
                <w:top w:val="nil"/>
                <w:left w:val="nil"/>
                <w:bottom w:val="nil"/>
                <w:right w:val="nil"/>
                <w:between w:val="nil"/>
              </w:pBdr>
              <w:rPr>
                <w:color w:val="000000"/>
                <w:sz w:val="24"/>
                <w:szCs w:val="24"/>
              </w:rPr>
            </w:pPr>
            <w:r>
              <w:rPr>
                <w:color w:val="000000"/>
                <w:sz w:val="24"/>
                <w:szCs w:val="24"/>
              </w:rPr>
              <w:t xml:space="preserve">Signs are in the core STS lexicon </w:t>
            </w:r>
          </w:p>
        </w:tc>
        <w:tc>
          <w:tcPr>
            <w:tcW w:w="1559" w:type="dxa"/>
          </w:tcPr>
          <w:p w14:paraId="2B83BB93" w14:textId="77777777" w:rsidR="00D475B6" w:rsidRDefault="00F34475">
            <w:pPr>
              <w:pBdr>
                <w:top w:val="nil"/>
                <w:left w:val="nil"/>
                <w:bottom w:val="nil"/>
                <w:right w:val="nil"/>
                <w:between w:val="nil"/>
              </w:pBdr>
              <w:rPr>
                <w:color w:val="000000"/>
                <w:sz w:val="24"/>
                <w:szCs w:val="24"/>
              </w:rPr>
            </w:pPr>
            <w:r>
              <w:rPr>
                <w:color w:val="000000"/>
                <w:sz w:val="24"/>
                <w:szCs w:val="24"/>
              </w:rPr>
              <w:t xml:space="preserve">Signs use handshapes from the core STS lexicon </w:t>
            </w:r>
          </w:p>
        </w:tc>
        <w:tc>
          <w:tcPr>
            <w:tcW w:w="1843" w:type="dxa"/>
          </w:tcPr>
          <w:p w14:paraId="2B83BB94" w14:textId="77777777" w:rsidR="00D475B6" w:rsidRDefault="00F34475">
            <w:pPr>
              <w:pBdr>
                <w:top w:val="nil"/>
                <w:left w:val="nil"/>
                <w:bottom w:val="nil"/>
                <w:right w:val="nil"/>
                <w:between w:val="nil"/>
              </w:pBdr>
              <w:rPr>
                <w:color w:val="000000"/>
                <w:sz w:val="24"/>
                <w:szCs w:val="24"/>
              </w:rPr>
            </w:pPr>
            <w:r>
              <w:rPr>
                <w:color w:val="000000"/>
                <w:sz w:val="24"/>
                <w:szCs w:val="24"/>
              </w:rPr>
              <w:t>Signs violate the phonotactic constraints of sign languages</w:t>
            </w:r>
          </w:p>
        </w:tc>
        <w:tc>
          <w:tcPr>
            <w:tcW w:w="3685" w:type="dxa"/>
          </w:tcPr>
          <w:p w14:paraId="2B83BB95" w14:textId="77777777" w:rsidR="00D475B6" w:rsidRDefault="00F34475">
            <w:pPr>
              <w:pBdr>
                <w:top w:val="nil"/>
                <w:left w:val="nil"/>
                <w:bottom w:val="nil"/>
                <w:right w:val="nil"/>
                <w:between w:val="nil"/>
              </w:pBdr>
              <w:rPr>
                <w:color w:val="000000"/>
                <w:sz w:val="24"/>
                <w:szCs w:val="24"/>
              </w:rPr>
            </w:pPr>
            <w:r>
              <w:rPr>
                <w:color w:val="000000"/>
                <w:sz w:val="24"/>
                <w:szCs w:val="24"/>
              </w:rPr>
              <w:t xml:space="preserve">Example (the photos illustrate each sign’s hand configuration(s) and location, while its movement is described in the text. The item ID can be used to locate the video on the </w:t>
            </w:r>
            <w:proofErr w:type="spellStart"/>
            <w:r>
              <w:rPr>
                <w:color w:val="000000"/>
                <w:sz w:val="24"/>
                <w:szCs w:val="24"/>
              </w:rPr>
              <w:t>osf</w:t>
            </w:r>
            <w:proofErr w:type="spellEnd"/>
            <w:r>
              <w:rPr>
                <w:color w:val="000000"/>
                <w:sz w:val="24"/>
                <w:szCs w:val="24"/>
              </w:rPr>
              <w:t xml:space="preserve"> site)</w:t>
            </w:r>
          </w:p>
        </w:tc>
      </w:tr>
      <w:tr w:rsidR="00D475B6" w14:paraId="2B83BBA0" w14:textId="77777777" w:rsidTr="519F8C63">
        <w:trPr>
          <w:trHeight w:val="247"/>
        </w:trPr>
        <w:tc>
          <w:tcPr>
            <w:tcW w:w="704" w:type="dxa"/>
          </w:tcPr>
          <w:p w14:paraId="2B83BB97"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1</w:t>
            </w:r>
          </w:p>
        </w:tc>
        <w:tc>
          <w:tcPr>
            <w:tcW w:w="1276" w:type="dxa"/>
          </w:tcPr>
          <w:p w14:paraId="2B83BB9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yes</w:t>
            </w:r>
          </w:p>
        </w:tc>
        <w:tc>
          <w:tcPr>
            <w:tcW w:w="1276" w:type="dxa"/>
          </w:tcPr>
          <w:p w14:paraId="2B83BB99"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yes</w:t>
            </w:r>
          </w:p>
        </w:tc>
        <w:tc>
          <w:tcPr>
            <w:tcW w:w="1559" w:type="dxa"/>
          </w:tcPr>
          <w:p w14:paraId="2B83BB9A"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yes</w:t>
            </w:r>
          </w:p>
        </w:tc>
        <w:tc>
          <w:tcPr>
            <w:tcW w:w="1843" w:type="dxa"/>
          </w:tcPr>
          <w:p w14:paraId="2B83BB9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3685" w:type="dxa"/>
          </w:tcPr>
          <w:p w14:paraId="2B83BB9C" w14:textId="77777777" w:rsidR="00D475B6" w:rsidRDefault="00F34475" w:rsidP="519F8C63">
            <w:pPr>
              <w:pBdr>
                <w:top w:val="nil"/>
                <w:left w:val="nil"/>
                <w:bottom w:val="nil"/>
                <w:right w:val="nil"/>
                <w:between w:val="nil"/>
              </w:pBdr>
              <w:rPr>
                <w:color w:val="000000"/>
                <w:sz w:val="24"/>
                <w:szCs w:val="24"/>
              </w:rPr>
            </w:pPr>
            <w:r>
              <w:rPr>
                <w:noProof/>
                <w:color w:val="000000"/>
                <w:sz w:val="24"/>
                <w:szCs w:val="24"/>
              </w:rPr>
              <w:drawing>
                <wp:inline distT="0" distB="0" distL="0" distR="0" wp14:anchorId="2B83BDD8" wp14:editId="2B83BDD9">
                  <wp:extent cx="1062195" cy="1095947"/>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1062195" cy="1095947"/>
                          </a:xfrm>
                          <a:prstGeom prst="rect">
                            <a:avLst/>
                          </a:prstGeom>
                          <a:ln/>
                        </pic:spPr>
                      </pic:pic>
                    </a:graphicData>
                  </a:graphic>
                </wp:inline>
              </w:drawing>
            </w:r>
          </w:p>
          <w:p w14:paraId="2B83BB9D" w14:textId="77777777" w:rsidR="00D475B6" w:rsidRDefault="00F34475" w:rsidP="519F8C63">
            <w:pPr>
              <w:pBdr>
                <w:top w:val="nil"/>
                <w:left w:val="nil"/>
                <w:bottom w:val="nil"/>
                <w:right w:val="nil"/>
                <w:between w:val="nil"/>
              </w:pBdr>
              <w:rPr>
                <w:color w:val="000000" w:themeColor="text1"/>
                <w:sz w:val="24"/>
                <w:szCs w:val="24"/>
              </w:rPr>
            </w:pPr>
            <w:r w:rsidRPr="519F8C63">
              <w:rPr>
                <w:color w:val="000000" w:themeColor="text1"/>
                <w:sz w:val="24"/>
                <w:szCs w:val="24"/>
              </w:rPr>
              <w:t>Sweeping movement across chin</w:t>
            </w:r>
          </w:p>
          <w:p w14:paraId="5EB50E5B" w14:textId="378FE47B" w:rsidR="00780DA2" w:rsidRDefault="00780DA2" w:rsidP="519F8C63">
            <w:pPr>
              <w:pBdr>
                <w:top w:val="nil"/>
                <w:left w:val="nil"/>
                <w:bottom w:val="nil"/>
                <w:right w:val="nil"/>
                <w:between w:val="nil"/>
              </w:pBdr>
              <w:rPr>
                <w:color w:val="000000"/>
                <w:sz w:val="24"/>
                <w:szCs w:val="24"/>
              </w:rPr>
            </w:pPr>
            <w:r>
              <w:rPr>
                <w:color w:val="000000" w:themeColor="text1"/>
                <w:sz w:val="24"/>
                <w:szCs w:val="24"/>
              </w:rPr>
              <w:t>Gloss: This sign means ‘warm’ in STS</w:t>
            </w:r>
          </w:p>
          <w:p w14:paraId="2B83BB9F" w14:textId="77777777" w:rsidR="00D475B6" w:rsidRDefault="00F34475">
            <w:pPr>
              <w:rPr>
                <w:sz w:val="24"/>
                <w:szCs w:val="24"/>
              </w:rPr>
            </w:pPr>
            <w:r w:rsidRPr="519F8C63">
              <w:rPr>
                <w:sz w:val="24"/>
                <w:szCs w:val="24"/>
              </w:rPr>
              <w:t>THF1</w:t>
            </w:r>
          </w:p>
        </w:tc>
      </w:tr>
      <w:tr w:rsidR="00D475B6" w14:paraId="2B83BBAA" w14:textId="77777777" w:rsidTr="519F8C63">
        <w:trPr>
          <w:trHeight w:val="234"/>
        </w:trPr>
        <w:tc>
          <w:tcPr>
            <w:tcW w:w="704" w:type="dxa"/>
          </w:tcPr>
          <w:p w14:paraId="2B83BBA1"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2</w:t>
            </w:r>
          </w:p>
        </w:tc>
        <w:tc>
          <w:tcPr>
            <w:tcW w:w="1276" w:type="dxa"/>
          </w:tcPr>
          <w:p w14:paraId="2B83BBA2"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1276" w:type="dxa"/>
          </w:tcPr>
          <w:p w14:paraId="2B83BBA3"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yes</w:t>
            </w:r>
          </w:p>
        </w:tc>
        <w:tc>
          <w:tcPr>
            <w:tcW w:w="1559" w:type="dxa"/>
          </w:tcPr>
          <w:p w14:paraId="2B83BBA4"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yes</w:t>
            </w:r>
          </w:p>
        </w:tc>
        <w:tc>
          <w:tcPr>
            <w:tcW w:w="1843" w:type="dxa"/>
          </w:tcPr>
          <w:p w14:paraId="2B83BBA5"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3685" w:type="dxa"/>
          </w:tcPr>
          <w:p w14:paraId="2B83BBA6" w14:textId="77777777" w:rsidR="00D475B6" w:rsidRDefault="00F34475" w:rsidP="519F8C63">
            <w:pPr>
              <w:pBdr>
                <w:top w:val="nil"/>
                <w:left w:val="nil"/>
                <w:bottom w:val="nil"/>
                <w:right w:val="nil"/>
                <w:between w:val="nil"/>
              </w:pBdr>
              <w:rPr>
                <w:color w:val="000000"/>
                <w:sz w:val="24"/>
                <w:szCs w:val="24"/>
              </w:rPr>
            </w:pPr>
            <w:r>
              <w:rPr>
                <w:noProof/>
                <w:color w:val="000000"/>
                <w:sz w:val="24"/>
                <w:szCs w:val="24"/>
              </w:rPr>
              <w:drawing>
                <wp:inline distT="0" distB="0" distL="0" distR="0" wp14:anchorId="2B83BDDA" wp14:editId="2B83BDDB">
                  <wp:extent cx="1089543" cy="1271841"/>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1089543" cy="1271841"/>
                          </a:xfrm>
                          <a:prstGeom prst="rect">
                            <a:avLst/>
                          </a:prstGeom>
                          <a:ln/>
                        </pic:spPr>
                      </pic:pic>
                    </a:graphicData>
                  </a:graphic>
                </wp:inline>
              </w:drawing>
            </w:r>
          </w:p>
          <w:p w14:paraId="2B83BBA7" w14:textId="77777777" w:rsidR="00D475B6" w:rsidRDefault="00F34475" w:rsidP="519F8C63">
            <w:pPr>
              <w:pBdr>
                <w:top w:val="nil"/>
                <w:left w:val="nil"/>
                <w:bottom w:val="nil"/>
                <w:right w:val="nil"/>
                <w:between w:val="nil"/>
              </w:pBdr>
              <w:rPr>
                <w:color w:val="000000" w:themeColor="text1"/>
                <w:sz w:val="24"/>
                <w:szCs w:val="24"/>
              </w:rPr>
            </w:pPr>
            <w:r w:rsidRPr="519F8C63">
              <w:rPr>
                <w:color w:val="000000" w:themeColor="text1"/>
                <w:sz w:val="24"/>
                <w:szCs w:val="24"/>
              </w:rPr>
              <w:t>Repeated finger wiggle</w:t>
            </w:r>
          </w:p>
          <w:p w14:paraId="296A134E" w14:textId="58483C6E" w:rsidR="00780DA2" w:rsidRDefault="00780DA2" w:rsidP="519F8C63">
            <w:pPr>
              <w:pBdr>
                <w:top w:val="nil"/>
                <w:left w:val="nil"/>
                <w:bottom w:val="nil"/>
                <w:right w:val="nil"/>
                <w:between w:val="nil"/>
              </w:pBdr>
              <w:rPr>
                <w:color w:val="000000"/>
                <w:sz w:val="24"/>
                <w:szCs w:val="24"/>
              </w:rPr>
            </w:pPr>
            <w:r>
              <w:rPr>
                <w:color w:val="000000" w:themeColor="text1"/>
                <w:sz w:val="24"/>
                <w:szCs w:val="24"/>
              </w:rPr>
              <w:t>Gloss: This sign means ‘simmer’ in STS</w:t>
            </w:r>
          </w:p>
          <w:p w14:paraId="2B83BBA9" w14:textId="77777777" w:rsidR="00D475B6" w:rsidRDefault="00F34475">
            <w:pPr>
              <w:rPr>
                <w:sz w:val="24"/>
                <w:szCs w:val="24"/>
              </w:rPr>
            </w:pPr>
            <w:r w:rsidRPr="519F8C63">
              <w:rPr>
                <w:sz w:val="24"/>
                <w:szCs w:val="24"/>
              </w:rPr>
              <w:t>LDD1THF3</w:t>
            </w:r>
          </w:p>
        </w:tc>
      </w:tr>
      <w:tr w:rsidR="00D475B6" w14:paraId="2B83BBB4" w14:textId="77777777" w:rsidTr="519F8C63">
        <w:trPr>
          <w:trHeight w:val="247"/>
        </w:trPr>
        <w:tc>
          <w:tcPr>
            <w:tcW w:w="704" w:type="dxa"/>
          </w:tcPr>
          <w:p w14:paraId="2B83BBA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lastRenderedPageBreak/>
              <w:t>3</w:t>
            </w:r>
          </w:p>
        </w:tc>
        <w:tc>
          <w:tcPr>
            <w:tcW w:w="1276" w:type="dxa"/>
          </w:tcPr>
          <w:p w14:paraId="2B83BBAC"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1276" w:type="dxa"/>
          </w:tcPr>
          <w:p w14:paraId="2B83BBAD"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1559" w:type="dxa"/>
          </w:tcPr>
          <w:p w14:paraId="2B83BBAE"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1843" w:type="dxa"/>
          </w:tcPr>
          <w:p w14:paraId="2B83BBAF"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3685" w:type="dxa"/>
          </w:tcPr>
          <w:p w14:paraId="2B83BBB0" w14:textId="77777777" w:rsidR="00D475B6" w:rsidRDefault="00F34475" w:rsidP="519F8C63">
            <w:pPr>
              <w:pBdr>
                <w:top w:val="nil"/>
                <w:left w:val="nil"/>
                <w:bottom w:val="nil"/>
                <w:right w:val="nil"/>
                <w:between w:val="nil"/>
              </w:pBdr>
              <w:rPr>
                <w:color w:val="000000"/>
                <w:sz w:val="24"/>
                <w:szCs w:val="24"/>
              </w:rPr>
            </w:pPr>
            <w:r>
              <w:rPr>
                <w:noProof/>
                <w:color w:val="000000"/>
                <w:sz w:val="24"/>
                <w:szCs w:val="24"/>
              </w:rPr>
              <w:drawing>
                <wp:inline distT="0" distB="0" distL="0" distR="0" wp14:anchorId="2B83BDDC" wp14:editId="2B83BDDD">
                  <wp:extent cx="1077627" cy="1063364"/>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077627" cy="1063364"/>
                          </a:xfrm>
                          <a:prstGeom prst="rect">
                            <a:avLst/>
                          </a:prstGeom>
                          <a:ln/>
                        </pic:spPr>
                      </pic:pic>
                    </a:graphicData>
                  </a:graphic>
                </wp:inline>
              </w:drawing>
            </w:r>
          </w:p>
          <w:p w14:paraId="2B83BBB1" w14:textId="77777777" w:rsidR="00D475B6" w:rsidRDefault="00F34475" w:rsidP="519F8C63">
            <w:pPr>
              <w:pBdr>
                <w:top w:val="nil"/>
                <w:left w:val="nil"/>
                <w:bottom w:val="nil"/>
                <w:right w:val="nil"/>
                <w:between w:val="nil"/>
              </w:pBdr>
              <w:rPr>
                <w:color w:val="000000" w:themeColor="text1"/>
                <w:sz w:val="24"/>
                <w:szCs w:val="24"/>
              </w:rPr>
            </w:pPr>
            <w:r w:rsidRPr="519F8C63">
              <w:rPr>
                <w:color w:val="000000" w:themeColor="text1"/>
                <w:sz w:val="24"/>
                <w:szCs w:val="24"/>
              </w:rPr>
              <w:t>double short downward movement</w:t>
            </w:r>
          </w:p>
          <w:p w14:paraId="331FCB0A" w14:textId="7302CA52" w:rsidR="00780DA2" w:rsidRDefault="00780DA2" w:rsidP="519F8C63">
            <w:pPr>
              <w:pBdr>
                <w:top w:val="nil"/>
                <w:left w:val="nil"/>
                <w:bottom w:val="nil"/>
                <w:right w:val="nil"/>
                <w:between w:val="nil"/>
              </w:pBdr>
              <w:rPr>
                <w:color w:val="000000"/>
                <w:sz w:val="24"/>
                <w:szCs w:val="24"/>
              </w:rPr>
            </w:pPr>
            <w:r>
              <w:rPr>
                <w:color w:val="000000" w:themeColor="text1"/>
                <w:sz w:val="24"/>
                <w:szCs w:val="24"/>
              </w:rPr>
              <w:t xml:space="preserve">Gloss: This sign means ‘Namibia’ in Namibian Sign Language. </w:t>
            </w:r>
          </w:p>
          <w:p w14:paraId="2B83BBB3" w14:textId="77777777" w:rsidR="00D475B6" w:rsidRDefault="00F34475">
            <w:pPr>
              <w:rPr>
                <w:sz w:val="24"/>
                <w:szCs w:val="24"/>
              </w:rPr>
            </w:pPr>
            <w:r w:rsidRPr="519F8C63">
              <w:rPr>
                <w:sz w:val="24"/>
                <w:szCs w:val="24"/>
              </w:rPr>
              <w:t>LDD2THF1</w:t>
            </w:r>
          </w:p>
        </w:tc>
      </w:tr>
      <w:tr w:rsidR="00D475B6" w14:paraId="2B83BBBE" w14:textId="77777777" w:rsidTr="519F8C63">
        <w:trPr>
          <w:trHeight w:val="234"/>
        </w:trPr>
        <w:tc>
          <w:tcPr>
            <w:tcW w:w="704" w:type="dxa"/>
          </w:tcPr>
          <w:p w14:paraId="2B83BBB5"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4</w:t>
            </w:r>
          </w:p>
        </w:tc>
        <w:tc>
          <w:tcPr>
            <w:tcW w:w="1276" w:type="dxa"/>
          </w:tcPr>
          <w:p w14:paraId="2B83BBB6"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1276" w:type="dxa"/>
          </w:tcPr>
          <w:p w14:paraId="2B83BBB7"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no</w:t>
            </w:r>
          </w:p>
        </w:tc>
        <w:tc>
          <w:tcPr>
            <w:tcW w:w="1559" w:type="dxa"/>
          </w:tcPr>
          <w:p w14:paraId="2B83BBB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yes</w:t>
            </w:r>
          </w:p>
        </w:tc>
        <w:tc>
          <w:tcPr>
            <w:tcW w:w="1843" w:type="dxa"/>
          </w:tcPr>
          <w:p w14:paraId="2B83BBB9"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yes</w:t>
            </w:r>
          </w:p>
        </w:tc>
        <w:tc>
          <w:tcPr>
            <w:tcW w:w="3685" w:type="dxa"/>
          </w:tcPr>
          <w:p w14:paraId="2B83BBBA" w14:textId="77777777" w:rsidR="00D475B6" w:rsidRDefault="00F34475" w:rsidP="519F8C63">
            <w:pPr>
              <w:pBdr>
                <w:top w:val="nil"/>
                <w:left w:val="nil"/>
                <w:bottom w:val="nil"/>
                <w:right w:val="nil"/>
                <w:between w:val="nil"/>
              </w:pBdr>
              <w:rPr>
                <w:color w:val="000000"/>
                <w:sz w:val="24"/>
                <w:szCs w:val="24"/>
              </w:rPr>
            </w:pPr>
            <w:r>
              <w:rPr>
                <w:noProof/>
                <w:color w:val="000000"/>
                <w:sz w:val="24"/>
                <w:szCs w:val="24"/>
              </w:rPr>
              <w:drawing>
                <wp:inline distT="0" distB="0" distL="0" distR="0" wp14:anchorId="2B83BDDE" wp14:editId="2B83BDDF">
                  <wp:extent cx="1060993" cy="989304"/>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060993" cy="989304"/>
                          </a:xfrm>
                          <a:prstGeom prst="rect">
                            <a:avLst/>
                          </a:prstGeom>
                          <a:ln/>
                        </pic:spPr>
                      </pic:pic>
                    </a:graphicData>
                  </a:graphic>
                </wp:inline>
              </w:drawing>
            </w:r>
          </w:p>
          <w:p w14:paraId="2B83BBBB" w14:textId="77777777" w:rsidR="00D475B6" w:rsidRDefault="00F34475" w:rsidP="519F8C63">
            <w:pPr>
              <w:pBdr>
                <w:top w:val="nil"/>
                <w:left w:val="nil"/>
                <w:bottom w:val="nil"/>
                <w:right w:val="nil"/>
                <w:between w:val="nil"/>
              </w:pBdr>
              <w:rPr>
                <w:color w:val="000000" w:themeColor="text1"/>
                <w:sz w:val="24"/>
                <w:szCs w:val="24"/>
              </w:rPr>
            </w:pPr>
            <w:r w:rsidRPr="519F8C63">
              <w:rPr>
                <w:color w:val="000000" w:themeColor="text1"/>
                <w:sz w:val="24"/>
                <w:szCs w:val="24"/>
              </w:rPr>
              <w:t>Repeated asynchronous movement of the two hands that have different handshapes</w:t>
            </w:r>
          </w:p>
          <w:p w14:paraId="4DF821EF" w14:textId="77777777" w:rsidR="00787346" w:rsidRDefault="00787346" w:rsidP="00787346">
            <w:pPr>
              <w:pBdr>
                <w:top w:val="nil"/>
                <w:left w:val="nil"/>
                <w:bottom w:val="nil"/>
                <w:right w:val="nil"/>
                <w:between w:val="nil"/>
              </w:pBdr>
              <w:rPr>
                <w:color w:val="000000"/>
                <w:sz w:val="24"/>
                <w:szCs w:val="24"/>
              </w:rPr>
            </w:pPr>
            <w:r>
              <w:rPr>
                <w:color w:val="000000" w:themeColor="text1"/>
                <w:sz w:val="24"/>
                <w:szCs w:val="24"/>
              </w:rPr>
              <w:t>Gloss: This sign means ‘</w:t>
            </w:r>
            <w:proofErr w:type="spellStart"/>
            <w:r>
              <w:rPr>
                <w:color w:val="000000" w:themeColor="text1"/>
                <w:sz w:val="24"/>
                <w:szCs w:val="24"/>
              </w:rPr>
              <w:t>SimCom</w:t>
            </w:r>
            <w:proofErr w:type="spellEnd"/>
            <w:r>
              <w:rPr>
                <w:color w:val="000000" w:themeColor="text1"/>
                <w:sz w:val="24"/>
                <w:szCs w:val="24"/>
              </w:rPr>
              <w:t>’ in American Sign Language</w:t>
            </w:r>
          </w:p>
          <w:p w14:paraId="2B83BBBD" w14:textId="35D1D57E" w:rsidR="00D475B6" w:rsidRPr="00787346" w:rsidRDefault="00F34475" w:rsidP="00787346">
            <w:pPr>
              <w:pBdr>
                <w:top w:val="nil"/>
                <w:left w:val="nil"/>
                <w:bottom w:val="nil"/>
                <w:right w:val="nil"/>
                <w:between w:val="nil"/>
              </w:pBdr>
              <w:rPr>
                <w:color w:val="000000"/>
                <w:sz w:val="24"/>
                <w:szCs w:val="24"/>
              </w:rPr>
            </w:pPr>
            <w:r w:rsidRPr="519F8C63">
              <w:rPr>
                <w:sz w:val="24"/>
                <w:szCs w:val="24"/>
              </w:rPr>
              <w:t>LDD3THF2</w:t>
            </w:r>
          </w:p>
        </w:tc>
      </w:tr>
    </w:tbl>
    <w:p w14:paraId="2B83BBBF" w14:textId="77777777" w:rsidR="00D475B6" w:rsidRDefault="00D475B6" w:rsidP="519F8C63">
      <w:pPr>
        <w:pBdr>
          <w:top w:val="nil"/>
          <w:left w:val="nil"/>
          <w:bottom w:val="nil"/>
          <w:right w:val="nil"/>
          <w:between w:val="nil"/>
        </w:pBdr>
        <w:spacing w:after="0" w:line="240" w:lineRule="auto"/>
        <w:rPr>
          <w:color w:val="000000"/>
          <w:sz w:val="24"/>
          <w:szCs w:val="24"/>
        </w:rPr>
      </w:pPr>
    </w:p>
    <w:p w14:paraId="2B83BBC0" w14:textId="77777777" w:rsidR="00D475B6" w:rsidRDefault="00D475B6" w:rsidP="519F8C63">
      <w:pPr>
        <w:pBdr>
          <w:top w:val="nil"/>
          <w:left w:val="nil"/>
          <w:bottom w:val="nil"/>
          <w:right w:val="nil"/>
          <w:between w:val="nil"/>
        </w:pBdr>
        <w:spacing w:after="0" w:line="240" w:lineRule="auto"/>
        <w:rPr>
          <w:color w:val="000000"/>
          <w:sz w:val="24"/>
          <w:szCs w:val="24"/>
        </w:rPr>
      </w:pPr>
    </w:p>
    <w:p w14:paraId="2B83BBC1" w14:textId="77777777" w:rsidR="00D475B6" w:rsidRDefault="00F34475">
      <w:pPr>
        <w:pStyle w:val="Heading2"/>
        <w:spacing w:line="360" w:lineRule="auto"/>
        <w:rPr>
          <w:rFonts w:ascii="Calibri" w:eastAsia="Calibri" w:hAnsi="Calibri" w:cs="Calibri"/>
          <w:color w:val="000000"/>
          <w:sz w:val="24"/>
          <w:szCs w:val="24"/>
        </w:rPr>
      </w:pPr>
      <w:bookmarkStart w:id="0" w:name="_heading=h.pwf1mb5cwocj" w:colFirst="0" w:colLast="0"/>
      <w:bookmarkEnd w:id="0"/>
      <w:r>
        <w:rPr>
          <w:sz w:val="24"/>
          <w:szCs w:val="24"/>
        </w:rPr>
        <w:t>Supplementary materials</w:t>
      </w:r>
    </w:p>
    <w:p w14:paraId="2B83BBC2" w14:textId="77777777" w:rsidR="00D475B6" w:rsidRDefault="00F34475">
      <w:pPr>
        <w:pBdr>
          <w:top w:val="nil"/>
          <w:left w:val="nil"/>
          <w:bottom w:val="nil"/>
          <w:right w:val="nil"/>
          <w:between w:val="nil"/>
        </w:pBdr>
        <w:spacing w:after="0" w:line="360" w:lineRule="auto"/>
        <w:rPr>
          <w:color w:val="000000"/>
          <w:sz w:val="24"/>
          <w:szCs w:val="24"/>
        </w:rPr>
      </w:pPr>
      <w:r>
        <w:rPr>
          <w:i/>
          <w:color w:val="000000"/>
          <w:sz w:val="24"/>
          <w:szCs w:val="24"/>
        </w:rPr>
        <w:t>English vocabulary knowledge.</w:t>
      </w:r>
      <w:r>
        <w:rPr>
          <w:color w:val="000000"/>
          <w:sz w:val="24"/>
          <w:szCs w:val="24"/>
        </w:rPr>
        <w:t xml:space="preserve"> Participants’ knowledge of their first language was measured using the English vocabulary subtest of the Wechsler Adult Intelligence Scale WAIS-IV (Wechsler et al., 2008; not available on the </w:t>
      </w:r>
      <w:proofErr w:type="spellStart"/>
      <w:r>
        <w:rPr>
          <w:color w:val="000000"/>
          <w:sz w:val="24"/>
          <w:szCs w:val="24"/>
        </w:rPr>
        <w:t>osf</w:t>
      </w:r>
      <w:proofErr w:type="spellEnd"/>
      <w:r>
        <w:rPr>
          <w:color w:val="000000"/>
          <w:sz w:val="24"/>
          <w:szCs w:val="24"/>
        </w:rPr>
        <w:t xml:space="preserve"> site because it is proprietary). In this test, participants are presented with 26 lexical items auditorily and orthographically and asked to define each one. Their responses were recorded using the audio software </w:t>
      </w:r>
      <w:r>
        <w:rPr>
          <w:i/>
          <w:color w:val="000000"/>
          <w:sz w:val="24"/>
          <w:szCs w:val="24"/>
        </w:rPr>
        <w:t>Audacity</w:t>
      </w:r>
      <w:r>
        <w:rPr>
          <w:color w:val="000000"/>
          <w:sz w:val="24"/>
          <w:szCs w:val="24"/>
        </w:rPr>
        <w:t xml:space="preserve"> and scored based on the test manual. The responses from a subset of participants (</w:t>
      </w:r>
      <w:r>
        <w:rPr>
          <w:i/>
          <w:color w:val="000000"/>
          <w:sz w:val="24"/>
          <w:szCs w:val="24"/>
        </w:rPr>
        <w:t>N</w:t>
      </w:r>
      <w:r>
        <w:rPr>
          <w:color w:val="000000"/>
          <w:sz w:val="24"/>
          <w:szCs w:val="24"/>
        </w:rPr>
        <w:t xml:space="preserve">=10) were scored by two independent judges, resulting in an interrater reliability score of Spearman’s </w:t>
      </w:r>
      <w:r>
        <w:rPr>
          <w:i/>
          <w:color w:val="000000"/>
          <w:sz w:val="24"/>
          <w:szCs w:val="24"/>
        </w:rPr>
        <w:t xml:space="preserve">Rho </w:t>
      </w:r>
      <w:r>
        <w:rPr>
          <w:color w:val="000000"/>
          <w:sz w:val="24"/>
          <w:szCs w:val="24"/>
        </w:rPr>
        <w:t xml:space="preserve">= .85, </w:t>
      </w:r>
      <w:r>
        <w:rPr>
          <w:i/>
          <w:color w:val="000000"/>
          <w:sz w:val="24"/>
          <w:szCs w:val="24"/>
        </w:rPr>
        <w:t xml:space="preserve">p </w:t>
      </w:r>
      <w:r>
        <w:rPr>
          <w:color w:val="000000"/>
          <w:sz w:val="24"/>
          <w:szCs w:val="24"/>
        </w:rPr>
        <w:t>= .002. </w:t>
      </w:r>
    </w:p>
    <w:p w14:paraId="2B83BBC3" w14:textId="77777777" w:rsidR="00D475B6" w:rsidRDefault="00D475B6">
      <w:pPr>
        <w:pStyle w:val="Heading2"/>
        <w:spacing w:before="0" w:line="360" w:lineRule="auto"/>
        <w:rPr>
          <w:rFonts w:ascii="Calibri" w:eastAsia="Calibri" w:hAnsi="Calibri" w:cs="Calibri"/>
          <w:sz w:val="24"/>
          <w:szCs w:val="24"/>
        </w:rPr>
      </w:pPr>
    </w:p>
    <w:p w14:paraId="2B83BBC4" w14:textId="77777777" w:rsidR="00D475B6" w:rsidRDefault="00F34475">
      <w:pPr>
        <w:spacing w:after="0" w:line="360" w:lineRule="auto"/>
        <w:rPr>
          <w:sz w:val="24"/>
          <w:szCs w:val="24"/>
        </w:rPr>
      </w:pPr>
      <w:r>
        <w:rPr>
          <w:i/>
          <w:sz w:val="24"/>
          <w:szCs w:val="24"/>
        </w:rPr>
        <w:t xml:space="preserve">Non-verbal </w:t>
      </w:r>
      <w:r>
        <w:rPr>
          <w:i/>
          <w:color w:val="000000"/>
          <w:sz w:val="24"/>
          <w:szCs w:val="24"/>
        </w:rPr>
        <w:t>reasoning ability</w:t>
      </w:r>
      <w:r>
        <w:rPr>
          <w:i/>
          <w:sz w:val="24"/>
          <w:szCs w:val="24"/>
        </w:rPr>
        <w:t xml:space="preserve">. </w:t>
      </w:r>
      <w:r>
        <w:rPr>
          <w:sz w:val="24"/>
          <w:szCs w:val="24"/>
        </w:rPr>
        <w:t xml:space="preserve">The matrices subtest of the Wechsler Adult Intelligence Scale WAIS-III (Wechsler, 1997; not available on the </w:t>
      </w:r>
      <w:proofErr w:type="spellStart"/>
      <w:r>
        <w:rPr>
          <w:sz w:val="24"/>
          <w:szCs w:val="24"/>
        </w:rPr>
        <w:t>osf</w:t>
      </w:r>
      <w:proofErr w:type="spellEnd"/>
      <w:r>
        <w:rPr>
          <w:sz w:val="24"/>
          <w:szCs w:val="24"/>
        </w:rPr>
        <w:t xml:space="preserve"> site because it is proprietary) taps into individuals’ visual ability to recognise patterns. Participants view designs of shapes and colours. Each design contains a gap. In a multiple-choice style, participants choose one from several options to complete the design.  The task was administered online using google docs. </w:t>
      </w:r>
    </w:p>
    <w:p w14:paraId="2B83BBC5" w14:textId="77777777" w:rsidR="00D475B6" w:rsidRDefault="00D475B6">
      <w:pPr>
        <w:spacing w:after="0" w:line="360" w:lineRule="auto"/>
        <w:rPr>
          <w:sz w:val="24"/>
          <w:szCs w:val="24"/>
        </w:rPr>
      </w:pPr>
    </w:p>
    <w:p w14:paraId="2B83BBC6" w14:textId="77777777" w:rsidR="00D475B6" w:rsidRDefault="00F34475">
      <w:pPr>
        <w:pStyle w:val="Heading2"/>
        <w:rPr>
          <w:sz w:val="24"/>
          <w:szCs w:val="24"/>
        </w:rPr>
      </w:pPr>
      <w:r>
        <w:rPr>
          <w:sz w:val="24"/>
          <w:szCs w:val="24"/>
        </w:rPr>
        <w:t>Procedure</w:t>
      </w:r>
    </w:p>
    <w:p w14:paraId="2B83BBC7" w14:textId="77777777" w:rsidR="00D475B6" w:rsidRDefault="00F34475">
      <w:pPr>
        <w:spacing w:after="0" w:line="360" w:lineRule="auto"/>
        <w:rPr>
          <w:sz w:val="24"/>
          <w:szCs w:val="24"/>
        </w:rPr>
      </w:pPr>
      <w:r>
        <w:rPr>
          <w:sz w:val="24"/>
          <w:szCs w:val="24"/>
        </w:rPr>
        <w:t xml:space="preserve">Since the data collection for this study took place in 2021 when in-lab testing was not permitted due to the Covid-19 pandemic, the study was conducted online using the Microsoft Teams software. The experimenter met and observed each participant individually on Teams. Participants in the exposure groups first watched a short video of a weather forecast in STS. Because the study was designed to tap implicit learning, the instructions were minimal to avoid explicit reference to learning. Participants were simply told to watch the signer as she signed the forecast. Immediately after watching the forecast, they completed the surprise lexical decision task. The control group proceeded with the lexical decision task straight away, without having watched the forecast first. Upon completion of the main experimental tasks, participants completed the WAIS non-verbal reasoning and vocabulary tests. Finally, they filled in the demographic and language background questionnaire on </w:t>
      </w:r>
      <w:proofErr w:type="spellStart"/>
      <w:r>
        <w:rPr>
          <w:sz w:val="24"/>
          <w:szCs w:val="24"/>
        </w:rPr>
        <w:t>Surveymonkey</w:t>
      </w:r>
      <w:proofErr w:type="spellEnd"/>
      <w:r>
        <w:rPr>
          <w:sz w:val="24"/>
          <w:szCs w:val="24"/>
        </w:rPr>
        <w:t xml:space="preserve">. </w:t>
      </w:r>
    </w:p>
    <w:p w14:paraId="2B83BBC8" w14:textId="77777777" w:rsidR="00D475B6" w:rsidRDefault="00F34475">
      <w:pPr>
        <w:pStyle w:val="Heading1"/>
        <w:rPr>
          <w:sz w:val="24"/>
          <w:szCs w:val="24"/>
        </w:rPr>
      </w:pPr>
      <w:r>
        <w:rPr>
          <w:sz w:val="24"/>
          <w:szCs w:val="24"/>
        </w:rPr>
        <w:t>Data analysis</w:t>
      </w:r>
    </w:p>
    <w:p w14:paraId="28809CC9" w14:textId="77777777" w:rsidR="00DF3C35" w:rsidRPr="00F22B06" w:rsidRDefault="00DF3C35" w:rsidP="00DF3C35">
      <w:pPr>
        <w:spacing w:line="360" w:lineRule="auto"/>
        <w:rPr>
          <w:sz w:val="24"/>
          <w:szCs w:val="24"/>
        </w:rPr>
      </w:pPr>
      <w:r w:rsidRPr="00F22B06">
        <w:rPr>
          <w:sz w:val="24"/>
          <w:szCs w:val="24"/>
        </w:rPr>
        <w:t xml:space="preserve">To analyse the lexical decision task results, we investigated both accuracy rates and yes-responses for each item and participant. The summary tables of our results are presented using the style adopted by Ortega et al. (2019). The full data set is available on the </w:t>
      </w:r>
      <w:proofErr w:type="spellStart"/>
      <w:r w:rsidRPr="00F22B06">
        <w:rPr>
          <w:sz w:val="24"/>
          <w:szCs w:val="24"/>
        </w:rPr>
        <w:t>osf</w:t>
      </w:r>
      <w:proofErr w:type="spellEnd"/>
      <w:r w:rsidRPr="00F22B06">
        <w:rPr>
          <w:sz w:val="24"/>
          <w:szCs w:val="24"/>
        </w:rPr>
        <w:t xml:space="preserve"> site: https://osf.io/8hrp6/.  Generalised mixed model analyses were conducted in R studio using the </w:t>
      </w:r>
      <w:proofErr w:type="spellStart"/>
      <w:r w:rsidRPr="00F22B06">
        <w:rPr>
          <w:sz w:val="24"/>
          <w:szCs w:val="24"/>
        </w:rPr>
        <w:t>lmer.test</w:t>
      </w:r>
      <w:proofErr w:type="spellEnd"/>
      <w:r w:rsidRPr="00F22B06">
        <w:rPr>
          <w:sz w:val="24"/>
          <w:szCs w:val="24"/>
        </w:rPr>
        <w:t xml:space="preserve"> package in R (Kuznetsova et al., 2017), which automatically generates significance levels for each effect. We initially assumed a maximally conservative approach to random effects, allowing both items and subjects to vary by both intercept and slope (Winter, 2019). However, this resulted in failure to converge due to the model complexity, so we simplified the models to vary only by intercept. The alpha level was set at .05. Due to limitations regarding modelling pair-wise comparisons involving variables with three or more levels in lme4 (Winter, 2019), we conducted the analyses in several steps. </w:t>
      </w:r>
    </w:p>
    <w:p w14:paraId="690B96FF" w14:textId="77777777" w:rsidR="00DF3C35" w:rsidRPr="00F22B06" w:rsidRDefault="00DF3C35" w:rsidP="00DF3C35">
      <w:pPr>
        <w:spacing w:line="360" w:lineRule="auto"/>
        <w:rPr>
          <w:sz w:val="24"/>
          <w:szCs w:val="24"/>
        </w:rPr>
      </w:pPr>
      <w:r w:rsidRPr="00F22B06">
        <w:rPr>
          <w:sz w:val="24"/>
          <w:szCs w:val="24"/>
        </w:rPr>
        <w:t xml:space="preserve">The first step was to assess the overall effect of exposure by comparing results in the control group (0x) to results in the two exposure groups (1x, 2x). Secondly, we compared the two exposure groups to each other. Finally, we assessed the effect of Set for exposure and non-exposure groups separately. Since, there were no differences in pattern across the 1x and 2x </w:t>
      </w:r>
      <w:r w:rsidRPr="00F22B06">
        <w:rPr>
          <w:sz w:val="24"/>
          <w:szCs w:val="24"/>
        </w:rPr>
        <w:lastRenderedPageBreak/>
        <w:t xml:space="preserve">exposure groups, the two groups were combined for the analyses by Set. In these analyses by Set, the intercept was set as the values of Set 1 (i.e., target) items. </w:t>
      </w:r>
    </w:p>
    <w:p w14:paraId="7CAC9584" w14:textId="77777777" w:rsidR="00DF3C35" w:rsidRPr="00F22B06" w:rsidRDefault="00DF3C35" w:rsidP="00DF3C35">
      <w:pPr>
        <w:spacing w:line="360" w:lineRule="auto"/>
        <w:rPr>
          <w:sz w:val="24"/>
          <w:szCs w:val="24"/>
        </w:rPr>
      </w:pPr>
      <w:r w:rsidRPr="00F22B06">
        <w:rPr>
          <w:sz w:val="24"/>
          <w:szCs w:val="24"/>
        </w:rPr>
        <w:t xml:space="preserve">The analyses on effects of Set were conducted separately for Accuracy and Yes responses, to reveal response biases. Any differences in accuracy between the two sets of items that required a ‘yes’ response (Sets 1 and 2) and the two sets that required a ‘no’ response (Sets 3 and 4) could potentially be driven by participants not actually making a distinction between any of the sets at all, and responding ‘yes’ at similarly high levels throughout, regardless of the phonological properties of the signs. In order to investigate this possibility, we repeated the analysis using Yes responses rather than Accuracy as the dependent variable. We note that the variable ‘Accuracy’ makes less sense for the control group who did not see the forecast, because their task instructions asked not about STS specifically but about sign languages more generally; because the signs used in Sets 3 and 4 were real signs (albeit ones that are </w:t>
      </w:r>
      <w:proofErr w:type="spellStart"/>
      <w:r w:rsidRPr="00F22B06">
        <w:rPr>
          <w:sz w:val="24"/>
          <w:szCs w:val="24"/>
        </w:rPr>
        <w:t>formationally</w:t>
      </w:r>
      <w:proofErr w:type="spellEnd"/>
      <w:r w:rsidRPr="00F22B06">
        <w:rPr>
          <w:sz w:val="24"/>
          <w:szCs w:val="24"/>
        </w:rPr>
        <w:t xml:space="preserve"> rare) the correct response for these signs was - like it was for Sets 1 and 2 - ‘yes’. However, we include the data from the control group in the Accuracy analyses for the sake of completeness.</w:t>
      </w:r>
    </w:p>
    <w:p w14:paraId="2B83BBCC" w14:textId="77777777" w:rsidR="00D475B6" w:rsidRDefault="00F34475">
      <w:pPr>
        <w:pStyle w:val="Heading1"/>
        <w:rPr>
          <w:sz w:val="28"/>
          <w:szCs w:val="28"/>
        </w:rPr>
      </w:pPr>
      <w:r>
        <w:rPr>
          <w:sz w:val="28"/>
          <w:szCs w:val="28"/>
        </w:rPr>
        <w:t>Results</w:t>
      </w:r>
    </w:p>
    <w:p w14:paraId="2B83BBCD" w14:textId="77777777" w:rsidR="00D475B6" w:rsidRDefault="00D475B6"/>
    <w:p w14:paraId="2B83BBCE" w14:textId="77777777" w:rsidR="00D475B6" w:rsidRDefault="00F34475">
      <w:pPr>
        <w:pStyle w:val="Heading2"/>
        <w:rPr>
          <w:sz w:val="24"/>
          <w:szCs w:val="24"/>
        </w:rPr>
      </w:pPr>
      <w:r>
        <w:rPr>
          <w:sz w:val="24"/>
          <w:szCs w:val="24"/>
        </w:rPr>
        <w:t>Results for Accuracy Rates</w:t>
      </w:r>
    </w:p>
    <w:p w14:paraId="2B83BBCF" w14:textId="77777777" w:rsidR="00D475B6" w:rsidRDefault="00D475B6">
      <w:pPr>
        <w:pBdr>
          <w:top w:val="nil"/>
          <w:left w:val="nil"/>
          <w:bottom w:val="nil"/>
          <w:right w:val="nil"/>
          <w:between w:val="nil"/>
        </w:pBdr>
        <w:shd w:val="clear" w:color="auto" w:fill="FFFFFF"/>
        <w:spacing w:after="0" w:line="360" w:lineRule="auto"/>
        <w:rPr>
          <w:sz w:val="24"/>
          <w:szCs w:val="24"/>
        </w:rPr>
      </w:pPr>
    </w:p>
    <w:p w14:paraId="2B83BBD0" w14:textId="77777777" w:rsidR="00D475B6" w:rsidRDefault="00F34475">
      <w:p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Table 3 presents the descriptive statistics for Accuracy rates by exposure group and sign set. Fig</w:t>
      </w:r>
      <w:r>
        <w:rPr>
          <w:sz w:val="24"/>
          <w:szCs w:val="24"/>
        </w:rPr>
        <w:t>ures 1 and 2 illustrate the distribution of accuracy rates.</w:t>
      </w:r>
    </w:p>
    <w:p w14:paraId="2B83BBD1" w14:textId="77777777" w:rsidR="00D475B6" w:rsidRDefault="00F34475">
      <w:pPr>
        <w:keepNext/>
        <w:pBdr>
          <w:top w:val="nil"/>
          <w:left w:val="nil"/>
          <w:bottom w:val="nil"/>
          <w:right w:val="nil"/>
          <w:between w:val="nil"/>
        </w:pBdr>
        <w:spacing w:line="240" w:lineRule="auto"/>
        <w:rPr>
          <w:b/>
          <w:smallCaps/>
          <w:color w:val="44546A"/>
          <w:sz w:val="24"/>
          <w:szCs w:val="24"/>
        </w:rPr>
      </w:pPr>
      <w:r>
        <w:rPr>
          <w:b/>
          <w:smallCaps/>
          <w:color w:val="44546A"/>
          <w:sz w:val="24"/>
          <w:szCs w:val="24"/>
        </w:rPr>
        <w:t>Table 3 Accuracy Rates by Exposure Group and Sign Set</w:t>
      </w:r>
    </w:p>
    <w:tbl>
      <w:tblPr>
        <w:tblStyle w:val="a1"/>
        <w:tblW w:w="8103" w:type="dxa"/>
        <w:tblLayout w:type="fixed"/>
        <w:tblLook w:val="0400" w:firstRow="0" w:lastRow="0" w:firstColumn="0" w:lastColumn="0" w:noHBand="0" w:noVBand="1"/>
      </w:tblPr>
      <w:tblGrid>
        <w:gridCol w:w="2175"/>
        <w:gridCol w:w="900"/>
        <w:gridCol w:w="1635"/>
        <w:gridCol w:w="1770"/>
        <w:gridCol w:w="1623"/>
      </w:tblGrid>
      <w:tr w:rsidR="00D475B6" w14:paraId="2B83BBD6" w14:textId="77777777">
        <w:trPr>
          <w:trHeight w:val="915"/>
        </w:trPr>
        <w:tc>
          <w:tcPr>
            <w:tcW w:w="3075" w:type="dxa"/>
            <w:gridSpan w:val="2"/>
            <w:tcBorders>
              <w:top w:val="single" w:sz="8" w:space="0" w:color="000000"/>
              <w:left w:val="nil"/>
              <w:bottom w:val="single" w:sz="8" w:space="0" w:color="000000"/>
              <w:right w:val="nil"/>
            </w:tcBorders>
            <w:shd w:val="clear" w:color="auto" w:fill="auto"/>
            <w:vAlign w:val="center"/>
          </w:tcPr>
          <w:p w14:paraId="2B83BBD2" w14:textId="77777777" w:rsidR="00D475B6" w:rsidRDefault="00F34475">
            <w:pPr>
              <w:spacing w:after="0" w:line="240" w:lineRule="auto"/>
              <w:rPr>
                <w:b/>
                <w:color w:val="000000"/>
                <w:sz w:val="24"/>
                <w:szCs w:val="24"/>
              </w:rPr>
            </w:pPr>
            <w:r>
              <w:rPr>
                <w:b/>
                <w:color w:val="000000"/>
                <w:sz w:val="24"/>
                <w:szCs w:val="24"/>
              </w:rPr>
              <w:t>Exposure group</w:t>
            </w:r>
          </w:p>
        </w:tc>
        <w:tc>
          <w:tcPr>
            <w:tcW w:w="1635" w:type="dxa"/>
            <w:tcBorders>
              <w:top w:val="single" w:sz="8" w:space="0" w:color="000000"/>
              <w:left w:val="nil"/>
              <w:bottom w:val="single" w:sz="8" w:space="0" w:color="000000"/>
              <w:right w:val="nil"/>
            </w:tcBorders>
            <w:shd w:val="clear" w:color="auto" w:fill="auto"/>
            <w:vAlign w:val="center"/>
          </w:tcPr>
          <w:p w14:paraId="2B83BBD3" w14:textId="77777777" w:rsidR="00D475B6" w:rsidRDefault="00F34475">
            <w:pPr>
              <w:spacing w:after="0" w:line="240" w:lineRule="auto"/>
              <w:jc w:val="right"/>
              <w:rPr>
                <w:b/>
                <w:color w:val="000000"/>
                <w:sz w:val="24"/>
                <w:szCs w:val="24"/>
              </w:rPr>
            </w:pPr>
            <w:r>
              <w:rPr>
                <w:b/>
                <w:color w:val="000000"/>
                <w:sz w:val="24"/>
                <w:szCs w:val="24"/>
              </w:rPr>
              <w:t xml:space="preserve">0x Exposure </w:t>
            </w:r>
          </w:p>
        </w:tc>
        <w:tc>
          <w:tcPr>
            <w:tcW w:w="1770" w:type="dxa"/>
            <w:tcBorders>
              <w:top w:val="single" w:sz="8" w:space="0" w:color="000000"/>
              <w:left w:val="nil"/>
              <w:bottom w:val="single" w:sz="8" w:space="0" w:color="000000"/>
              <w:right w:val="nil"/>
            </w:tcBorders>
            <w:shd w:val="clear" w:color="auto" w:fill="auto"/>
            <w:vAlign w:val="center"/>
          </w:tcPr>
          <w:p w14:paraId="2B83BBD4" w14:textId="77777777" w:rsidR="00D475B6" w:rsidRDefault="00F34475">
            <w:pPr>
              <w:spacing w:after="0" w:line="240" w:lineRule="auto"/>
              <w:jc w:val="right"/>
              <w:rPr>
                <w:b/>
                <w:color w:val="000000"/>
                <w:sz w:val="24"/>
                <w:szCs w:val="24"/>
              </w:rPr>
            </w:pPr>
            <w:r>
              <w:rPr>
                <w:b/>
                <w:color w:val="000000"/>
                <w:sz w:val="24"/>
                <w:szCs w:val="24"/>
              </w:rPr>
              <w:t xml:space="preserve">1x Exposure </w:t>
            </w:r>
          </w:p>
        </w:tc>
        <w:tc>
          <w:tcPr>
            <w:tcW w:w="1623" w:type="dxa"/>
            <w:tcBorders>
              <w:top w:val="single" w:sz="8" w:space="0" w:color="000000"/>
              <w:left w:val="nil"/>
              <w:bottom w:val="single" w:sz="8" w:space="0" w:color="000000"/>
              <w:right w:val="nil"/>
            </w:tcBorders>
            <w:shd w:val="clear" w:color="auto" w:fill="auto"/>
            <w:vAlign w:val="center"/>
          </w:tcPr>
          <w:p w14:paraId="2B83BBD5" w14:textId="77777777" w:rsidR="00D475B6" w:rsidRDefault="00F34475">
            <w:pPr>
              <w:spacing w:after="0" w:line="240" w:lineRule="auto"/>
              <w:jc w:val="right"/>
              <w:rPr>
                <w:b/>
                <w:color w:val="000000"/>
                <w:sz w:val="24"/>
                <w:szCs w:val="24"/>
              </w:rPr>
            </w:pPr>
            <w:r>
              <w:rPr>
                <w:b/>
                <w:color w:val="000000"/>
                <w:sz w:val="24"/>
                <w:szCs w:val="24"/>
              </w:rPr>
              <w:t xml:space="preserve">2x Exposure </w:t>
            </w:r>
          </w:p>
        </w:tc>
      </w:tr>
      <w:tr w:rsidR="00D475B6" w14:paraId="2B83BBDC" w14:textId="77777777">
        <w:trPr>
          <w:trHeight w:val="300"/>
        </w:trPr>
        <w:tc>
          <w:tcPr>
            <w:tcW w:w="2175" w:type="dxa"/>
            <w:tcBorders>
              <w:top w:val="nil"/>
              <w:left w:val="nil"/>
              <w:bottom w:val="nil"/>
              <w:right w:val="nil"/>
            </w:tcBorders>
            <w:shd w:val="clear" w:color="auto" w:fill="auto"/>
            <w:vAlign w:val="center"/>
          </w:tcPr>
          <w:p w14:paraId="2B83BBD7" w14:textId="77777777" w:rsidR="00D475B6" w:rsidRDefault="00F34475">
            <w:pPr>
              <w:spacing w:after="0" w:line="240" w:lineRule="auto"/>
              <w:rPr>
                <w:color w:val="000000"/>
                <w:sz w:val="24"/>
                <w:szCs w:val="24"/>
              </w:rPr>
            </w:pPr>
            <w:r>
              <w:rPr>
                <w:color w:val="000000"/>
                <w:sz w:val="24"/>
                <w:szCs w:val="24"/>
              </w:rPr>
              <w:t>Accuracy rate (%)</w:t>
            </w:r>
          </w:p>
        </w:tc>
        <w:tc>
          <w:tcPr>
            <w:tcW w:w="900" w:type="dxa"/>
            <w:tcBorders>
              <w:top w:val="nil"/>
              <w:left w:val="nil"/>
              <w:bottom w:val="nil"/>
              <w:right w:val="nil"/>
            </w:tcBorders>
            <w:shd w:val="clear" w:color="auto" w:fill="auto"/>
            <w:vAlign w:val="center"/>
          </w:tcPr>
          <w:p w14:paraId="2B83BBD8" w14:textId="77777777" w:rsidR="00D475B6" w:rsidRDefault="00F34475">
            <w:pPr>
              <w:spacing w:after="0" w:line="240" w:lineRule="auto"/>
              <w:rPr>
                <w:color w:val="000000"/>
                <w:sz w:val="24"/>
                <w:szCs w:val="24"/>
              </w:rPr>
            </w:pPr>
            <w:r>
              <w:rPr>
                <w:color w:val="000000"/>
                <w:sz w:val="24"/>
                <w:szCs w:val="24"/>
              </w:rPr>
              <w:t>Mean</w:t>
            </w:r>
          </w:p>
        </w:tc>
        <w:tc>
          <w:tcPr>
            <w:tcW w:w="1635" w:type="dxa"/>
            <w:tcBorders>
              <w:top w:val="nil"/>
              <w:left w:val="nil"/>
              <w:bottom w:val="nil"/>
              <w:right w:val="nil"/>
            </w:tcBorders>
            <w:shd w:val="clear" w:color="auto" w:fill="auto"/>
            <w:vAlign w:val="bottom"/>
          </w:tcPr>
          <w:p w14:paraId="2B83BBD9" w14:textId="77777777" w:rsidR="00D475B6" w:rsidRDefault="00F34475">
            <w:pPr>
              <w:spacing w:after="0" w:line="240" w:lineRule="auto"/>
              <w:jc w:val="right"/>
              <w:rPr>
                <w:color w:val="000000"/>
                <w:sz w:val="24"/>
                <w:szCs w:val="24"/>
              </w:rPr>
            </w:pPr>
            <w:r>
              <w:rPr>
                <w:color w:val="000000"/>
                <w:sz w:val="24"/>
                <w:szCs w:val="24"/>
              </w:rPr>
              <w:t>59.52</w:t>
            </w:r>
          </w:p>
        </w:tc>
        <w:tc>
          <w:tcPr>
            <w:tcW w:w="1770" w:type="dxa"/>
            <w:tcBorders>
              <w:top w:val="nil"/>
              <w:left w:val="nil"/>
              <w:bottom w:val="nil"/>
              <w:right w:val="nil"/>
            </w:tcBorders>
            <w:shd w:val="clear" w:color="auto" w:fill="auto"/>
            <w:vAlign w:val="bottom"/>
          </w:tcPr>
          <w:p w14:paraId="2B83BBDA" w14:textId="77777777" w:rsidR="00D475B6" w:rsidRDefault="00F34475">
            <w:pPr>
              <w:spacing w:after="0" w:line="240" w:lineRule="auto"/>
              <w:jc w:val="right"/>
              <w:rPr>
                <w:color w:val="000000"/>
                <w:sz w:val="24"/>
                <w:szCs w:val="24"/>
              </w:rPr>
            </w:pPr>
            <w:r>
              <w:rPr>
                <w:color w:val="000000"/>
                <w:sz w:val="24"/>
                <w:szCs w:val="24"/>
              </w:rPr>
              <w:t>55.60</w:t>
            </w:r>
          </w:p>
        </w:tc>
        <w:tc>
          <w:tcPr>
            <w:tcW w:w="1623" w:type="dxa"/>
            <w:tcBorders>
              <w:top w:val="nil"/>
              <w:left w:val="nil"/>
              <w:bottom w:val="nil"/>
              <w:right w:val="nil"/>
            </w:tcBorders>
            <w:shd w:val="clear" w:color="auto" w:fill="auto"/>
            <w:vAlign w:val="bottom"/>
          </w:tcPr>
          <w:p w14:paraId="2B83BBDB" w14:textId="77777777" w:rsidR="00D475B6" w:rsidRDefault="00F34475">
            <w:pPr>
              <w:spacing w:after="0" w:line="240" w:lineRule="auto"/>
              <w:jc w:val="right"/>
              <w:rPr>
                <w:color w:val="000000"/>
                <w:sz w:val="24"/>
                <w:szCs w:val="24"/>
              </w:rPr>
            </w:pPr>
            <w:r>
              <w:rPr>
                <w:color w:val="000000"/>
                <w:sz w:val="24"/>
                <w:szCs w:val="24"/>
              </w:rPr>
              <w:t>61.41</w:t>
            </w:r>
          </w:p>
        </w:tc>
      </w:tr>
      <w:tr w:rsidR="00D475B6" w14:paraId="2B83BBE2" w14:textId="77777777">
        <w:trPr>
          <w:trHeight w:val="315"/>
        </w:trPr>
        <w:tc>
          <w:tcPr>
            <w:tcW w:w="2175" w:type="dxa"/>
            <w:tcBorders>
              <w:top w:val="nil"/>
              <w:left w:val="nil"/>
              <w:bottom w:val="single" w:sz="4" w:space="0" w:color="000000"/>
              <w:right w:val="nil"/>
            </w:tcBorders>
            <w:shd w:val="clear" w:color="auto" w:fill="auto"/>
            <w:vAlign w:val="center"/>
          </w:tcPr>
          <w:p w14:paraId="2B83BBDD" w14:textId="77777777" w:rsidR="00D475B6" w:rsidRDefault="00F34475">
            <w:pPr>
              <w:spacing w:after="0" w:line="240" w:lineRule="auto"/>
              <w:rPr>
                <w:color w:val="000000"/>
                <w:sz w:val="24"/>
                <w:szCs w:val="24"/>
              </w:rPr>
            </w:pPr>
            <w:r>
              <w:rPr>
                <w:color w:val="000000"/>
                <w:sz w:val="24"/>
                <w:szCs w:val="24"/>
              </w:rPr>
              <w:t>Set 1 signs</w:t>
            </w:r>
          </w:p>
        </w:tc>
        <w:tc>
          <w:tcPr>
            <w:tcW w:w="900" w:type="dxa"/>
            <w:tcBorders>
              <w:top w:val="nil"/>
              <w:left w:val="nil"/>
              <w:bottom w:val="single" w:sz="4" w:space="0" w:color="000000"/>
              <w:right w:val="nil"/>
            </w:tcBorders>
            <w:shd w:val="clear" w:color="auto" w:fill="auto"/>
            <w:vAlign w:val="center"/>
          </w:tcPr>
          <w:p w14:paraId="2B83BBDE" w14:textId="77777777" w:rsidR="00D475B6" w:rsidRDefault="00F34475">
            <w:pPr>
              <w:spacing w:after="0" w:line="240" w:lineRule="auto"/>
              <w:rPr>
                <w:color w:val="000000"/>
                <w:sz w:val="24"/>
                <w:szCs w:val="24"/>
              </w:rPr>
            </w:pPr>
            <w:r>
              <w:rPr>
                <w:color w:val="000000"/>
                <w:sz w:val="24"/>
                <w:szCs w:val="24"/>
              </w:rPr>
              <w:t>SD</w:t>
            </w:r>
          </w:p>
        </w:tc>
        <w:tc>
          <w:tcPr>
            <w:tcW w:w="1635" w:type="dxa"/>
            <w:tcBorders>
              <w:top w:val="nil"/>
              <w:left w:val="nil"/>
              <w:bottom w:val="single" w:sz="4" w:space="0" w:color="000000"/>
              <w:right w:val="nil"/>
            </w:tcBorders>
            <w:shd w:val="clear" w:color="auto" w:fill="auto"/>
            <w:vAlign w:val="bottom"/>
          </w:tcPr>
          <w:p w14:paraId="2B83BBDF" w14:textId="77777777" w:rsidR="00D475B6" w:rsidRDefault="00F34475">
            <w:pPr>
              <w:spacing w:after="0" w:line="240" w:lineRule="auto"/>
              <w:jc w:val="right"/>
              <w:rPr>
                <w:color w:val="000000"/>
                <w:sz w:val="24"/>
                <w:szCs w:val="24"/>
              </w:rPr>
            </w:pPr>
            <w:r>
              <w:rPr>
                <w:color w:val="000000"/>
                <w:sz w:val="24"/>
                <w:szCs w:val="24"/>
              </w:rPr>
              <w:t>23.07</w:t>
            </w:r>
          </w:p>
        </w:tc>
        <w:tc>
          <w:tcPr>
            <w:tcW w:w="1770" w:type="dxa"/>
            <w:tcBorders>
              <w:top w:val="nil"/>
              <w:left w:val="nil"/>
              <w:bottom w:val="single" w:sz="4" w:space="0" w:color="000000"/>
              <w:right w:val="nil"/>
            </w:tcBorders>
            <w:shd w:val="clear" w:color="auto" w:fill="auto"/>
            <w:vAlign w:val="bottom"/>
          </w:tcPr>
          <w:p w14:paraId="2B83BBE0" w14:textId="77777777" w:rsidR="00D475B6" w:rsidRDefault="00F34475">
            <w:pPr>
              <w:spacing w:after="0" w:line="240" w:lineRule="auto"/>
              <w:jc w:val="right"/>
              <w:rPr>
                <w:color w:val="000000"/>
                <w:sz w:val="24"/>
                <w:szCs w:val="24"/>
              </w:rPr>
            </w:pPr>
            <w:r>
              <w:rPr>
                <w:color w:val="000000"/>
                <w:sz w:val="24"/>
                <w:szCs w:val="24"/>
              </w:rPr>
              <w:t>16.73</w:t>
            </w:r>
          </w:p>
        </w:tc>
        <w:tc>
          <w:tcPr>
            <w:tcW w:w="1623" w:type="dxa"/>
            <w:tcBorders>
              <w:top w:val="nil"/>
              <w:left w:val="nil"/>
              <w:bottom w:val="single" w:sz="4" w:space="0" w:color="000000"/>
              <w:right w:val="nil"/>
            </w:tcBorders>
            <w:shd w:val="clear" w:color="auto" w:fill="auto"/>
            <w:vAlign w:val="bottom"/>
          </w:tcPr>
          <w:p w14:paraId="2B83BBE1" w14:textId="77777777" w:rsidR="00D475B6" w:rsidRDefault="00F34475">
            <w:pPr>
              <w:spacing w:after="0" w:line="240" w:lineRule="auto"/>
              <w:jc w:val="right"/>
              <w:rPr>
                <w:color w:val="000000"/>
                <w:sz w:val="24"/>
                <w:szCs w:val="24"/>
              </w:rPr>
            </w:pPr>
            <w:r>
              <w:rPr>
                <w:color w:val="000000"/>
                <w:sz w:val="24"/>
                <w:szCs w:val="24"/>
              </w:rPr>
              <w:t>16.78</w:t>
            </w:r>
          </w:p>
        </w:tc>
      </w:tr>
      <w:tr w:rsidR="00D475B6" w14:paraId="2B83BBE8" w14:textId="77777777">
        <w:trPr>
          <w:trHeight w:val="315"/>
        </w:trPr>
        <w:tc>
          <w:tcPr>
            <w:tcW w:w="2175" w:type="dxa"/>
            <w:tcBorders>
              <w:top w:val="nil"/>
              <w:left w:val="nil"/>
              <w:bottom w:val="nil"/>
              <w:right w:val="nil"/>
            </w:tcBorders>
            <w:shd w:val="clear" w:color="auto" w:fill="auto"/>
            <w:vAlign w:val="center"/>
          </w:tcPr>
          <w:p w14:paraId="2B83BBE3" w14:textId="77777777" w:rsidR="00D475B6" w:rsidRDefault="00F34475">
            <w:pPr>
              <w:spacing w:after="0" w:line="240" w:lineRule="auto"/>
              <w:rPr>
                <w:color w:val="000000"/>
                <w:sz w:val="24"/>
                <w:szCs w:val="24"/>
              </w:rPr>
            </w:pPr>
            <w:r>
              <w:rPr>
                <w:color w:val="000000"/>
                <w:sz w:val="24"/>
                <w:szCs w:val="24"/>
              </w:rPr>
              <w:t>Accuracy rate (%)</w:t>
            </w:r>
          </w:p>
        </w:tc>
        <w:tc>
          <w:tcPr>
            <w:tcW w:w="900" w:type="dxa"/>
            <w:tcBorders>
              <w:top w:val="nil"/>
              <w:left w:val="nil"/>
              <w:bottom w:val="nil"/>
              <w:right w:val="nil"/>
            </w:tcBorders>
            <w:shd w:val="clear" w:color="auto" w:fill="auto"/>
            <w:vAlign w:val="center"/>
          </w:tcPr>
          <w:p w14:paraId="2B83BBE4" w14:textId="77777777" w:rsidR="00D475B6" w:rsidRDefault="00F34475">
            <w:pPr>
              <w:spacing w:after="0" w:line="240" w:lineRule="auto"/>
              <w:rPr>
                <w:color w:val="000000"/>
                <w:sz w:val="24"/>
                <w:szCs w:val="24"/>
              </w:rPr>
            </w:pPr>
            <w:r>
              <w:rPr>
                <w:color w:val="000000"/>
                <w:sz w:val="24"/>
                <w:szCs w:val="24"/>
              </w:rPr>
              <w:t>Mean</w:t>
            </w:r>
          </w:p>
        </w:tc>
        <w:tc>
          <w:tcPr>
            <w:tcW w:w="1635" w:type="dxa"/>
            <w:tcBorders>
              <w:top w:val="nil"/>
              <w:left w:val="nil"/>
              <w:bottom w:val="nil"/>
              <w:right w:val="nil"/>
            </w:tcBorders>
            <w:shd w:val="clear" w:color="auto" w:fill="auto"/>
            <w:vAlign w:val="bottom"/>
          </w:tcPr>
          <w:p w14:paraId="2B83BBE5" w14:textId="77777777" w:rsidR="00D475B6" w:rsidRDefault="00F34475">
            <w:pPr>
              <w:spacing w:after="0" w:line="240" w:lineRule="auto"/>
              <w:jc w:val="right"/>
              <w:rPr>
                <w:color w:val="000000"/>
                <w:sz w:val="24"/>
                <w:szCs w:val="24"/>
              </w:rPr>
            </w:pPr>
            <w:r>
              <w:rPr>
                <w:color w:val="000000"/>
                <w:sz w:val="24"/>
                <w:szCs w:val="24"/>
              </w:rPr>
              <w:t>59.57</w:t>
            </w:r>
          </w:p>
        </w:tc>
        <w:tc>
          <w:tcPr>
            <w:tcW w:w="1770" w:type="dxa"/>
            <w:tcBorders>
              <w:top w:val="nil"/>
              <w:left w:val="nil"/>
              <w:bottom w:val="nil"/>
              <w:right w:val="nil"/>
            </w:tcBorders>
            <w:shd w:val="clear" w:color="auto" w:fill="auto"/>
            <w:vAlign w:val="bottom"/>
          </w:tcPr>
          <w:p w14:paraId="2B83BBE6" w14:textId="77777777" w:rsidR="00D475B6" w:rsidRDefault="00F34475">
            <w:pPr>
              <w:spacing w:after="0" w:line="240" w:lineRule="auto"/>
              <w:jc w:val="right"/>
              <w:rPr>
                <w:color w:val="000000"/>
                <w:sz w:val="24"/>
                <w:szCs w:val="24"/>
              </w:rPr>
            </w:pPr>
            <w:r>
              <w:rPr>
                <w:color w:val="000000"/>
                <w:sz w:val="24"/>
                <w:szCs w:val="24"/>
              </w:rPr>
              <w:t>61.91</w:t>
            </w:r>
          </w:p>
        </w:tc>
        <w:tc>
          <w:tcPr>
            <w:tcW w:w="1623" w:type="dxa"/>
            <w:tcBorders>
              <w:top w:val="nil"/>
              <w:left w:val="nil"/>
              <w:bottom w:val="nil"/>
              <w:right w:val="nil"/>
            </w:tcBorders>
            <w:shd w:val="clear" w:color="auto" w:fill="auto"/>
            <w:vAlign w:val="bottom"/>
          </w:tcPr>
          <w:p w14:paraId="2B83BBE7" w14:textId="77777777" w:rsidR="00D475B6" w:rsidRDefault="00F34475">
            <w:pPr>
              <w:spacing w:after="0" w:line="240" w:lineRule="auto"/>
              <w:jc w:val="right"/>
              <w:rPr>
                <w:color w:val="000000"/>
                <w:sz w:val="24"/>
                <w:szCs w:val="24"/>
              </w:rPr>
            </w:pPr>
            <w:r>
              <w:rPr>
                <w:color w:val="000000"/>
                <w:sz w:val="24"/>
                <w:szCs w:val="24"/>
              </w:rPr>
              <w:t>59.50</w:t>
            </w:r>
          </w:p>
        </w:tc>
      </w:tr>
      <w:tr w:rsidR="00D475B6" w14:paraId="2B83BBEE" w14:textId="77777777">
        <w:trPr>
          <w:trHeight w:val="315"/>
        </w:trPr>
        <w:tc>
          <w:tcPr>
            <w:tcW w:w="2175" w:type="dxa"/>
            <w:tcBorders>
              <w:top w:val="nil"/>
              <w:left w:val="nil"/>
              <w:bottom w:val="single" w:sz="4" w:space="0" w:color="000000"/>
              <w:right w:val="nil"/>
            </w:tcBorders>
            <w:shd w:val="clear" w:color="auto" w:fill="auto"/>
            <w:vAlign w:val="center"/>
          </w:tcPr>
          <w:p w14:paraId="2B83BBE9" w14:textId="77777777" w:rsidR="00D475B6" w:rsidRDefault="00F34475">
            <w:pPr>
              <w:spacing w:after="0" w:line="240" w:lineRule="auto"/>
              <w:rPr>
                <w:color w:val="000000"/>
                <w:sz w:val="24"/>
                <w:szCs w:val="24"/>
              </w:rPr>
            </w:pPr>
            <w:r>
              <w:rPr>
                <w:color w:val="000000"/>
                <w:sz w:val="24"/>
                <w:szCs w:val="24"/>
              </w:rPr>
              <w:t xml:space="preserve">Set 2 signs </w:t>
            </w:r>
          </w:p>
        </w:tc>
        <w:tc>
          <w:tcPr>
            <w:tcW w:w="900" w:type="dxa"/>
            <w:tcBorders>
              <w:top w:val="nil"/>
              <w:left w:val="nil"/>
              <w:bottom w:val="single" w:sz="4" w:space="0" w:color="000000"/>
              <w:right w:val="nil"/>
            </w:tcBorders>
            <w:shd w:val="clear" w:color="auto" w:fill="auto"/>
            <w:vAlign w:val="center"/>
          </w:tcPr>
          <w:p w14:paraId="2B83BBEA" w14:textId="77777777" w:rsidR="00D475B6" w:rsidRDefault="00F34475">
            <w:pPr>
              <w:spacing w:after="0" w:line="240" w:lineRule="auto"/>
              <w:rPr>
                <w:color w:val="000000"/>
                <w:sz w:val="24"/>
                <w:szCs w:val="24"/>
              </w:rPr>
            </w:pPr>
            <w:r>
              <w:rPr>
                <w:color w:val="000000"/>
                <w:sz w:val="24"/>
                <w:szCs w:val="24"/>
              </w:rPr>
              <w:t>SD</w:t>
            </w:r>
          </w:p>
        </w:tc>
        <w:tc>
          <w:tcPr>
            <w:tcW w:w="1635" w:type="dxa"/>
            <w:tcBorders>
              <w:top w:val="nil"/>
              <w:left w:val="nil"/>
              <w:bottom w:val="single" w:sz="4" w:space="0" w:color="000000"/>
              <w:right w:val="nil"/>
            </w:tcBorders>
            <w:shd w:val="clear" w:color="auto" w:fill="auto"/>
            <w:vAlign w:val="bottom"/>
          </w:tcPr>
          <w:p w14:paraId="2B83BBEB" w14:textId="77777777" w:rsidR="00D475B6" w:rsidRDefault="00F34475">
            <w:pPr>
              <w:spacing w:after="0" w:line="240" w:lineRule="auto"/>
              <w:jc w:val="right"/>
              <w:rPr>
                <w:color w:val="000000"/>
                <w:sz w:val="24"/>
                <w:szCs w:val="24"/>
              </w:rPr>
            </w:pPr>
            <w:r>
              <w:rPr>
                <w:color w:val="000000"/>
                <w:sz w:val="24"/>
                <w:szCs w:val="24"/>
              </w:rPr>
              <w:t>24.75</w:t>
            </w:r>
          </w:p>
        </w:tc>
        <w:tc>
          <w:tcPr>
            <w:tcW w:w="1770" w:type="dxa"/>
            <w:tcBorders>
              <w:top w:val="nil"/>
              <w:left w:val="nil"/>
              <w:bottom w:val="single" w:sz="4" w:space="0" w:color="000000"/>
              <w:right w:val="nil"/>
            </w:tcBorders>
            <w:shd w:val="clear" w:color="auto" w:fill="auto"/>
            <w:vAlign w:val="bottom"/>
          </w:tcPr>
          <w:p w14:paraId="2B83BBEC" w14:textId="77777777" w:rsidR="00D475B6" w:rsidRDefault="00F34475">
            <w:pPr>
              <w:spacing w:after="0" w:line="240" w:lineRule="auto"/>
              <w:jc w:val="right"/>
              <w:rPr>
                <w:color w:val="000000"/>
                <w:sz w:val="24"/>
                <w:szCs w:val="24"/>
              </w:rPr>
            </w:pPr>
            <w:r>
              <w:rPr>
                <w:color w:val="000000"/>
                <w:sz w:val="24"/>
                <w:szCs w:val="24"/>
              </w:rPr>
              <w:t>13.86</w:t>
            </w:r>
          </w:p>
        </w:tc>
        <w:tc>
          <w:tcPr>
            <w:tcW w:w="1623" w:type="dxa"/>
            <w:tcBorders>
              <w:top w:val="nil"/>
              <w:left w:val="nil"/>
              <w:bottom w:val="single" w:sz="4" w:space="0" w:color="000000"/>
              <w:right w:val="nil"/>
            </w:tcBorders>
            <w:shd w:val="clear" w:color="auto" w:fill="auto"/>
            <w:vAlign w:val="bottom"/>
          </w:tcPr>
          <w:p w14:paraId="2B83BBED" w14:textId="77777777" w:rsidR="00D475B6" w:rsidRDefault="00F34475">
            <w:pPr>
              <w:spacing w:after="0" w:line="240" w:lineRule="auto"/>
              <w:jc w:val="right"/>
              <w:rPr>
                <w:color w:val="000000"/>
                <w:sz w:val="24"/>
                <w:szCs w:val="24"/>
              </w:rPr>
            </w:pPr>
            <w:r>
              <w:rPr>
                <w:color w:val="000000"/>
                <w:sz w:val="24"/>
                <w:szCs w:val="24"/>
              </w:rPr>
              <w:t>17.11</w:t>
            </w:r>
          </w:p>
        </w:tc>
      </w:tr>
      <w:tr w:rsidR="00D475B6" w14:paraId="2B83BBF4" w14:textId="77777777">
        <w:trPr>
          <w:trHeight w:val="315"/>
        </w:trPr>
        <w:tc>
          <w:tcPr>
            <w:tcW w:w="2175" w:type="dxa"/>
            <w:tcBorders>
              <w:top w:val="nil"/>
              <w:left w:val="nil"/>
              <w:bottom w:val="nil"/>
              <w:right w:val="nil"/>
            </w:tcBorders>
            <w:shd w:val="clear" w:color="auto" w:fill="auto"/>
            <w:vAlign w:val="center"/>
          </w:tcPr>
          <w:p w14:paraId="2B83BBEF" w14:textId="77777777" w:rsidR="00D475B6" w:rsidRDefault="00F34475">
            <w:pPr>
              <w:spacing w:after="0" w:line="240" w:lineRule="auto"/>
              <w:rPr>
                <w:color w:val="000000"/>
                <w:sz w:val="24"/>
                <w:szCs w:val="24"/>
              </w:rPr>
            </w:pPr>
            <w:r>
              <w:rPr>
                <w:color w:val="000000"/>
                <w:sz w:val="24"/>
                <w:szCs w:val="24"/>
              </w:rPr>
              <w:t>Accuracy rate (%)</w:t>
            </w:r>
          </w:p>
        </w:tc>
        <w:tc>
          <w:tcPr>
            <w:tcW w:w="900" w:type="dxa"/>
            <w:tcBorders>
              <w:top w:val="nil"/>
              <w:left w:val="nil"/>
              <w:bottom w:val="nil"/>
              <w:right w:val="nil"/>
            </w:tcBorders>
            <w:shd w:val="clear" w:color="auto" w:fill="auto"/>
            <w:vAlign w:val="center"/>
          </w:tcPr>
          <w:p w14:paraId="2B83BBF0" w14:textId="77777777" w:rsidR="00D475B6" w:rsidRDefault="00F34475">
            <w:pPr>
              <w:spacing w:after="0" w:line="240" w:lineRule="auto"/>
              <w:rPr>
                <w:color w:val="000000"/>
                <w:sz w:val="24"/>
                <w:szCs w:val="24"/>
              </w:rPr>
            </w:pPr>
            <w:r>
              <w:rPr>
                <w:color w:val="000000"/>
                <w:sz w:val="24"/>
                <w:szCs w:val="24"/>
              </w:rPr>
              <w:t>Mean</w:t>
            </w:r>
          </w:p>
        </w:tc>
        <w:tc>
          <w:tcPr>
            <w:tcW w:w="1635" w:type="dxa"/>
            <w:tcBorders>
              <w:top w:val="nil"/>
              <w:left w:val="nil"/>
              <w:bottom w:val="nil"/>
              <w:right w:val="nil"/>
            </w:tcBorders>
            <w:shd w:val="clear" w:color="auto" w:fill="auto"/>
            <w:vAlign w:val="bottom"/>
          </w:tcPr>
          <w:p w14:paraId="2B83BBF1" w14:textId="77777777" w:rsidR="00D475B6" w:rsidRDefault="00F34475">
            <w:pPr>
              <w:spacing w:after="0" w:line="240" w:lineRule="auto"/>
              <w:jc w:val="right"/>
              <w:rPr>
                <w:color w:val="000000"/>
                <w:sz w:val="24"/>
                <w:szCs w:val="24"/>
              </w:rPr>
            </w:pPr>
            <w:r>
              <w:rPr>
                <w:color w:val="000000"/>
                <w:sz w:val="24"/>
                <w:szCs w:val="24"/>
              </w:rPr>
              <w:t>42.74</w:t>
            </w:r>
          </w:p>
        </w:tc>
        <w:tc>
          <w:tcPr>
            <w:tcW w:w="1770" w:type="dxa"/>
            <w:tcBorders>
              <w:top w:val="nil"/>
              <w:left w:val="nil"/>
              <w:bottom w:val="nil"/>
              <w:right w:val="nil"/>
            </w:tcBorders>
            <w:shd w:val="clear" w:color="auto" w:fill="auto"/>
            <w:vAlign w:val="bottom"/>
          </w:tcPr>
          <w:p w14:paraId="2B83BBF2" w14:textId="77777777" w:rsidR="00D475B6" w:rsidRDefault="00F34475">
            <w:pPr>
              <w:spacing w:after="0" w:line="240" w:lineRule="auto"/>
              <w:jc w:val="right"/>
              <w:rPr>
                <w:color w:val="000000"/>
                <w:sz w:val="24"/>
                <w:szCs w:val="24"/>
              </w:rPr>
            </w:pPr>
            <w:r>
              <w:rPr>
                <w:color w:val="000000"/>
                <w:sz w:val="24"/>
                <w:szCs w:val="24"/>
              </w:rPr>
              <w:t>44.64</w:t>
            </w:r>
          </w:p>
        </w:tc>
        <w:tc>
          <w:tcPr>
            <w:tcW w:w="1623" w:type="dxa"/>
            <w:tcBorders>
              <w:top w:val="nil"/>
              <w:left w:val="nil"/>
              <w:bottom w:val="nil"/>
              <w:right w:val="nil"/>
            </w:tcBorders>
            <w:shd w:val="clear" w:color="auto" w:fill="auto"/>
            <w:vAlign w:val="bottom"/>
          </w:tcPr>
          <w:p w14:paraId="2B83BBF3" w14:textId="77777777" w:rsidR="00D475B6" w:rsidRDefault="00F34475">
            <w:pPr>
              <w:spacing w:after="0" w:line="240" w:lineRule="auto"/>
              <w:jc w:val="right"/>
              <w:rPr>
                <w:color w:val="000000"/>
                <w:sz w:val="24"/>
                <w:szCs w:val="24"/>
              </w:rPr>
            </w:pPr>
            <w:r>
              <w:rPr>
                <w:color w:val="000000"/>
                <w:sz w:val="24"/>
                <w:szCs w:val="24"/>
              </w:rPr>
              <w:t>46.87</w:t>
            </w:r>
          </w:p>
        </w:tc>
      </w:tr>
      <w:tr w:rsidR="00D475B6" w14:paraId="2B83BBFA" w14:textId="77777777">
        <w:trPr>
          <w:trHeight w:val="315"/>
        </w:trPr>
        <w:tc>
          <w:tcPr>
            <w:tcW w:w="2175" w:type="dxa"/>
            <w:tcBorders>
              <w:top w:val="nil"/>
              <w:left w:val="nil"/>
              <w:bottom w:val="single" w:sz="4" w:space="0" w:color="000000"/>
              <w:right w:val="nil"/>
            </w:tcBorders>
            <w:shd w:val="clear" w:color="auto" w:fill="auto"/>
            <w:vAlign w:val="center"/>
          </w:tcPr>
          <w:p w14:paraId="2B83BBF5" w14:textId="77777777" w:rsidR="00D475B6" w:rsidRDefault="00F34475">
            <w:pPr>
              <w:spacing w:after="0" w:line="240" w:lineRule="auto"/>
              <w:rPr>
                <w:color w:val="000000"/>
                <w:sz w:val="24"/>
                <w:szCs w:val="24"/>
              </w:rPr>
            </w:pPr>
            <w:r>
              <w:rPr>
                <w:color w:val="000000"/>
                <w:sz w:val="24"/>
                <w:szCs w:val="24"/>
              </w:rPr>
              <w:t>Set 3 signs</w:t>
            </w:r>
          </w:p>
        </w:tc>
        <w:tc>
          <w:tcPr>
            <w:tcW w:w="900" w:type="dxa"/>
            <w:tcBorders>
              <w:top w:val="nil"/>
              <w:left w:val="nil"/>
              <w:bottom w:val="single" w:sz="4" w:space="0" w:color="000000"/>
              <w:right w:val="nil"/>
            </w:tcBorders>
            <w:shd w:val="clear" w:color="auto" w:fill="auto"/>
            <w:vAlign w:val="center"/>
          </w:tcPr>
          <w:p w14:paraId="2B83BBF6" w14:textId="77777777" w:rsidR="00D475B6" w:rsidRDefault="00F34475">
            <w:pPr>
              <w:spacing w:after="0" w:line="240" w:lineRule="auto"/>
              <w:rPr>
                <w:color w:val="000000"/>
                <w:sz w:val="24"/>
                <w:szCs w:val="24"/>
              </w:rPr>
            </w:pPr>
            <w:r>
              <w:rPr>
                <w:color w:val="000000"/>
                <w:sz w:val="24"/>
                <w:szCs w:val="24"/>
              </w:rPr>
              <w:t>SD</w:t>
            </w:r>
          </w:p>
        </w:tc>
        <w:tc>
          <w:tcPr>
            <w:tcW w:w="1635" w:type="dxa"/>
            <w:tcBorders>
              <w:top w:val="nil"/>
              <w:left w:val="nil"/>
              <w:bottom w:val="single" w:sz="4" w:space="0" w:color="000000"/>
              <w:right w:val="nil"/>
            </w:tcBorders>
            <w:shd w:val="clear" w:color="auto" w:fill="auto"/>
            <w:vAlign w:val="bottom"/>
          </w:tcPr>
          <w:p w14:paraId="2B83BBF7" w14:textId="77777777" w:rsidR="00D475B6" w:rsidRDefault="00F34475">
            <w:pPr>
              <w:spacing w:after="0" w:line="240" w:lineRule="auto"/>
              <w:jc w:val="right"/>
              <w:rPr>
                <w:color w:val="000000"/>
                <w:sz w:val="24"/>
                <w:szCs w:val="24"/>
              </w:rPr>
            </w:pPr>
            <w:r>
              <w:rPr>
                <w:color w:val="000000"/>
                <w:sz w:val="24"/>
                <w:szCs w:val="24"/>
              </w:rPr>
              <w:t>22.40</w:t>
            </w:r>
          </w:p>
        </w:tc>
        <w:tc>
          <w:tcPr>
            <w:tcW w:w="1770" w:type="dxa"/>
            <w:tcBorders>
              <w:top w:val="nil"/>
              <w:left w:val="nil"/>
              <w:bottom w:val="single" w:sz="4" w:space="0" w:color="000000"/>
              <w:right w:val="nil"/>
            </w:tcBorders>
            <w:shd w:val="clear" w:color="auto" w:fill="auto"/>
            <w:vAlign w:val="bottom"/>
          </w:tcPr>
          <w:p w14:paraId="2B83BBF8" w14:textId="77777777" w:rsidR="00D475B6" w:rsidRDefault="00F34475">
            <w:pPr>
              <w:spacing w:after="0" w:line="240" w:lineRule="auto"/>
              <w:jc w:val="right"/>
              <w:rPr>
                <w:color w:val="000000"/>
                <w:sz w:val="24"/>
                <w:szCs w:val="24"/>
              </w:rPr>
            </w:pPr>
            <w:r>
              <w:rPr>
                <w:color w:val="000000"/>
                <w:sz w:val="24"/>
                <w:szCs w:val="24"/>
              </w:rPr>
              <w:t>16.20</w:t>
            </w:r>
          </w:p>
        </w:tc>
        <w:tc>
          <w:tcPr>
            <w:tcW w:w="1623" w:type="dxa"/>
            <w:tcBorders>
              <w:top w:val="nil"/>
              <w:left w:val="nil"/>
              <w:bottom w:val="single" w:sz="4" w:space="0" w:color="000000"/>
              <w:right w:val="nil"/>
            </w:tcBorders>
            <w:shd w:val="clear" w:color="auto" w:fill="auto"/>
            <w:vAlign w:val="bottom"/>
          </w:tcPr>
          <w:p w14:paraId="2B83BBF9" w14:textId="77777777" w:rsidR="00D475B6" w:rsidRDefault="00F34475">
            <w:pPr>
              <w:spacing w:after="0" w:line="240" w:lineRule="auto"/>
              <w:jc w:val="right"/>
              <w:rPr>
                <w:color w:val="000000"/>
                <w:sz w:val="24"/>
                <w:szCs w:val="24"/>
              </w:rPr>
            </w:pPr>
            <w:r>
              <w:rPr>
                <w:color w:val="000000"/>
                <w:sz w:val="24"/>
                <w:szCs w:val="24"/>
              </w:rPr>
              <w:t>19.81</w:t>
            </w:r>
          </w:p>
        </w:tc>
      </w:tr>
      <w:tr w:rsidR="00D475B6" w14:paraId="2B83BC00" w14:textId="77777777">
        <w:trPr>
          <w:trHeight w:val="315"/>
        </w:trPr>
        <w:tc>
          <w:tcPr>
            <w:tcW w:w="2175" w:type="dxa"/>
            <w:tcBorders>
              <w:top w:val="nil"/>
              <w:left w:val="nil"/>
              <w:bottom w:val="nil"/>
              <w:right w:val="nil"/>
            </w:tcBorders>
            <w:shd w:val="clear" w:color="auto" w:fill="auto"/>
            <w:vAlign w:val="center"/>
          </w:tcPr>
          <w:p w14:paraId="2B83BBFB" w14:textId="77777777" w:rsidR="00D475B6" w:rsidRDefault="00F34475">
            <w:pPr>
              <w:spacing w:after="0" w:line="240" w:lineRule="auto"/>
              <w:rPr>
                <w:color w:val="000000"/>
                <w:sz w:val="24"/>
                <w:szCs w:val="24"/>
              </w:rPr>
            </w:pPr>
            <w:r>
              <w:rPr>
                <w:color w:val="000000"/>
                <w:sz w:val="24"/>
                <w:szCs w:val="24"/>
              </w:rPr>
              <w:lastRenderedPageBreak/>
              <w:t>Accuracy rate (%)</w:t>
            </w:r>
          </w:p>
        </w:tc>
        <w:tc>
          <w:tcPr>
            <w:tcW w:w="900" w:type="dxa"/>
            <w:tcBorders>
              <w:top w:val="nil"/>
              <w:left w:val="nil"/>
              <w:bottom w:val="nil"/>
              <w:right w:val="nil"/>
            </w:tcBorders>
            <w:shd w:val="clear" w:color="auto" w:fill="auto"/>
            <w:vAlign w:val="center"/>
          </w:tcPr>
          <w:p w14:paraId="2B83BBFC" w14:textId="77777777" w:rsidR="00D475B6" w:rsidRDefault="00F34475">
            <w:pPr>
              <w:spacing w:after="0" w:line="240" w:lineRule="auto"/>
              <w:rPr>
                <w:color w:val="000000"/>
                <w:sz w:val="24"/>
                <w:szCs w:val="24"/>
              </w:rPr>
            </w:pPr>
            <w:r>
              <w:rPr>
                <w:color w:val="000000"/>
                <w:sz w:val="24"/>
                <w:szCs w:val="24"/>
              </w:rPr>
              <w:t>Mean</w:t>
            </w:r>
          </w:p>
        </w:tc>
        <w:tc>
          <w:tcPr>
            <w:tcW w:w="1635" w:type="dxa"/>
            <w:tcBorders>
              <w:top w:val="nil"/>
              <w:left w:val="nil"/>
              <w:bottom w:val="nil"/>
              <w:right w:val="nil"/>
            </w:tcBorders>
            <w:shd w:val="clear" w:color="auto" w:fill="auto"/>
            <w:vAlign w:val="bottom"/>
          </w:tcPr>
          <w:p w14:paraId="2B83BBFD" w14:textId="77777777" w:rsidR="00D475B6" w:rsidRDefault="00F34475">
            <w:pPr>
              <w:spacing w:after="0" w:line="240" w:lineRule="auto"/>
              <w:jc w:val="right"/>
              <w:rPr>
                <w:color w:val="000000"/>
                <w:sz w:val="24"/>
                <w:szCs w:val="24"/>
              </w:rPr>
            </w:pPr>
            <w:r>
              <w:rPr>
                <w:color w:val="000000"/>
                <w:sz w:val="24"/>
                <w:szCs w:val="24"/>
              </w:rPr>
              <w:t>40.63</w:t>
            </w:r>
          </w:p>
        </w:tc>
        <w:tc>
          <w:tcPr>
            <w:tcW w:w="1770" w:type="dxa"/>
            <w:tcBorders>
              <w:top w:val="nil"/>
              <w:left w:val="nil"/>
              <w:bottom w:val="nil"/>
              <w:right w:val="nil"/>
            </w:tcBorders>
            <w:shd w:val="clear" w:color="auto" w:fill="auto"/>
            <w:vAlign w:val="bottom"/>
          </w:tcPr>
          <w:p w14:paraId="2B83BBFE" w14:textId="77777777" w:rsidR="00D475B6" w:rsidRDefault="00F34475">
            <w:pPr>
              <w:spacing w:after="0" w:line="240" w:lineRule="auto"/>
              <w:jc w:val="right"/>
              <w:rPr>
                <w:color w:val="000000"/>
                <w:sz w:val="24"/>
                <w:szCs w:val="24"/>
              </w:rPr>
            </w:pPr>
            <w:r>
              <w:rPr>
                <w:color w:val="000000"/>
                <w:sz w:val="24"/>
                <w:szCs w:val="24"/>
              </w:rPr>
              <w:t>44.55</w:t>
            </w:r>
          </w:p>
        </w:tc>
        <w:tc>
          <w:tcPr>
            <w:tcW w:w="1623" w:type="dxa"/>
            <w:tcBorders>
              <w:top w:val="nil"/>
              <w:left w:val="nil"/>
              <w:bottom w:val="nil"/>
              <w:right w:val="nil"/>
            </w:tcBorders>
            <w:shd w:val="clear" w:color="auto" w:fill="auto"/>
            <w:vAlign w:val="bottom"/>
          </w:tcPr>
          <w:p w14:paraId="2B83BBFF" w14:textId="77777777" w:rsidR="00D475B6" w:rsidRDefault="00F34475">
            <w:pPr>
              <w:spacing w:after="0" w:line="240" w:lineRule="auto"/>
              <w:jc w:val="right"/>
              <w:rPr>
                <w:color w:val="000000"/>
                <w:sz w:val="24"/>
                <w:szCs w:val="24"/>
              </w:rPr>
            </w:pPr>
            <w:r>
              <w:rPr>
                <w:color w:val="000000"/>
                <w:sz w:val="24"/>
                <w:szCs w:val="24"/>
              </w:rPr>
              <w:t>47.12</w:t>
            </w:r>
          </w:p>
        </w:tc>
      </w:tr>
      <w:tr w:rsidR="00D475B6" w14:paraId="2B83BC06" w14:textId="77777777">
        <w:trPr>
          <w:trHeight w:val="315"/>
        </w:trPr>
        <w:tc>
          <w:tcPr>
            <w:tcW w:w="2175" w:type="dxa"/>
            <w:tcBorders>
              <w:top w:val="nil"/>
              <w:left w:val="nil"/>
              <w:bottom w:val="single" w:sz="4" w:space="0" w:color="000000"/>
              <w:right w:val="nil"/>
            </w:tcBorders>
            <w:shd w:val="clear" w:color="auto" w:fill="auto"/>
            <w:vAlign w:val="center"/>
          </w:tcPr>
          <w:p w14:paraId="2B83BC01" w14:textId="77777777" w:rsidR="00D475B6" w:rsidRDefault="00F34475">
            <w:pPr>
              <w:spacing w:after="0" w:line="240" w:lineRule="auto"/>
              <w:rPr>
                <w:color w:val="000000"/>
                <w:sz w:val="24"/>
                <w:szCs w:val="24"/>
              </w:rPr>
            </w:pPr>
            <w:r>
              <w:rPr>
                <w:color w:val="000000"/>
                <w:sz w:val="24"/>
                <w:szCs w:val="24"/>
              </w:rPr>
              <w:t>Set 4 signs</w:t>
            </w:r>
          </w:p>
        </w:tc>
        <w:tc>
          <w:tcPr>
            <w:tcW w:w="900" w:type="dxa"/>
            <w:tcBorders>
              <w:top w:val="nil"/>
              <w:left w:val="nil"/>
              <w:bottom w:val="single" w:sz="4" w:space="0" w:color="000000"/>
              <w:right w:val="nil"/>
            </w:tcBorders>
            <w:shd w:val="clear" w:color="auto" w:fill="auto"/>
            <w:vAlign w:val="center"/>
          </w:tcPr>
          <w:p w14:paraId="2B83BC02" w14:textId="77777777" w:rsidR="00D475B6" w:rsidRDefault="00F34475">
            <w:pPr>
              <w:spacing w:after="0" w:line="240" w:lineRule="auto"/>
              <w:rPr>
                <w:color w:val="000000"/>
                <w:sz w:val="24"/>
                <w:szCs w:val="24"/>
              </w:rPr>
            </w:pPr>
            <w:r>
              <w:rPr>
                <w:color w:val="000000"/>
                <w:sz w:val="24"/>
                <w:szCs w:val="24"/>
              </w:rPr>
              <w:t>SD</w:t>
            </w:r>
          </w:p>
        </w:tc>
        <w:tc>
          <w:tcPr>
            <w:tcW w:w="1635" w:type="dxa"/>
            <w:tcBorders>
              <w:top w:val="nil"/>
              <w:left w:val="nil"/>
              <w:bottom w:val="single" w:sz="4" w:space="0" w:color="000000"/>
              <w:right w:val="nil"/>
            </w:tcBorders>
            <w:shd w:val="clear" w:color="auto" w:fill="auto"/>
            <w:vAlign w:val="bottom"/>
          </w:tcPr>
          <w:p w14:paraId="2B83BC03" w14:textId="77777777" w:rsidR="00D475B6" w:rsidRDefault="00F34475">
            <w:pPr>
              <w:spacing w:after="0" w:line="240" w:lineRule="auto"/>
              <w:jc w:val="right"/>
              <w:rPr>
                <w:color w:val="000000"/>
                <w:sz w:val="24"/>
                <w:szCs w:val="24"/>
              </w:rPr>
            </w:pPr>
            <w:r>
              <w:rPr>
                <w:color w:val="000000"/>
                <w:sz w:val="24"/>
                <w:szCs w:val="24"/>
              </w:rPr>
              <w:t>19.63</w:t>
            </w:r>
          </w:p>
        </w:tc>
        <w:tc>
          <w:tcPr>
            <w:tcW w:w="1770" w:type="dxa"/>
            <w:tcBorders>
              <w:top w:val="nil"/>
              <w:left w:val="nil"/>
              <w:bottom w:val="single" w:sz="4" w:space="0" w:color="000000"/>
              <w:right w:val="nil"/>
            </w:tcBorders>
            <w:shd w:val="clear" w:color="auto" w:fill="auto"/>
            <w:vAlign w:val="bottom"/>
          </w:tcPr>
          <w:p w14:paraId="2B83BC04" w14:textId="77777777" w:rsidR="00D475B6" w:rsidRDefault="00F34475">
            <w:pPr>
              <w:spacing w:after="0" w:line="240" w:lineRule="auto"/>
              <w:jc w:val="right"/>
              <w:rPr>
                <w:color w:val="000000"/>
                <w:sz w:val="24"/>
                <w:szCs w:val="24"/>
              </w:rPr>
            </w:pPr>
            <w:r>
              <w:rPr>
                <w:color w:val="000000"/>
                <w:sz w:val="24"/>
                <w:szCs w:val="24"/>
              </w:rPr>
              <w:t>16.15</w:t>
            </w:r>
          </w:p>
        </w:tc>
        <w:tc>
          <w:tcPr>
            <w:tcW w:w="1623" w:type="dxa"/>
            <w:tcBorders>
              <w:top w:val="nil"/>
              <w:left w:val="nil"/>
              <w:bottom w:val="single" w:sz="4" w:space="0" w:color="000000"/>
              <w:right w:val="nil"/>
            </w:tcBorders>
            <w:shd w:val="clear" w:color="auto" w:fill="auto"/>
            <w:vAlign w:val="bottom"/>
          </w:tcPr>
          <w:p w14:paraId="2B83BC05" w14:textId="77777777" w:rsidR="00D475B6" w:rsidRDefault="00F34475">
            <w:pPr>
              <w:spacing w:after="0" w:line="240" w:lineRule="auto"/>
              <w:jc w:val="right"/>
              <w:rPr>
                <w:color w:val="000000"/>
                <w:sz w:val="24"/>
                <w:szCs w:val="24"/>
              </w:rPr>
            </w:pPr>
            <w:r>
              <w:rPr>
                <w:color w:val="000000"/>
                <w:sz w:val="24"/>
                <w:szCs w:val="24"/>
              </w:rPr>
              <w:t>19.87</w:t>
            </w:r>
          </w:p>
        </w:tc>
      </w:tr>
    </w:tbl>
    <w:p w14:paraId="2B83BC07" w14:textId="13B45514" w:rsidR="00D475B6" w:rsidRDefault="00E4A2E8" w:rsidP="38A5A85B">
      <w:pPr>
        <w:rPr>
          <w:sz w:val="24"/>
          <w:szCs w:val="24"/>
          <w:highlight w:val="yellow"/>
        </w:rPr>
      </w:pPr>
      <w:r w:rsidRPr="38A5A85B">
        <w:rPr>
          <w:sz w:val="24"/>
          <w:szCs w:val="24"/>
          <w:highlight w:val="yellow"/>
        </w:rPr>
        <w:t>As explained in the text, accurate responses for Sets 1 and 2 were ‘yes’ and for Sets 3 and 4 were ‘no’.</w:t>
      </w:r>
    </w:p>
    <w:p w14:paraId="2D0625FF" w14:textId="6DE21667" w:rsidR="38A5A85B" w:rsidRDefault="38A5A85B" w:rsidP="38A5A85B">
      <w:pPr>
        <w:rPr>
          <w:sz w:val="24"/>
          <w:szCs w:val="24"/>
        </w:rPr>
      </w:pPr>
    </w:p>
    <w:p w14:paraId="2B83BC08" w14:textId="77777777" w:rsidR="00D475B6" w:rsidRDefault="00F34475">
      <w:pPr>
        <w:pBdr>
          <w:top w:val="nil"/>
          <w:left w:val="nil"/>
          <w:bottom w:val="nil"/>
          <w:right w:val="nil"/>
          <w:between w:val="nil"/>
        </w:pBdr>
        <w:shd w:val="clear" w:color="auto" w:fill="FFFFFF"/>
        <w:spacing w:after="0" w:line="360" w:lineRule="auto"/>
        <w:rPr>
          <w:color w:val="000000"/>
          <w:sz w:val="24"/>
          <w:szCs w:val="24"/>
        </w:rPr>
      </w:pPr>
      <w:r>
        <w:rPr>
          <w:color w:val="000000"/>
          <w:sz w:val="24"/>
          <w:szCs w:val="24"/>
        </w:rPr>
        <w:t xml:space="preserve">Tables 4, 5, 6 and 7 present the inferential statistics based on linear mixed effects models. Table 4 presents the effect of overall exposure on accuracy. Table 5 presents the effect of number exposures (1x versus 2x) on accuracy. Table 6 presents the effects of Set on accuracy in the 0x control group. Table 7 presents the effects of Set on accuracy in the two exposure groups. Based on Tables 4 and 5, accuracy did not differ by exposure group. As a result, subsequent analyses did not differentiate between 1x and 2x exposure groups. However, the different sign sets yielded different accuracy rates. Whilst there were no accuracy differences between sets 2 and sets 1 (target signs), accuracy in sets 3 and 4s was lower than in set 1 (target signs). This effect applied across all exposure groups. </w:t>
      </w:r>
    </w:p>
    <w:p w14:paraId="2B83BC09" w14:textId="77777777" w:rsidR="00D475B6" w:rsidRDefault="00D475B6">
      <w:pPr>
        <w:pBdr>
          <w:top w:val="nil"/>
          <w:left w:val="nil"/>
          <w:bottom w:val="nil"/>
          <w:right w:val="nil"/>
          <w:between w:val="nil"/>
        </w:pBdr>
        <w:shd w:val="clear" w:color="auto" w:fill="FFFFFF"/>
        <w:spacing w:after="0" w:line="360" w:lineRule="auto"/>
        <w:rPr>
          <w:color w:val="000000"/>
          <w:sz w:val="24"/>
          <w:szCs w:val="24"/>
        </w:rPr>
      </w:pPr>
    </w:p>
    <w:p w14:paraId="2B83BC0A" w14:textId="77777777" w:rsidR="00D475B6" w:rsidRDefault="00F34475">
      <w:pPr>
        <w:pBdr>
          <w:top w:val="nil"/>
          <w:left w:val="nil"/>
          <w:bottom w:val="nil"/>
          <w:right w:val="nil"/>
          <w:between w:val="nil"/>
        </w:pBdr>
        <w:shd w:val="clear" w:color="auto" w:fill="FFFFFF"/>
        <w:spacing w:after="0" w:line="360" w:lineRule="auto"/>
        <w:rPr>
          <w:color w:val="000000"/>
          <w:sz w:val="24"/>
          <w:szCs w:val="24"/>
          <w:highlight w:val="white"/>
        </w:rPr>
      </w:pPr>
      <w:r>
        <w:rPr>
          <w:color w:val="000000"/>
          <w:sz w:val="24"/>
          <w:szCs w:val="24"/>
          <w:highlight w:val="white"/>
        </w:rPr>
        <w:t xml:space="preserve">Additional analyses were conducted to explore the predictors of Accuracy in Set 1 items. No significant </w:t>
      </w:r>
      <w:r>
        <w:rPr>
          <w:sz w:val="24"/>
          <w:szCs w:val="24"/>
          <w:highlight w:val="white"/>
        </w:rPr>
        <w:t>effects of</w:t>
      </w:r>
      <w:r>
        <w:rPr>
          <w:color w:val="000000"/>
          <w:sz w:val="24"/>
          <w:szCs w:val="24"/>
          <w:highlight w:val="white"/>
        </w:rPr>
        <w:t xml:space="preserve"> input-related factors</w:t>
      </w:r>
      <w:r>
        <w:rPr>
          <w:sz w:val="24"/>
          <w:szCs w:val="24"/>
          <w:highlight w:val="white"/>
        </w:rPr>
        <w:t xml:space="preserve">, such as </w:t>
      </w:r>
      <w:r>
        <w:rPr>
          <w:color w:val="000000"/>
          <w:sz w:val="24"/>
          <w:szCs w:val="24"/>
          <w:highlight w:val="white"/>
        </w:rPr>
        <w:t>frequency</w:t>
      </w:r>
      <w:r>
        <w:rPr>
          <w:sz w:val="24"/>
          <w:szCs w:val="24"/>
          <w:highlight w:val="white"/>
        </w:rPr>
        <w:t xml:space="preserve"> or</w:t>
      </w:r>
      <w:r>
        <w:rPr>
          <w:color w:val="000000"/>
          <w:sz w:val="24"/>
          <w:szCs w:val="24"/>
          <w:highlight w:val="white"/>
        </w:rPr>
        <w:t xml:space="preserve"> iconicity (p-values &gt; 0.05)</w:t>
      </w:r>
      <w:r>
        <w:rPr>
          <w:sz w:val="24"/>
          <w:szCs w:val="24"/>
          <w:highlight w:val="white"/>
        </w:rPr>
        <w:t>,</w:t>
      </w:r>
      <w:r>
        <w:rPr>
          <w:color w:val="000000"/>
          <w:sz w:val="24"/>
          <w:szCs w:val="24"/>
          <w:highlight w:val="white"/>
        </w:rPr>
        <w:t xml:space="preserve"> or correlations wi</w:t>
      </w:r>
      <w:r>
        <w:rPr>
          <w:sz w:val="24"/>
          <w:szCs w:val="24"/>
          <w:highlight w:val="white"/>
        </w:rPr>
        <w:t xml:space="preserve">th </w:t>
      </w:r>
      <w:r>
        <w:rPr>
          <w:color w:val="000000"/>
          <w:sz w:val="24"/>
          <w:szCs w:val="24"/>
          <w:highlight w:val="white"/>
        </w:rPr>
        <w:t xml:space="preserve">individual differences (age, education, non-verbal </w:t>
      </w:r>
      <w:r>
        <w:rPr>
          <w:color w:val="000000"/>
          <w:sz w:val="24"/>
          <w:szCs w:val="24"/>
        </w:rPr>
        <w:t>reasoning ability</w:t>
      </w:r>
      <w:r>
        <w:rPr>
          <w:color w:val="000000"/>
          <w:sz w:val="24"/>
          <w:szCs w:val="24"/>
          <w:highlight w:val="white"/>
        </w:rPr>
        <w:t>, English vocabulary, number of languages known) were observed (</w:t>
      </w:r>
      <w:r>
        <w:rPr>
          <w:sz w:val="24"/>
          <w:szCs w:val="24"/>
          <w:highlight w:val="white"/>
        </w:rPr>
        <w:t xml:space="preserve">all </w:t>
      </w:r>
      <w:proofErr w:type="spellStart"/>
      <w:r>
        <w:rPr>
          <w:sz w:val="24"/>
          <w:szCs w:val="24"/>
          <w:highlight w:val="white"/>
        </w:rPr>
        <w:t>r</w:t>
      </w:r>
      <w:r>
        <w:rPr>
          <w:color w:val="000000"/>
          <w:sz w:val="24"/>
          <w:szCs w:val="24"/>
          <w:highlight w:val="white"/>
        </w:rPr>
        <w:t>-val</w:t>
      </w:r>
      <w:r>
        <w:rPr>
          <w:sz w:val="24"/>
          <w:szCs w:val="24"/>
          <w:highlight w:val="white"/>
        </w:rPr>
        <w:t>ues</w:t>
      </w:r>
      <w:proofErr w:type="spellEnd"/>
      <w:r>
        <w:rPr>
          <w:sz w:val="24"/>
          <w:szCs w:val="24"/>
          <w:highlight w:val="white"/>
        </w:rPr>
        <w:t xml:space="preserve"> &lt; .10</w:t>
      </w:r>
      <w:r>
        <w:rPr>
          <w:color w:val="000000"/>
          <w:sz w:val="24"/>
          <w:szCs w:val="24"/>
          <w:highlight w:val="white"/>
        </w:rPr>
        <w:t>).</w:t>
      </w:r>
    </w:p>
    <w:p w14:paraId="2B83BC0B" w14:textId="77777777" w:rsidR="00D475B6" w:rsidRDefault="00D475B6" w:rsidP="519F8C63">
      <w:pPr>
        <w:pBdr>
          <w:top w:val="nil"/>
          <w:left w:val="nil"/>
          <w:bottom w:val="nil"/>
          <w:right w:val="nil"/>
          <w:between w:val="nil"/>
        </w:pBdr>
        <w:shd w:val="clear" w:color="auto" w:fill="FFFFFF" w:themeFill="background1"/>
        <w:spacing w:after="0" w:line="360" w:lineRule="auto"/>
        <w:rPr>
          <w:color w:val="000000"/>
          <w:sz w:val="24"/>
          <w:szCs w:val="24"/>
        </w:rPr>
      </w:pPr>
    </w:p>
    <w:p w14:paraId="2B83BC0C" w14:textId="77777777" w:rsidR="00D475B6" w:rsidRDefault="00F34475" w:rsidP="519F8C63">
      <w:pPr>
        <w:keepNext/>
        <w:pBdr>
          <w:top w:val="nil"/>
          <w:left w:val="nil"/>
          <w:bottom w:val="nil"/>
          <w:right w:val="nil"/>
          <w:between w:val="nil"/>
        </w:pBdr>
        <w:spacing w:line="240" w:lineRule="auto"/>
        <w:rPr>
          <w:b/>
          <w:bCs/>
          <w:smallCaps/>
          <w:color w:val="44546A"/>
          <w:sz w:val="24"/>
          <w:szCs w:val="24"/>
        </w:rPr>
      </w:pPr>
      <w:r w:rsidRPr="519F8C63">
        <w:rPr>
          <w:b/>
          <w:bCs/>
          <w:smallCaps/>
          <w:color w:val="445369"/>
          <w:sz w:val="24"/>
          <w:szCs w:val="24"/>
        </w:rPr>
        <w:t>Table 4 Model output accuracy: effect of Exposure (0x versus 1x/2x)</w:t>
      </w:r>
    </w:p>
    <w:tbl>
      <w:tblPr>
        <w:tblStyle w:val="a2"/>
        <w:tblW w:w="7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992"/>
        <w:gridCol w:w="993"/>
        <w:gridCol w:w="1134"/>
        <w:gridCol w:w="1570"/>
      </w:tblGrid>
      <w:tr w:rsidR="00D475B6" w14:paraId="2B83BC12" w14:textId="77777777" w:rsidTr="519F8C63">
        <w:tc>
          <w:tcPr>
            <w:tcW w:w="2977" w:type="dxa"/>
          </w:tcPr>
          <w:p w14:paraId="2B83BC0D"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Accuracy</w:t>
            </w:r>
          </w:p>
        </w:tc>
        <w:tc>
          <w:tcPr>
            <w:tcW w:w="992" w:type="dxa"/>
          </w:tcPr>
          <w:p w14:paraId="2B83BC0E" w14:textId="77777777" w:rsidR="00D475B6" w:rsidRDefault="00D475B6" w:rsidP="519F8C63">
            <w:pPr>
              <w:pBdr>
                <w:top w:val="nil"/>
                <w:left w:val="nil"/>
                <w:bottom w:val="nil"/>
                <w:right w:val="nil"/>
                <w:between w:val="nil"/>
              </w:pBdr>
              <w:rPr>
                <w:b/>
                <w:bCs/>
                <w:color w:val="000000"/>
                <w:sz w:val="24"/>
                <w:szCs w:val="24"/>
              </w:rPr>
            </w:pPr>
          </w:p>
        </w:tc>
        <w:tc>
          <w:tcPr>
            <w:tcW w:w="993" w:type="dxa"/>
          </w:tcPr>
          <w:p w14:paraId="2B83BC0F" w14:textId="77777777" w:rsidR="00D475B6" w:rsidRDefault="00D475B6" w:rsidP="519F8C63">
            <w:pPr>
              <w:pBdr>
                <w:top w:val="nil"/>
                <w:left w:val="nil"/>
                <w:bottom w:val="nil"/>
                <w:right w:val="nil"/>
                <w:between w:val="nil"/>
              </w:pBdr>
              <w:rPr>
                <w:b/>
                <w:bCs/>
                <w:color w:val="000000"/>
                <w:sz w:val="24"/>
                <w:szCs w:val="24"/>
              </w:rPr>
            </w:pPr>
          </w:p>
        </w:tc>
        <w:tc>
          <w:tcPr>
            <w:tcW w:w="1134" w:type="dxa"/>
          </w:tcPr>
          <w:p w14:paraId="2B83BC10" w14:textId="77777777" w:rsidR="00D475B6" w:rsidRDefault="00D475B6" w:rsidP="519F8C63">
            <w:pPr>
              <w:pBdr>
                <w:top w:val="nil"/>
                <w:left w:val="nil"/>
                <w:bottom w:val="nil"/>
                <w:right w:val="nil"/>
                <w:between w:val="nil"/>
              </w:pBdr>
              <w:rPr>
                <w:b/>
                <w:bCs/>
                <w:color w:val="000000"/>
                <w:sz w:val="24"/>
                <w:szCs w:val="24"/>
              </w:rPr>
            </w:pPr>
          </w:p>
        </w:tc>
        <w:tc>
          <w:tcPr>
            <w:tcW w:w="1570" w:type="dxa"/>
          </w:tcPr>
          <w:p w14:paraId="2B83BC11" w14:textId="77777777" w:rsidR="00D475B6" w:rsidRDefault="00D475B6" w:rsidP="519F8C63">
            <w:pPr>
              <w:pBdr>
                <w:top w:val="nil"/>
                <w:left w:val="nil"/>
                <w:bottom w:val="nil"/>
                <w:right w:val="nil"/>
                <w:between w:val="nil"/>
              </w:pBdr>
              <w:rPr>
                <w:b/>
                <w:bCs/>
                <w:color w:val="000000"/>
                <w:sz w:val="24"/>
                <w:szCs w:val="24"/>
              </w:rPr>
            </w:pPr>
          </w:p>
        </w:tc>
      </w:tr>
      <w:tr w:rsidR="00D475B6" w14:paraId="2B83BC18" w14:textId="77777777" w:rsidTr="519F8C63">
        <w:tc>
          <w:tcPr>
            <w:tcW w:w="2977" w:type="dxa"/>
          </w:tcPr>
          <w:p w14:paraId="2B83BC13"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Predictors</w:t>
            </w:r>
          </w:p>
        </w:tc>
        <w:tc>
          <w:tcPr>
            <w:tcW w:w="992" w:type="dxa"/>
          </w:tcPr>
          <w:p w14:paraId="2B83BC14"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β</w:t>
            </w:r>
          </w:p>
        </w:tc>
        <w:tc>
          <w:tcPr>
            <w:tcW w:w="993" w:type="dxa"/>
          </w:tcPr>
          <w:p w14:paraId="2B83BC15"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SE</w:t>
            </w:r>
          </w:p>
        </w:tc>
        <w:tc>
          <w:tcPr>
            <w:tcW w:w="1134" w:type="dxa"/>
          </w:tcPr>
          <w:p w14:paraId="2B83BC16"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Z</w:t>
            </w:r>
          </w:p>
        </w:tc>
        <w:tc>
          <w:tcPr>
            <w:tcW w:w="1570" w:type="dxa"/>
          </w:tcPr>
          <w:p w14:paraId="2B83BC17"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p-value</w:t>
            </w:r>
          </w:p>
        </w:tc>
      </w:tr>
      <w:tr w:rsidR="00D475B6" w14:paraId="2B83BC1E" w14:textId="77777777" w:rsidTr="519F8C63">
        <w:tc>
          <w:tcPr>
            <w:tcW w:w="2977" w:type="dxa"/>
          </w:tcPr>
          <w:p w14:paraId="2B83BC19"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Intercept (0x group)</w:t>
            </w:r>
          </w:p>
        </w:tc>
        <w:tc>
          <w:tcPr>
            <w:tcW w:w="992" w:type="dxa"/>
          </w:tcPr>
          <w:p w14:paraId="2B83BC1A"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0.04</w:t>
            </w:r>
          </w:p>
        </w:tc>
        <w:tc>
          <w:tcPr>
            <w:tcW w:w="993" w:type="dxa"/>
          </w:tcPr>
          <w:p w14:paraId="2B83BC1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0.07</w:t>
            </w:r>
          </w:p>
        </w:tc>
        <w:tc>
          <w:tcPr>
            <w:tcW w:w="1134" w:type="dxa"/>
          </w:tcPr>
          <w:p w14:paraId="2B83BC1C"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0.67</w:t>
            </w:r>
          </w:p>
        </w:tc>
        <w:tc>
          <w:tcPr>
            <w:tcW w:w="1570" w:type="dxa"/>
          </w:tcPr>
          <w:p w14:paraId="2B83BC1D" w14:textId="77777777" w:rsidR="00D475B6" w:rsidRDefault="00F34475" w:rsidP="38A5A85B">
            <w:pPr>
              <w:rPr>
                <w:color w:val="000000"/>
                <w:sz w:val="24"/>
                <w:szCs w:val="24"/>
              </w:rPr>
            </w:pPr>
            <w:r w:rsidRPr="519F8C63">
              <w:rPr>
                <w:color w:val="000000" w:themeColor="text1"/>
                <w:sz w:val="24"/>
                <w:szCs w:val="24"/>
              </w:rPr>
              <w:t>0.50</w:t>
            </w:r>
          </w:p>
        </w:tc>
      </w:tr>
      <w:tr w:rsidR="00D475B6" w14:paraId="2B83BC24" w14:textId="77777777" w:rsidTr="519F8C63">
        <w:tc>
          <w:tcPr>
            <w:tcW w:w="2977" w:type="dxa"/>
          </w:tcPr>
          <w:p w14:paraId="2B83BC1F"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Exposure (1x/2x groups)</w:t>
            </w:r>
          </w:p>
        </w:tc>
        <w:tc>
          <w:tcPr>
            <w:tcW w:w="992" w:type="dxa"/>
          </w:tcPr>
          <w:p w14:paraId="2B83BC20"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0.01</w:t>
            </w:r>
          </w:p>
        </w:tc>
        <w:tc>
          <w:tcPr>
            <w:tcW w:w="993" w:type="dxa"/>
          </w:tcPr>
          <w:p w14:paraId="2B83BC21"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0.03</w:t>
            </w:r>
          </w:p>
        </w:tc>
        <w:tc>
          <w:tcPr>
            <w:tcW w:w="1134" w:type="dxa"/>
          </w:tcPr>
          <w:p w14:paraId="2B83BC22"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0.33</w:t>
            </w:r>
          </w:p>
        </w:tc>
        <w:tc>
          <w:tcPr>
            <w:tcW w:w="1570" w:type="dxa"/>
          </w:tcPr>
          <w:p w14:paraId="2B83BC23"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0.74</w:t>
            </w:r>
          </w:p>
        </w:tc>
      </w:tr>
    </w:tbl>
    <w:p w14:paraId="2B83BC26" w14:textId="58595F93" w:rsidR="00D475B6" w:rsidRPr="00D51EBD" w:rsidRDefault="00A753A0" w:rsidP="00D51EBD">
      <w:bookmarkStart w:id="1" w:name="_heading=h.gjdgxs" w:colFirst="0" w:colLast="0"/>
      <w:bookmarkEnd w:id="1"/>
      <w:proofErr w:type="spellStart"/>
      <w:r w:rsidRPr="001663DD">
        <w:rPr>
          <w:sz w:val="24"/>
          <w:szCs w:val="24"/>
        </w:rPr>
        <w:t>glmer</w:t>
      </w:r>
      <w:proofErr w:type="spellEnd"/>
      <w:r w:rsidRPr="001663DD">
        <w:rPr>
          <w:sz w:val="24"/>
          <w:szCs w:val="24"/>
        </w:rPr>
        <w:t xml:space="preserve"> (accuracy ~ exposure+(1|item)+(1|subject),data=Data, family=binomial)</w:t>
      </w:r>
    </w:p>
    <w:p w14:paraId="2B83BC27" w14:textId="77777777" w:rsidR="00D475B6" w:rsidRDefault="00D475B6" w:rsidP="519F8C63">
      <w:pPr>
        <w:pBdr>
          <w:top w:val="nil"/>
          <w:left w:val="nil"/>
          <w:bottom w:val="nil"/>
          <w:right w:val="nil"/>
          <w:between w:val="nil"/>
        </w:pBdr>
        <w:shd w:val="clear" w:color="auto" w:fill="FFFFFF" w:themeFill="background1"/>
        <w:spacing w:after="0" w:line="240" w:lineRule="auto"/>
        <w:rPr>
          <w:color w:val="201F1E"/>
          <w:sz w:val="24"/>
          <w:szCs w:val="24"/>
        </w:rPr>
      </w:pPr>
    </w:p>
    <w:p w14:paraId="2B83BC28" w14:textId="77777777" w:rsidR="00D475B6" w:rsidRDefault="00F34475" w:rsidP="519F8C63">
      <w:pPr>
        <w:keepNext/>
        <w:pBdr>
          <w:top w:val="nil"/>
          <w:left w:val="nil"/>
          <w:bottom w:val="nil"/>
          <w:right w:val="nil"/>
          <w:between w:val="nil"/>
        </w:pBdr>
        <w:spacing w:line="240" w:lineRule="auto"/>
        <w:rPr>
          <w:b/>
          <w:bCs/>
          <w:smallCaps/>
          <w:color w:val="44546A"/>
          <w:sz w:val="24"/>
          <w:szCs w:val="24"/>
        </w:rPr>
      </w:pPr>
      <w:r w:rsidRPr="519F8C63">
        <w:rPr>
          <w:b/>
          <w:bCs/>
          <w:smallCaps/>
          <w:color w:val="445369"/>
          <w:sz w:val="24"/>
          <w:szCs w:val="24"/>
        </w:rPr>
        <w:t>Table 5 Model output accuracy: Effect of Exposure Times (1x versus 2x)</w:t>
      </w:r>
    </w:p>
    <w:tbl>
      <w:tblPr>
        <w:tblStyle w:val="a3"/>
        <w:tblW w:w="7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992"/>
        <w:gridCol w:w="993"/>
        <w:gridCol w:w="1134"/>
        <w:gridCol w:w="1570"/>
      </w:tblGrid>
      <w:tr w:rsidR="00D475B6" w14:paraId="2B83BC2E" w14:textId="77777777" w:rsidTr="519F8C63">
        <w:tc>
          <w:tcPr>
            <w:tcW w:w="2977" w:type="dxa"/>
          </w:tcPr>
          <w:p w14:paraId="2B83BC29"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Accuracy</w:t>
            </w:r>
          </w:p>
        </w:tc>
        <w:tc>
          <w:tcPr>
            <w:tcW w:w="992" w:type="dxa"/>
          </w:tcPr>
          <w:p w14:paraId="2B83BC2A" w14:textId="77777777" w:rsidR="00D475B6" w:rsidRDefault="00D475B6" w:rsidP="519F8C63">
            <w:pPr>
              <w:pBdr>
                <w:top w:val="nil"/>
                <w:left w:val="nil"/>
                <w:bottom w:val="nil"/>
                <w:right w:val="nil"/>
                <w:between w:val="nil"/>
              </w:pBdr>
              <w:rPr>
                <w:b/>
                <w:bCs/>
                <w:color w:val="000000"/>
                <w:sz w:val="24"/>
                <w:szCs w:val="24"/>
              </w:rPr>
            </w:pPr>
          </w:p>
        </w:tc>
        <w:tc>
          <w:tcPr>
            <w:tcW w:w="993" w:type="dxa"/>
          </w:tcPr>
          <w:p w14:paraId="2B83BC2B" w14:textId="77777777" w:rsidR="00D475B6" w:rsidRDefault="00D475B6" w:rsidP="519F8C63">
            <w:pPr>
              <w:pBdr>
                <w:top w:val="nil"/>
                <w:left w:val="nil"/>
                <w:bottom w:val="nil"/>
                <w:right w:val="nil"/>
                <w:between w:val="nil"/>
              </w:pBdr>
              <w:rPr>
                <w:b/>
                <w:bCs/>
                <w:color w:val="000000"/>
                <w:sz w:val="24"/>
                <w:szCs w:val="24"/>
              </w:rPr>
            </w:pPr>
          </w:p>
        </w:tc>
        <w:tc>
          <w:tcPr>
            <w:tcW w:w="1134" w:type="dxa"/>
          </w:tcPr>
          <w:p w14:paraId="2B83BC2C" w14:textId="77777777" w:rsidR="00D475B6" w:rsidRDefault="00D475B6" w:rsidP="519F8C63">
            <w:pPr>
              <w:pBdr>
                <w:top w:val="nil"/>
                <w:left w:val="nil"/>
                <w:bottom w:val="nil"/>
                <w:right w:val="nil"/>
                <w:between w:val="nil"/>
              </w:pBdr>
              <w:rPr>
                <w:b/>
                <w:bCs/>
                <w:color w:val="000000"/>
                <w:sz w:val="24"/>
                <w:szCs w:val="24"/>
              </w:rPr>
            </w:pPr>
          </w:p>
        </w:tc>
        <w:tc>
          <w:tcPr>
            <w:tcW w:w="1570" w:type="dxa"/>
          </w:tcPr>
          <w:p w14:paraId="2B83BC2D" w14:textId="77777777" w:rsidR="00D475B6" w:rsidRDefault="00D475B6" w:rsidP="519F8C63">
            <w:pPr>
              <w:pBdr>
                <w:top w:val="nil"/>
                <w:left w:val="nil"/>
                <w:bottom w:val="nil"/>
                <w:right w:val="nil"/>
                <w:between w:val="nil"/>
              </w:pBdr>
              <w:rPr>
                <w:b/>
                <w:bCs/>
                <w:color w:val="000000"/>
                <w:sz w:val="24"/>
                <w:szCs w:val="24"/>
              </w:rPr>
            </w:pPr>
          </w:p>
        </w:tc>
      </w:tr>
      <w:tr w:rsidR="00D475B6" w14:paraId="2B83BC34" w14:textId="77777777" w:rsidTr="519F8C63">
        <w:tc>
          <w:tcPr>
            <w:tcW w:w="2977" w:type="dxa"/>
          </w:tcPr>
          <w:p w14:paraId="2B83BC2F"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Predictors</w:t>
            </w:r>
          </w:p>
        </w:tc>
        <w:tc>
          <w:tcPr>
            <w:tcW w:w="992" w:type="dxa"/>
          </w:tcPr>
          <w:p w14:paraId="2B83BC30"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Β</w:t>
            </w:r>
          </w:p>
        </w:tc>
        <w:tc>
          <w:tcPr>
            <w:tcW w:w="993" w:type="dxa"/>
          </w:tcPr>
          <w:p w14:paraId="2B83BC31"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SE</w:t>
            </w:r>
          </w:p>
        </w:tc>
        <w:tc>
          <w:tcPr>
            <w:tcW w:w="1134" w:type="dxa"/>
          </w:tcPr>
          <w:p w14:paraId="2B83BC32"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Z</w:t>
            </w:r>
          </w:p>
        </w:tc>
        <w:tc>
          <w:tcPr>
            <w:tcW w:w="1570" w:type="dxa"/>
          </w:tcPr>
          <w:p w14:paraId="2B83BC33"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p-value</w:t>
            </w:r>
          </w:p>
        </w:tc>
      </w:tr>
      <w:tr w:rsidR="00D475B6" w14:paraId="2B83BC3A" w14:textId="77777777" w:rsidTr="519F8C63">
        <w:tc>
          <w:tcPr>
            <w:tcW w:w="2977" w:type="dxa"/>
          </w:tcPr>
          <w:p w14:paraId="2B83BC35"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Intercept (1x group)</w:t>
            </w:r>
          </w:p>
        </w:tc>
        <w:tc>
          <w:tcPr>
            <w:tcW w:w="992" w:type="dxa"/>
          </w:tcPr>
          <w:p w14:paraId="2B83BC36"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0.01</w:t>
            </w:r>
          </w:p>
        </w:tc>
        <w:tc>
          <w:tcPr>
            <w:tcW w:w="993" w:type="dxa"/>
          </w:tcPr>
          <w:p w14:paraId="2B83BC37"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0.08</w:t>
            </w:r>
          </w:p>
        </w:tc>
        <w:tc>
          <w:tcPr>
            <w:tcW w:w="1134" w:type="dxa"/>
          </w:tcPr>
          <w:p w14:paraId="2B83BC3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0.17</w:t>
            </w:r>
          </w:p>
        </w:tc>
        <w:tc>
          <w:tcPr>
            <w:tcW w:w="1570" w:type="dxa"/>
          </w:tcPr>
          <w:p w14:paraId="2B83BC39" w14:textId="77777777" w:rsidR="00D475B6" w:rsidRDefault="00F34475" w:rsidP="38A5A85B">
            <w:pPr>
              <w:rPr>
                <w:color w:val="000000"/>
                <w:sz w:val="24"/>
                <w:szCs w:val="24"/>
              </w:rPr>
            </w:pPr>
            <w:r w:rsidRPr="519F8C63">
              <w:rPr>
                <w:color w:val="000000" w:themeColor="text1"/>
                <w:sz w:val="24"/>
                <w:szCs w:val="24"/>
              </w:rPr>
              <w:t>0.86</w:t>
            </w:r>
          </w:p>
        </w:tc>
      </w:tr>
      <w:tr w:rsidR="00D475B6" w14:paraId="2B83BC40" w14:textId="77777777" w:rsidTr="519F8C63">
        <w:tc>
          <w:tcPr>
            <w:tcW w:w="2977" w:type="dxa"/>
          </w:tcPr>
          <w:p w14:paraId="2B83BC3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2x exposure</w:t>
            </w:r>
          </w:p>
        </w:tc>
        <w:tc>
          <w:tcPr>
            <w:tcW w:w="992" w:type="dxa"/>
          </w:tcPr>
          <w:p w14:paraId="2B83BC3C"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0.09</w:t>
            </w:r>
          </w:p>
        </w:tc>
        <w:tc>
          <w:tcPr>
            <w:tcW w:w="993" w:type="dxa"/>
          </w:tcPr>
          <w:p w14:paraId="2B83BC3D"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0.08</w:t>
            </w:r>
          </w:p>
        </w:tc>
        <w:tc>
          <w:tcPr>
            <w:tcW w:w="1134" w:type="dxa"/>
          </w:tcPr>
          <w:p w14:paraId="2B83BC3E"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1.13</w:t>
            </w:r>
          </w:p>
        </w:tc>
        <w:tc>
          <w:tcPr>
            <w:tcW w:w="1570" w:type="dxa"/>
          </w:tcPr>
          <w:p w14:paraId="2B83BC3F"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0.26</w:t>
            </w:r>
          </w:p>
        </w:tc>
      </w:tr>
    </w:tbl>
    <w:p w14:paraId="2B83BC42" w14:textId="5CD19917" w:rsidR="00D475B6" w:rsidRPr="00D51EBD" w:rsidRDefault="00825D61" w:rsidP="00D51EBD">
      <w:proofErr w:type="spellStart"/>
      <w:r w:rsidRPr="001663DD">
        <w:rPr>
          <w:sz w:val="24"/>
          <w:szCs w:val="24"/>
        </w:rPr>
        <w:t>glmer</w:t>
      </w:r>
      <w:proofErr w:type="spellEnd"/>
      <w:r w:rsidRPr="001663DD">
        <w:rPr>
          <w:sz w:val="24"/>
          <w:szCs w:val="24"/>
        </w:rPr>
        <w:t xml:space="preserve"> (accuracy ~ </w:t>
      </w:r>
      <w:proofErr w:type="spellStart"/>
      <w:r w:rsidRPr="001663DD">
        <w:rPr>
          <w:sz w:val="24"/>
          <w:szCs w:val="24"/>
        </w:rPr>
        <w:t>exposure_times</w:t>
      </w:r>
      <w:proofErr w:type="spellEnd"/>
      <w:r w:rsidRPr="001663DD">
        <w:rPr>
          <w:sz w:val="24"/>
          <w:szCs w:val="24"/>
        </w:rPr>
        <w:t>+(1|item)+(1|subject),data=</w:t>
      </w:r>
      <w:proofErr w:type="spellStart"/>
      <w:r w:rsidRPr="001663DD">
        <w:rPr>
          <w:sz w:val="24"/>
          <w:szCs w:val="24"/>
        </w:rPr>
        <w:t>Data_exp</w:t>
      </w:r>
      <w:proofErr w:type="spellEnd"/>
      <w:r w:rsidRPr="001663DD">
        <w:rPr>
          <w:sz w:val="24"/>
          <w:szCs w:val="24"/>
        </w:rPr>
        <w:t>, family=binomial)</w:t>
      </w:r>
    </w:p>
    <w:p w14:paraId="2B83BC43" w14:textId="77777777" w:rsidR="00D475B6" w:rsidRDefault="00D475B6">
      <w:pPr>
        <w:pStyle w:val="Heading2"/>
        <w:rPr>
          <w:rFonts w:ascii="Calibri" w:eastAsia="Calibri" w:hAnsi="Calibri" w:cs="Calibri"/>
          <w:sz w:val="24"/>
          <w:szCs w:val="24"/>
        </w:rPr>
      </w:pPr>
    </w:p>
    <w:p w14:paraId="2B83BC44" w14:textId="77777777" w:rsidR="00D475B6" w:rsidRDefault="00F34475" w:rsidP="519F8C63">
      <w:pPr>
        <w:keepNext/>
        <w:pBdr>
          <w:top w:val="nil"/>
          <w:left w:val="nil"/>
          <w:bottom w:val="nil"/>
          <w:right w:val="nil"/>
          <w:between w:val="nil"/>
        </w:pBdr>
        <w:spacing w:line="240" w:lineRule="auto"/>
        <w:rPr>
          <w:b/>
          <w:bCs/>
          <w:smallCaps/>
          <w:color w:val="44546A"/>
          <w:sz w:val="24"/>
          <w:szCs w:val="24"/>
        </w:rPr>
      </w:pPr>
      <w:r w:rsidRPr="519F8C63">
        <w:rPr>
          <w:b/>
          <w:bCs/>
          <w:smallCaps/>
          <w:color w:val="445369"/>
          <w:sz w:val="24"/>
          <w:szCs w:val="24"/>
        </w:rPr>
        <w:t>Table 6 Model output accuracy: Effect of set in 0x exposure group</w:t>
      </w:r>
    </w:p>
    <w:tbl>
      <w:tblPr>
        <w:tblStyle w:val="a4"/>
        <w:tblW w:w="7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992"/>
        <w:gridCol w:w="993"/>
        <w:gridCol w:w="1134"/>
        <w:gridCol w:w="1570"/>
      </w:tblGrid>
      <w:tr w:rsidR="00D475B6" w14:paraId="2B83BC4A" w14:textId="77777777" w:rsidTr="519F8C63">
        <w:tc>
          <w:tcPr>
            <w:tcW w:w="2977" w:type="dxa"/>
          </w:tcPr>
          <w:p w14:paraId="2B83BC45"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Accuracy</w:t>
            </w:r>
          </w:p>
        </w:tc>
        <w:tc>
          <w:tcPr>
            <w:tcW w:w="992" w:type="dxa"/>
          </w:tcPr>
          <w:p w14:paraId="2B83BC46" w14:textId="77777777" w:rsidR="00D475B6" w:rsidRDefault="00D475B6" w:rsidP="519F8C63">
            <w:pPr>
              <w:pBdr>
                <w:top w:val="nil"/>
                <w:left w:val="nil"/>
                <w:bottom w:val="nil"/>
                <w:right w:val="nil"/>
                <w:between w:val="nil"/>
              </w:pBdr>
              <w:rPr>
                <w:b/>
                <w:bCs/>
                <w:color w:val="000000"/>
                <w:sz w:val="24"/>
                <w:szCs w:val="24"/>
              </w:rPr>
            </w:pPr>
          </w:p>
        </w:tc>
        <w:tc>
          <w:tcPr>
            <w:tcW w:w="993" w:type="dxa"/>
          </w:tcPr>
          <w:p w14:paraId="2B83BC47" w14:textId="77777777" w:rsidR="00D475B6" w:rsidRDefault="00D475B6" w:rsidP="519F8C63">
            <w:pPr>
              <w:pBdr>
                <w:top w:val="nil"/>
                <w:left w:val="nil"/>
                <w:bottom w:val="nil"/>
                <w:right w:val="nil"/>
                <w:between w:val="nil"/>
              </w:pBdr>
              <w:rPr>
                <w:b/>
                <w:bCs/>
                <w:color w:val="000000"/>
                <w:sz w:val="24"/>
                <w:szCs w:val="24"/>
              </w:rPr>
            </w:pPr>
          </w:p>
        </w:tc>
        <w:tc>
          <w:tcPr>
            <w:tcW w:w="1134" w:type="dxa"/>
          </w:tcPr>
          <w:p w14:paraId="2B83BC48" w14:textId="77777777" w:rsidR="00D475B6" w:rsidRDefault="00D475B6" w:rsidP="519F8C63">
            <w:pPr>
              <w:pBdr>
                <w:top w:val="nil"/>
                <w:left w:val="nil"/>
                <w:bottom w:val="nil"/>
                <w:right w:val="nil"/>
                <w:between w:val="nil"/>
              </w:pBdr>
              <w:rPr>
                <w:b/>
                <w:bCs/>
                <w:color w:val="000000"/>
                <w:sz w:val="24"/>
                <w:szCs w:val="24"/>
              </w:rPr>
            </w:pPr>
          </w:p>
        </w:tc>
        <w:tc>
          <w:tcPr>
            <w:tcW w:w="1570" w:type="dxa"/>
          </w:tcPr>
          <w:p w14:paraId="2B83BC49" w14:textId="77777777" w:rsidR="00D475B6" w:rsidRDefault="00D475B6" w:rsidP="519F8C63">
            <w:pPr>
              <w:pBdr>
                <w:top w:val="nil"/>
                <w:left w:val="nil"/>
                <w:bottom w:val="nil"/>
                <w:right w:val="nil"/>
                <w:between w:val="nil"/>
              </w:pBdr>
              <w:rPr>
                <w:b/>
                <w:bCs/>
                <w:color w:val="000000"/>
                <w:sz w:val="24"/>
                <w:szCs w:val="24"/>
              </w:rPr>
            </w:pPr>
          </w:p>
        </w:tc>
      </w:tr>
      <w:tr w:rsidR="00D475B6" w14:paraId="2B83BC50" w14:textId="77777777" w:rsidTr="519F8C63">
        <w:tc>
          <w:tcPr>
            <w:tcW w:w="2977" w:type="dxa"/>
          </w:tcPr>
          <w:p w14:paraId="2B83BC4B"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Predictors</w:t>
            </w:r>
          </w:p>
        </w:tc>
        <w:tc>
          <w:tcPr>
            <w:tcW w:w="992" w:type="dxa"/>
          </w:tcPr>
          <w:p w14:paraId="2B83BC4C"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Β</w:t>
            </w:r>
          </w:p>
        </w:tc>
        <w:tc>
          <w:tcPr>
            <w:tcW w:w="993" w:type="dxa"/>
          </w:tcPr>
          <w:p w14:paraId="2B83BC4D"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SE</w:t>
            </w:r>
          </w:p>
        </w:tc>
        <w:tc>
          <w:tcPr>
            <w:tcW w:w="1134" w:type="dxa"/>
          </w:tcPr>
          <w:p w14:paraId="2B83BC4E"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Z</w:t>
            </w:r>
          </w:p>
        </w:tc>
        <w:tc>
          <w:tcPr>
            <w:tcW w:w="1570" w:type="dxa"/>
          </w:tcPr>
          <w:p w14:paraId="2B83BC4F"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p-value</w:t>
            </w:r>
          </w:p>
        </w:tc>
      </w:tr>
      <w:tr w:rsidR="00D475B6" w14:paraId="2B83BC56" w14:textId="77777777" w:rsidTr="519F8C63">
        <w:tc>
          <w:tcPr>
            <w:tcW w:w="2977" w:type="dxa"/>
          </w:tcPr>
          <w:p w14:paraId="2B83BC51"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Intercept (set 1)</w:t>
            </w:r>
          </w:p>
        </w:tc>
        <w:tc>
          <w:tcPr>
            <w:tcW w:w="992" w:type="dxa"/>
          </w:tcPr>
          <w:p w14:paraId="2B83BC52"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0.44</w:t>
            </w:r>
          </w:p>
        </w:tc>
        <w:tc>
          <w:tcPr>
            <w:tcW w:w="993" w:type="dxa"/>
          </w:tcPr>
          <w:p w14:paraId="2B83BC53"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0.08</w:t>
            </w:r>
          </w:p>
        </w:tc>
        <w:tc>
          <w:tcPr>
            <w:tcW w:w="1134" w:type="dxa"/>
          </w:tcPr>
          <w:p w14:paraId="2B83BC54"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5.52</w:t>
            </w:r>
          </w:p>
        </w:tc>
        <w:tc>
          <w:tcPr>
            <w:tcW w:w="1570" w:type="dxa"/>
          </w:tcPr>
          <w:p w14:paraId="2B83BC55" w14:textId="77777777" w:rsidR="00D475B6" w:rsidRDefault="00F34475" w:rsidP="38A5A85B">
            <w:pPr>
              <w:rPr>
                <w:color w:val="000000"/>
                <w:sz w:val="24"/>
                <w:szCs w:val="24"/>
              </w:rPr>
            </w:pPr>
            <w:r w:rsidRPr="519F8C63">
              <w:rPr>
                <w:color w:val="000000" w:themeColor="text1"/>
                <w:sz w:val="24"/>
                <w:szCs w:val="24"/>
              </w:rPr>
              <w:t>&lt;0.01</w:t>
            </w:r>
          </w:p>
        </w:tc>
      </w:tr>
      <w:tr w:rsidR="00D475B6" w14:paraId="2B83BC5C" w14:textId="77777777" w:rsidTr="519F8C63">
        <w:tc>
          <w:tcPr>
            <w:tcW w:w="2977" w:type="dxa"/>
          </w:tcPr>
          <w:p w14:paraId="2B83BC57"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2</w:t>
            </w:r>
          </w:p>
        </w:tc>
        <w:tc>
          <w:tcPr>
            <w:tcW w:w="992" w:type="dxa"/>
          </w:tcPr>
          <w:p w14:paraId="2B83BC5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0.05</w:t>
            </w:r>
          </w:p>
        </w:tc>
        <w:tc>
          <w:tcPr>
            <w:tcW w:w="993" w:type="dxa"/>
          </w:tcPr>
          <w:p w14:paraId="2B83BC59"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0.11</w:t>
            </w:r>
          </w:p>
        </w:tc>
        <w:tc>
          <w:tcPr>
            <w:tcW w:w="1134" w:type="dxa"/>
          </w:tcPr>
          <w:p w14:paraId="2B83BC5A"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0.43</w:t>
            </w:r>
          </w:p>
        </w:tc>
        <w:tc>
          <w:tcPr>
            <w:tcW w:w="1570" w:type="dxa"/>
          </w:tcPr>
          <w:p w14:paraId="2B83BC5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0.67</w:t>
            </w:r>
          </w:p>
        </w:tc>
      </w:tr>
      <w:tr w:rsidR="00D475B6" w14:paraId="2B83BC62" w14:textId="77777777" w:rsidTr="519F8C63">
        <w:tc>
          <w:tcPr>
            <w:tcW w:w="2977" w:type="dxa"/>
          </w:tcPr>
          <w:p w14:paraId="2B83BC5D"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3</w:t>
            </w:r>
          </w:p>
        </w:tc>
        <w:tc>
          <w:tcPr>
            <w:tcW w:w="992" w:type="dxa"/>
          </w:tcPr>
          <w:p w14:paraId="2B83BC5E"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-0.80</w:t>
            </w:r>
          </w:p>
        </w:tc>
        <w:tc>
          <w:tcPr>
            <w:tcW w:w="993" w:type="dxa"/>
          </w:tcPr>
          <w:p w14:paraId="2B83BC5F"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0.11</w:t>
            </w:r>
          </w:p>
        </w:tc>
        <w:tc>
          <w:tcPr>
            <w:tcW w:w="1134" w:type="dxa"/>
          </w:tcPr>
          <w:p w14:paraId="2B83BC60"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-7.61</w:t>
            </w:r>
          </w:p>
        </w:tc>
        <w:tc>
          <w:tcPr>
            <w:tcW w:w="1570" w:type="dxa"/>
          </w:tcPr>
          <w:p w14:paraId="2B83BC61"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&lt;0.01</w:t>
            </w:r>
          </w:p>
        </w:tc>
      </w:tr>
      <w:tr w:rsidR="00D475B6" w14:paraId="2B83BC68" w14:textId="77777777" w:rsidTr="519F8C63">
        <w:tc>
          <w:tcPr>
            <w:tcW w:w="2977" w:type="dxa"/>
          </w:tcPr>
          <w:p w14:paraId="2B83BC63"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4</w:t>
            </w:r>
          </w:p>
        </w:tc>
        <w:tc>
          <w:tcPr>
            <w:tcW w:w="992" w:type="dxa"/>
          </w:tcPr>
          <w:p w14:paraId="2B83BC64"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-0.86</w:t>
            </w:r>
          </w:p>
        </w:tc>
        <w:tc>
          <w:tcPr>
            <w:tcW w:w="993" w:type="dxa"/>
          </w:tcPr>
          <w:p w14:paraId="2B83BC65"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0.11</w:t>
            </w:r>
          </w:p>
        </w:tc>
        <w:tc>
          <w:tcPr>
            <w:tcW w:w="1134" w:type="dxa"/>
          </w:tcPr>
          <w:p w14:paraId="2B83BC66"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-8.12</w:t>
            </w:r>
          </w:p>
        </w:tc>
        <w:tc>
          <w:tcPr>
            <w:tcW w:w="1570" w:type="dxa"/>
          </w:tcPr>
          <w:p w14:paraId="2B83BC67"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&lt;0.01</w:t>
            </w:r>
          </w:p>
        </w:tc>
      </w:tr>
    </w:tbl>
    <w:p w14:paraId="5FEC07CB" w14:textId="77777777" w:rsidR="00D51EBD" w:rsidRPr="001663DD" w:rsidRDefault="00D51EBD" w:rsidP="00D51EBD">
      <w:proofErr w:type="spellStart"/>
      <w:r w:rsidRPr="001663DD">
        <w:rPr>
          <w:sz w:val="24"/>
          <w:szCs w:val="24"/>
        </w:rPr>
        <w:t>glmer</w:t>
      </w:r>
      <w:proofErr w:type="spellEnd"/>
      <w:r w:rsidRPr="001663DD">
        <w:rPr>
          <w:sz w:val="24"/>
          <w:szCs w:val="24"/>
        </w:rPr>
        <w:t xml:space="preserve"> (accuracy ~set+(1|item)+(1|subject),data=Data_0, family=binomial)</w:t>
      </w:r>
    </w:p>
    <w:p w14:paraId="2B83BC6A" w14:textId="77777777" w:rsidR="00D475B6" w:rsidRDefault="00D475B6" w:rsidP="519F8C63">
      <w:pPr>
        <w:pBdr>
          <w:top w:val="nil"/>
          <w:left w:val="nil"/>
          <w:bottom w:val="nil"/>
          <w:right w:val="nil"/>
          <w:between w:val="nil"/>
        </w:pBdr>
        <w:shd w:val="clear" w:color="auto" w:fill="FFFFFF" w:themeFill="background1"/>
        <w:spacing w:after="0" w:line="240" w:lineRule="auto"/>
        <w:rPr>
          <w:color w:val="201F1E"/>
          <w:sz w:val="24"/>
          <w:szCs w:val="24"/>
        </w:rPr>
      </w:pPr>
    </w:p>
    <w:p w14:paraId="2B83BC6B" w14:textId="77777777" w:rsidR="00D475B6" w:rsidRDefault="00F34475" w:rsidP="519F8C63">
      <w:pPr>
        <w:keepNext/>
        <w:pBdr>
          <w:top w:val="nil"/>
          <w:left w:val="nil"/>
          <w:bottom w:val="nil"/>
          <w:right w:val="nil"/>
          <w:between w:val="nil"/>
        </w:pBdr>
        <w:spacing w:line="240" w:lineRule="auto"/>
        <w:rPr>
          <w:b/>
          <w:bCs/>
          <w:smallCaps/>
          <w:color w:val="44546A"/>
          <w:sz w:val="24"/>
          <w:szCs w:val="24"/>
        </w:rPr>
      </w:pPr>
      <w:r w:rsidRPr="519F8C63">
        <w:rPr>
          <w:b/>
          <w:bCs/>
          <w:smallCaps/>
          <w:color w:val="445369"/>
          <w:sz w:val="24"/>
          <w:szCs w:val="24"/>
        </w:rPr>
        <w:t>Table 7 Model output accuracy: Effect of set in 1x/2x exposure group</w:t>
      </w:r>
    </w:p>
    <w:tbl>
      <w:tblPr>
        <w:tblStyle w:val="a5"/>
        <w:tblW w:w="7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992"/>
        <w:gridCol w:w="993"/>
        <w:gridCol w:w="1134"/>
        <w:gridCol w:w="1570"/>
      </w:tblGrid>
      <w:tr w:rsidR="00D475B6" w14:paraId="2B83BC71" w14:textId="77777777" w:rsidTr="519F8C63">
        <w:tc>
          <w:tcPr>
            <w:tcW w:w="2977" w:type="dxa"/>
          </w:tcPr>
          <w:p w14:paraId="2B83BC6C"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Accuracy</w:t>
            </w:r>
          </w:p>
        </w:tc>
        <w:tc>
          <w:tcPr>
            <w:tcW w:w="992" w:type="dxa"/>
          </w:tcPr>
          <w:p w14:paraId="2B83BC6D" w14:textId="77777777" w:rsidR="00D475B6" w:rsidRDefault="00D475B6" w:rsidP="519F8C63">
            <w:pPr>
              <w:pBdr>
                <w:top w:val="nil"/>
                <w:left w:val="nil"/>
                <w:bottom w:val="nil"/>
                <w:right w:val="nil"/>
                <w:between w:val="nil"/>
              </w:pBdr>
              <w:rPr>
                <w:b/>
                <w:bCs/>
                <w:color w:val="000000"/>
                <w:sz w:val="24"/>
                <w:szCs w:val="24"/>
              </w:rPr>
            </w:pPr>
          </w:p>
        </w:tc>
        <w:tc>
          <w:tcPr>
            <w:tcW w:w="993" w:type="dxa"/>
          </w:tcPr>
          <w:p w14:paraId="2B83BC6E" w14:textId="77777777" w:rsidR="00D475B6" w:rsidRDefault="00D475B6" w:rsidP="519F8C63">
            <w:pPr>
              <w:pBdr>
                <w:top w:val="nil"/>
                <w:left w:val="nil"/>
                <w:bottom w:val="nil"/>
                <w:right w:val="nil"/>
                <w:between w:val="nil"/>
              </w:pBdr>
              <w:rPr>
                <w:b/>
                <w:bCs/>
                <w:color w:val="000000"/>
                <w:sz w:val="24"/>
                <w:szCs w:val="24"/>
              </w:rPr>
            </w:pPr>
          </w:p>
        </w:tc>
        <w:tc>
          <w:tcPr>
            <w:tcW w:w="1134" w:type="dxa"/>
          </w:tcPr>
          <w:p w14:paraId="2B83BC6F" w14:textId="77777777" w:rsidR="00D475B6" w:rsidRDefault="00D475B6" w:rsidP="519F8C63">
            <w:pPr>
              <w:pBdr>
                <w:top w:val="nil"/>
                <w:left w:val="nil"/>
                <w:bottom w:val="nil"/>
                <w:right w:val="nil"/>
                <w:between w:val="nil"/>
              </w:pBdr>
              <w:rPr>
                <w:b/>
                <w:bCs/>
                <w:color w:val="000000"/>
                <w:sz w:val="24"/>
                <w:szCs w:val="24"/>
              </w:rPr>
            </w:pPr>
          </w:p>
        </w:tc>
        <w:tc>
          <w:tcPr>
            <w:tcW w:w="1570" w:type="dxa"/>
          </w:tcPr>
          <w:p w14:paraId="2B83BC70" w14:textId="77777777" w:rsidR="00D475B6" w:rsidRDefault="00D475B6" w:rsidP="519F8C63">
            <w:pPr>
              <w:pBdr>
                <w:top w:val="nil"/>
                <w:left w:val="nil"/>
                <w:bottom w:val="nil"/>
                <w:right w:val="nil"/>
                <w:between w:val="nil"/>
              </w:pBdr>
              <w:rPr>
                <w:b/>
                <w:bCs/>
                <w:color w:val="000000"/>
                <w:sz w:val="24"/>
                <w:szCs w:val="24"/>
              </w:rPr>
            </w:pPr>
          </w:p>
        </w:tc>
      </w:tr>
      <w:tr w:rsidR="00D475B6" w14:paraId="2B83BC77" w14:textId="77777777" w:rsidTr="519F8C63">
        <w:tc>
          <w:tcPr>
            <w:tcW w:w="2977" w:type="dxa"/>
          </w:tcPr>
          <w:p w14:paraId="2B83BC72"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Predictors</w:t>
            </w:r>
          </w:p>
        </w:tc>
        <w:tc>
          <w:tcPr>
            <w:tcW w:w="992" w:type="dxa"/>
          </w:tcPr>
          <w:p w14:paraId="2B83BC73"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β</w:t>
            </w:r>
          </w:p>
        </w:tc>
        <w:tc>
          <w:tcPr>
            <w:tcW w:w="993" w:type="dxa"/>
          </w:tcPr>
          <w:p w14:paraId="2B83BC74"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SE</w:t>
            </w:r>
          </w:p>
        </w:tc>
        <w:tc>
          <w:tcPr>
            <w:tcW w:w="1134" w:type="dxa"/>
          </w:tcPr>
          <w:p w14:paraId="2B83BC75"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Z</w:t>
            </w:r>
          </w:p>
        </w:tc>
        <w:tc>
          <w:tcPr>
            <w:tcW w:w="1570" w:type="dxa"/>
          </w:tcPr>
          <w:p w14:paraId="2B83BC76"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p-value</w:t>
            </w:r>
          </w:p>
        </w:tc>
      </w:tr>
      <w:tr w:rsidR="00D475B6" w14:paraId="2B83BC7D" w14:textId="77777777" w:rsidTr="519F8C63">
        <w:tc>
          <w:tcPr>
            <w:tcW w:w="2977" w:type="dxa"/>
          </w:tcPr>
          <w:p w14:paraId="2B83BC7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Intercept (Set 1)</w:t>
            </w:r>
          </w:p>
        </w:tc>
        <w:tc>
          <w:tcPr>
            <w:tcW w:w="992" w:type="dxa"/>
          </w:tcPr>
          <w:p w14:paraId="2B83BC79"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0.32</w:t>
            </w:r>
          </w:p>
        </w:tc>
        <w:tc>
          <w:tcPr>
            <w:tcW w:w="993" w:type="dxa"/>
          </w:tcPr>
          <w:p w14:paraId="2B83BC7A"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0.10</w:t>
            </w:r>
          </w:p>
        </w:tc>
        <w:tc>
          <w:tcPr>
            <w:tcW w:w="1134" w:type="dxa"/>
          </w:tcPr>
          <w:p w14:paraId="2B83BC7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3.04</w:t>
            </w:r>
          </w:p>
        </w:tc>
        <w:tc>
          <w:tcPr>
            <w:tcW w:w="1570" w:type="dxa"/>
          </w:tcPr>
          <w:p w14:paraId="2B83BC7C" w14:textId="77777777" w:rsidR="00D475B6" w:rsidRDefault="00F34475" w:rsidP="38A5A85B">
            <w:pPr>
              <w:rPr>
                <w:color w:val="000000"/>
                <w:sz w:val="24"/>
                <w:szCs w:val="24"/>
              </w:rPr>
            </w:pPr>
            <w:r w:rsidRPr="519F8C63">
              <w:rPr>
                <w:color w:val="000000" w:themeColor="text1"/>
                <w:sz w:val="24"/>
                <w:szCs w:val="24"/>
              </w:rPr>
              <w:t>&lt;0.01</w:t>
            </w:r>
          </w:p>
        </w:tc>
      </w:tr>
      <w:tr w:rsidR="00D475B6" w14:paraId="2B83BC83" w14:textId="77777777" w:rsidTr="519F8C63">
        <w:tc>
          <w:tcPr>
            <w:tcW w:w="2977" w:type="dxa"/>
          </w:tcPr>
          <w:p w14:paraId="2B83BC7E"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2</w:t>
            </w:r>
          </w:p>
        </w:tc>
        <w:tc>
          <w:tcPr>
            <w:tcW w:w="992" w:type="dxa"/>
          </w:tcPr>
          <w:p w14:paraId="2B83BC7F"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0.15</w:t>
            </w:r>
          </w:p>
        </w:tc>
        <w:tc>
          <w:tcPr>
            <w:tcW w:w="993" w:type="dxa"/>
          </w:tcPr>
          <w:p w14:paraId="2B83BC80"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0.14</w:t>
            </w:r>
          </w:p>
        </w:tc>
        <w:tc>
          <w:tcPr>
            <w:tcW w:w="1134" w:type="dxa"/>
          </w:tcPr>
          <w:p w14:paraId="2B83BC81"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1.08</w:t>
            </w:r>
          </w:p>
        </w:tc>
        <w:tc>
          <w:tcPr>
            <w:tcW w:w="1570" w:type="dxa"/>
          </w:tcPr>
          <w:p w14:paraId="2B83BC82"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0.28</w:t>
            </w:r>
          </w:p>
        </w:tc>
      </w:tr>
      <w:tr w:rsidR="00D475B6" w14:paraId="2B83BC89" w14:textId="77777777" w:rsidTr="519F8C63">
        <w:tc>
          <w:tcPr>
            <w:tcW w:w="2977" w:type="dxa"/>
          </w:tcPr>
          <w:p w14:paraId="2B83BC84"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3</w:t>
            </w:r>
          </w:p>
        </w:tc>
        <w:tc>
          <w:tcPr>
            <w:tcW w:w="992" w:type="dxa"/>
          </w:tcPr>
          <w:p w14:paraId="2B83BC85"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-0.51</w:t>
            </w:r>
          </w:p>
        </w:tc>
        <w:tc>
          <w:tcPr>
            <w:tcW w:w="993" w:type="dxa"/>
          </w:tcPr>
          <w:p w14:paraId="2B83BC86"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0.14</w:t>
            </w:r>
          </w:p>
        </w:tc>
        <w:tc>
          <w:tcPr>
            <w:tcW w:w="1134" w:type="dxa"/>
          </w:tcPr>
          <w:p w14:paraId="2B83BC87"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-3.66</w:t>
            </w:r>
          </w:p>
        </w:tc>
        <w:tc>
          <w:tcPr>
            <w:tcW w:w="1570" w:type="dxa"/>
          </w:tcPr>
          <w:p w14:paraId="2B83BC8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&lt;0.01</w:t>
            </w:r>
          </w:p>
        </w:tc>
      </w:tr>
      <w:tr w:rsidR="00D475B6" w14:paraId="2B83BC8F" w14:textId="77777777" w:rsidTr="519F8C63">
        <w:tc>
          <w:tcPr>
            <w:tcW w:w="2977" w:type="dxa"/>
          </w:tcPr>
          <w:p w14:paraId="2B83BC8A"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4</w:t>
            </w:r>
          </w:p>
        </w:tc>
        <w:tc>
          <w:tcPr>
            <w:tcW w:w="992" w:type="dxa"/>
          </w:tcPr>
          <w:p w14:paraId="2B83BC8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-0.67</w:t>
            </w:r>
          </w:p>
        </w:tc>
        <w:tc>
          <w:tcPr>
            <w:tcW w:w="993" w:type="dxa"/>
          </w:tcPr>
          <w:p w14:paraId="2B83BC8C"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0.14</w:t>
            </w:r>
          </w:p>
        </w:tc>
        <w:tc>
          <w:tcPr>
            <w:tcW w:w="1134" w:type="dxa"/>
          </w:tcPr>
          <w:p w14:paraId="2B83BC8D"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-4.79</w:t>
            </w:r>
          </w:p>
        </w:tc>
        <w:tc>
          <w:tcPr>
            <w:tcW w:w="1570" w:type="dxa"/>
          </w:tcPr>
          <w:p w14:paraId="2B83BC8E"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&lt;0.01</w:t>
            </w:r>
          </w:p>
        </w:tc>
      </w:tr>
    </w:tbl>
    <w:p w14:paraId="0F7A9EAC" w14:textId="77777777" w:rsidR="0033692E" w:rsidRPr="001663DD" w:rsidRDefault="0033692E" w:rsidP="0033692E">
      <w:proofErr w:type="spellStart"/>
      <w:r w:rsidRPr="001663DD">
        <w:rPr>
          <w:sz w:val="24"/>
          <w:szCs w:val="24"/>
        </w:rPr>
        <w:t>glmer</w:t>
      </w:r>
      <w:proofErr w:type="spellEnd"/>
      <w:r w:rsidRPr="001663DD">
        <w:rPr>
          <w:sz w:val="24"/>
          <w:szCs w:val="24"/>
        </w:rPr>
        <w:t xml:space="preserve"> (accuracy ~set+(1|item)+(1|subject),data=</w:t>
      </w:r>
      <w:proofErr w:type="spellStart"/>
      <w:r w:rsidRPr="001663DD">
        <w:rPr>
          <w:sz w:val="24"/>
          <w:szCs w:val="24"/>
        </w:rPr>
        <w:t>Data_exp</w:t>
      </w:r>
      <w:proofErr w:type="spellEnd"/>
      <w:r w:rsidRPr="001663DD">
        <w:rPr>
          <w:sz w:val="24"/>
          <w:szCs w:val="24"/>
        </w:rPr>
        <w:t>, family=binomial)</w:t>
      </w:r>
    </w:p>
    <w:p w14:paraId="2B83BC91" w14:textId="77777777" w:rsidR="00D475B6" w:rsidRDefault="00D475B6"/>
    <w:p w14:paraId="2B83BC92" w14:textId="77777777" w:rsidR="00D475B6" w:rsidRDefault="00F34475">
      <w:r>
        <w:rPr>
          <w:noProof/>
        </w:rPr>
        <w:drawing>
          <wp:inline distT="19050" distB="19050" distL="19050" distR="19050" wp14:anchorId="2B83BDE0" wp14:editId="2B83BDE1">
            <wp:extent cx="4814888" cy="307875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814888" cy="3078750"/>
                    </a:xfrm>
                    <a:prstGeom prst="rect">
                      <a:avLst/>
                    </a:prstGeom>
                    <a:ln/>
                  </pic:spPr>
                </pic:pic>
              </a:graphicData>
            </a:graphic>
          </wp:inline>
        </w:drawing>
      </w:r>
    </w:p>
    <w:p w14:paraId="013B0CB3" w14:textId="77777777" w:rsidR="002B0440" w:rsidRPr="001663DD" w:rsidRDefault="002B0440" w:rsidP="002B0440">
      <w:r w:rsidRPr="001663DD">
        <w:rPr>
          <w:sz w:val="24"/>
          <w:szCs w:val="24"/>
        </w:rPr>
        <w:t>Figure 1 Accuracy Rates by Exposure Group</w:t>
      </w:r>
    </w:p>
    <w:p w14:paraId="2B83BC94" w14:textId="77777777" w:rsidR="00D475B6" w:rsidRDefault="00F34475">
      <w:r>
        <w:rPr>
          <w:noProof/>
        </w:rPr>
        <w:lastRenderedPageBreak/>
        <w:drawing>
          <wp:inline distT="19050" distB="19050" distL="19050" distR="19050" wp14:anchorId="2B83BDE2" wp14:editId="2B83BDE3">
            <wp:extent cx="5943600" cy="37973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943600" cy="3797300"/>
                    </a:xfrm>
                    <a:prstGeom prst="rect">
                      <a:avLst/>
                    </a:prstGeom>
                    <a:ln/>
                  </pic:spPr>
                </pic:pic>
              </a:graphicData>
            </a:graphic>
          </wp:inline>
        </w:drawing>
      </w:r>
    </w:p>
    <w:p w14:paraId="4ABD3AC8" w14:textId="77777777" w:rsidR="00C9757E" w:rsidRPr="001663DD" w:rsidRDefault="00C9757E" w:rsidP="00C9757E">
      <w:r w:rsidRPr="001663DD">
        <w:rPr>
          <w:sz w:val="24"/>
          <w:szCs w:val="24"/>
        </w:rPr>
        <w:t>Figure 2 Accuracy Rates by Set</w:t>
      </w:r>
    </w:p>
    <w:p w14:paraId="2B83BC96" w14:textId="77777777" w:rsidR="00D475B6" w:rsidRDefault="00F34475">
      <w:pPr>
        <w:pStyle w:val="Heading2"/>
        <w:rPr>
          <w:rFonts w:ascii="Calibri" w:eastAsia="Calibri" w:hAnsi="Calibri" w:cs="Calibri"/>
          <w:sz w:val="24"/>
          <w:szCs w:val="24"/>
        </w:rPr>
      </w:pPr>
      <w:r w:rsidRPr="519F8C63">
        <w:rPr>
          <w:rFonts w:ascii="Calibri" w:eastAsia="Calibri" w:hAnsi="Calibri" w:cs="Calibri"/>
          <w:sz w:val="24"/>
          <w:szCs w:val="24"/>
        </w:rPr>
        <w:t>Results for Yes responses</w:t>
      </w:r>
    </w:p>
    <w:p w14:paraId="2B83BC97" w14:textId="77777777" w:rsidR="00D475B6" w:rsidRDefault="00D475B6" w:rsidP="519F8C63">
      <w:pPr>
        <w:pBdr>
          <w:top w:val="nil"/>
          <w:left w:val="nil"/>
          <w:bottom w:val="nil"/>
          <w:right w:val="nil"/>
          <w:between w:val="nil"/>
        </w:pBdr>
        <w:shd w:val="clear" w:color="auto" w:fill="FFFFFF" w:themeFill="background1"/>
        <w:spacing w:after="0" w:line="360" w:lineRule="auto"/>
        <w:rPr>
          <w:sz w:val="24"/>
          <w:szCs w:val="24"/>
        </w:rPr>
      </w:pPr>
    </w:p>
    <w:p w14:paraId="2B83BC98" w14:textId="77777777" w:rsidR="00D475B6" w:rsidRDefault="00F34475" w:rsidP="519F8C63">
      <w:pPr>
        <w:pBdr>
          <w:top w:val="nil"/>
          <w:left w:val="nil"/>
          <w:bottom w:val="nil"/>
          <w:right w:val="nil"/>
          <w:between w:val="nil"/>
        </w:pBdr>
        <w:shd w:val="clear" w:color="auto" w:fill="FFFFFF" w:themeFill="background1"/>
        <w:spacing w:after="0" w:line="360" w:lineRule="auto"/>
        <w:rPr>
          <w:color w:val="000000"/>
          <w:sz w:val="24"/>
          <w:szCs w:val="24"/>
        </w:rPr>
      </w:pPr>
      <w:r w:rsidRPr="519F8C63">
        <w:rPr>
          <w:color w:val="000000" w:themeColor="text1"/>
          <w:sz w:val="24"/>
          <w:szCs w:val="24"/>
        </w:rPr>
        <w:t>Table 8 presents the descriptive statistics for Yes response rates by exposure group and set. Tables 9 and 10 present the inferential statistics based on linear mixed effects models. Fig</w:t>
      </w:r>
      <w:r w:rsidRPr="519F8C63">
        <w:rPr>
          <w:sz w:val="24"/>
          <w:szCs w:val="24"/>
        </w:rPr>
        <w:t xml:space="preserve">ures 3 and 4 illustrate the distribution of Yes responses. </w:t>
      </w:r>
      <w:r w:rsidRPr="519F8C63">
        <w:rPr>
          <w:color w:val="000000" w:themeColor="text1"/>
          <w:sz w:val="24"/>
          <w:szCs w:val="24"/>
        </w:rPr>
        <w:t xml:space="preserve">Whilst the effect of group will be identical for accuracy and Yes response rates, the effect of </w:t>
      </w:r>
      <w:r w:rsidRPr="519F8C63">
        <w:rPr>
          <w:sz w:val="24"/>
          <w:szCs w:val="24"/>
        </w:rPr>
        <w:t>S</w:t>
      </w:r>
      <w:r w:rsidRPr="519F8C63">
        <w:rPr>
          <w:color w:val="000000" w:themeColor="text1"/>
          <w:sz w:val="24"/>
          <w:szCs w:val="24"/>
        </w:rPr>
        <w:t>et may not be. Table 9 presents the effects of Set on Yes response rates in the 0x control group. Table 10 presents the effects of Set on Yes response rates in the two exposure groups. In neither analysis was there a significant effect of Set, indicating that participants – whether or not they had watched the forecast – did not respond differently to signs that were or were not signs of STS. There is therefore no evidence for the learning of phonological regularities during the viewing of the input materials.</w:t>
      </w:r>
    </w:p>
    <w:p w14:paraId="2B83BC99" w14:textId="77777777" w:rsidR="00D475B6" w:rsidRDefault="00D475B6" w:rsidP="519F8C63">
      <w:pPr>
        <w:pBdr>
          <w:top w:val="nil"/>
          <w:left w:val="nil"/>
          <w:bottom w:val="nil"/>
          <w:right w:val="nil"/>
          <w:between w:val="nil"/>
        </w:pBdr>
        <w:shd w:val="clear" w:color="auto" w:fill="FFFFFF" w:themeFill="background1"/>
        <w:spacing w:after="0" w:line="360" w:lineRule="auto"/>
        <w:rPr>
          <w:color w:val="000000"/>
          <w:sz w:val="24"/>
          <w:szCs w:val="24"/>
        </w:rPr>
      </w:pPr>
    </w:p>
    <w:p w14:paraId="2B83BC9A" w14:textId="77777777" w:rsidR="00D475B6" w:rsidRDefault="00F34475" w:rsidP="519F8C63">
      <w:pPr>
        <w:keepNext/>
        <w:pBdr>
          <w:top w:val="nil"/>
          <w:left w:val="nil"/>
          <w:bottom w:val="nil"/>
          <w:right w:val="nil"/>
          <w:between w:val="nil"/>
        </w:pBdr>
        <w:spacing w:line="240" w:lineRule="auto"/>
        <w:rPr>
          <w:b/>
          <w:bCs/>
          <w:smallCaps/>
          <w:color w:val="44546A"/>
          <w:sz w:val="24"/>
          <w:szCs w:val="24"/>
        </w:rPr>
      </w:pPr>
      <w:bookmarkStart w:id="2" w:name="_heading=h.30j0zll"/>
      <w:bookmarkEnd w:id="2"/>
      <w:r w:rsidRPr="519F8C63">
        <w:rPr>
          <w:b/>
          <w:bCs/>
          <w:smallCaps/>
          <w:color w:val="44546A" w:themeColor="text2"/>
          <w:sz w:val="24"/>
          <w:szCs w:val="24"/>
        </w:rPr>
        <w:t>Table 8 Yes response rate by Exposure Group and Sign Set</w:t>
      </w:r>
    </w:p>
    <w:tbl>
      <w:tblPr>
        <w:tblStyle w:val="a6"/>
        <w:tblW w:w="8103" w:type="dxa"/>
        <w:tblLayout w:type="fixed"/>
        <w:tblLook w:val="0400" w:firstRow="0" w:lastRow="0" w:firstColumn="0" w:lastColumn="0" w:noHBand="0" w:noVBand="1"/>
      </w:tblPr>
      <w:tblGrid>
        <w:gridCol w:w="1920"/>
        <w:gridCol w:w="1125"/>
        <w:gridCol w:w="1665"/>
        <w:gridCol w:w="1725"/>
        <w:gridCol w:w="1668"/>
      </w:tblGrid>
      <w:tr w:rsidR="00D475B6" w14:paraId="2B83BC9F" w14:textId="77777777" w:rsidTr="519F8C63">
        <w:trPr>
          <w:trHeight w:val="375"/>
        </w:trPr>
        <w:tc>
          <w:tcPr>
            <w:tcW w:w="3045" w:type="dxa"/>
            <w:gridSpan w:val="2"/>
            <w:tcBorders>
              <w:top w:val="single" w:sz="8" w:space="0" w:color="000000" w:themeColor="text1"/>
              <w:left w:val="nil"/>
              <w:bottom w:val="single" w:sz="8" w:space="0" w:color="000000" w:themeColor="text1"/>
              <w:right w:val="nil"/>
            </w:tcBorders>
            <w:shd w:val="clear" w:color="auto" w:fill="auto"/>
            <w:vAlign w:val="center"/>
          </w:tcPr>
          <w:p w14:paraId="2B83BC9B" w14:textId="77777777" w:rsidR="00D475B6" w:rsidRDefault="00F34475" w:rsidP="519F8C63">
            <w:pPr>
              <w:spacing w:after="0" w:line="240" w:lineRule="auto"/>
              <w:rPr>
                <w:b/>
                <w:bCs/>
                <w:color w:val="000000"/>
                <w:sz w:val="24"/>
                <w:szCs w:val="24"/>
              </w:rPr>
            </w:pPr>
            <w:r w:rsidRPr="519F8C63">
              <w:rPr>
                <w:b/>
                <w:bCs/>
                <w:color w:val="000000" w:themeColor="text1"/>
                <w:sz w:val="24"/>
                <w:szCs w:val="24"/>
              </w:rPr>
              <w:t>Exposure group</w:t>
            </w:r>
          </w:p>
        </w:tc>
        <w:tc>
          <w:tcPr>
            <w:tcW w:w="1665" w:type="dxa"/>
            <w:tcBorders>
              <w:top w:val="single" w:sz="8" w:space="0" w:color="000000" w:themeColor="text1"/>
              <w:left w:val="nil"/>
              <w:bottom w:val="single" w:sz="8" w:space="0" w:color="000000" w:themeColor="text1"/>
              <w:right w:val="nil"/>
            </w:tcBorders>
            <w:shd w:val="clear" w:color="auto" w:fill="auto"/>
            <w:vAlign w:val="center"/>
          </w:tcPr>
          <w:p w14:paraId="2B83BC9C" w14:textId="77777777" w:rsidR="00D475B6" w:rsidRDefault="00F34475" w:rsidP="519F8C63">
            <w:pPr>
              <w:spacing w:after="0" w:line="240" w:lineRule="auto"/>
              <w:jc w:val="right"/>
              <w:rPr>
                <w:b/>
                <w:bCs/>
                <w:color w:val="000000"/>
                <w:sz w:val="24"/>
                <w:szCs w:val="24"/>
              </w:rPr>
            </w:pPr>
            <w:r w:rsidRPr="519F8C63">
              <w:rPr>
                <w:b/>
                <w:bCs/>
                <w:color w:val="000000" w:themeColor="text1"/>
                <w:sz w:val="24"/>
                <w:szCs w:val="24"/>
              </w:rPr>
              <w:t xml:space="preserve">0x Exposure </w:t>
            </w:r>
          </w:p>
        </w:tc>
        <w:tc>
          <w:tcPr>
            <w:tcW w:w="1725" w:type="dxa"/>
            <w:tcBorders>
              <w:top w:val="single" w:sz="8" w:space="0" w:color="000000" w:themeColor="text1"/>
              <w:left w:val="nil"/>
              <w:bottom w:val="single" w:sz="8" w:space="0" w:color="000000" w:themeColor="text1"/>
              <w:right w:val="nil"/>
            </w:tcBorders>
            <w:shd w:val="clear" w:color="auto" w:fill="auto"/>
            <w:vAlign w:val="center"/>
          </w:tcPr>
          <w:p w14:paraId="2B83BC9D" w14:textId="77777777" w:rsidR="00D475B6" w:rsidRDefault="00F34475" w:rsidP="519F8C63">
            <w:pPr>
              <w:spacing w:after="0" w:line="240" w:lineRule="auto"/>
              <w:jc w:val="right"/>
              <w:rPr>
                <w:b/>
                <w:bCs/>
                <w:color w:val="000000"/>
                <w:sz w:val="24"/>
                <w:szCs w:val="24"/>
              </w:rPr>
            </w:pPr>
            <w:r w:rsidRPr="519F8C63">
              <w:rPr>
                <w:b/>
                <w:bCs/>
                <w:color w:val="000000" w:themeColor="text1"/>
                <w:sz w:val="24"/>
                <w:szCs w:val="24"/>
              </w:rPr>
              <w:t xml:space="preserve">1x Exposure </w:t>
            </w:r>
          </w:p>
        </w:tc>
        <w:tc>
          <w:tcPr>
            <w:tcW w:w="1668" w:type="dxa"/>
            <w:tcBorders>
              <w:top w:val="single" w:sz="8" w:space="0" w:color="000000" w:themeColor="text1"/>
              <w:left w:val="nil"/>
              <w:bottom w:val="single" w:sz="8" w:space="0" w:color="000000" w:themeColor="text1"/>
              <w:right w:val="nil"/>
            </w:tcBorders>
            <w:shd w:val="clear" w:color="auto" w:fill="auto"/>
            <w:vAlign w:val="center"/>
          </w:tcPr>
          <w:p w14:paraId="2B83BC9E" w14:textId="77777777" w:rsidR="00D475B6" w:rsidRDefault="00F34475" w:rsidP="519F8C63">
            <w:pPr>
              <w:spacing w:after="0" w:line="240" w:lineRule="auto"/>
              <w:jc w:val="right"/>
              <w:rPr>
                <w:b/>
                <w:bCs/>
                <w:color w:val="000000"/>
                <w:sz w:val="24"/>
                <w:szCs w:val="24"/>
              </w:rPr>
            </w:pPr>
            <w:r w:rsidRPr="519F8C63">
              <w:rPr>
                <w:b/>
                <w:bCs/>
                <w:color w:val="000000" w:themeColor="text1"/>
                <w:sz w:val="24"/>
                <w:szCs w:val="24"/>
              </w:rPr>
              <w:t xml:space="preserve">2x Exposure </w:t>
            </w:r>
          </w:p>
        </w:tc>
      </w:tr>
      <w:tr w:rsidR="00D475B6" w14:paraId="2B83BCA5" w14:textId="77777777" w:rsidTr="519F8C63">
        <w:trPr>
          <w:trHeight w:val="315"/>
        </w:trPr>
        <w:tc>
          <w:tcPr>
            <w:tcW w:w="1920" w:type="dxa"/>
            <w:tcBorders>
              <w:top w:val="nil"/>
              <w:left w:val="nil"/>
              <w:bottom w:val="nil"/>
              <w:right w:val="nil"/>
            </w:tcBorders>
            <w:shd w:val="clear" w:color="auto" w:fill="auto"/>
            <w:vAlign w:val="center"/>
          </w:tcPr>
          <w:p w14:paraId="2B83BCA0" w14:textId="77777777" w:rsidR="00D475B6" w:rsidRDefault="00F34475">
            <w:pPr>
              <w:spacing w:after="0" w:line="240" w:lineRule="auto"/>
              <w:rPr>
                <w:color w:val="000000"/>
                <w:sz w:val="24"/>
                <w:szCs w:val="24"/>
              </w:rPr>
            </w:pPr>
            <w:r w:rsidRPr="519F8C63">
              <w:rPr>
                <w:color w:val="000000" w:themeColor="text1"/>
                <w:sz w:val="24"/>
                <w:szCs w:val="24"/>
              </w:rPr>
              <w:t>Yes rate (%)</w:t>
            </w:r>
          </w:p>
        </w:tc>
        <w:tc>
          <w:tcPr>
            <w:tcW w:w="1125" w:type="dxa"/>
            <w:tcBorders>
              <w:top w:val="nil"/>
              <w:left w:val="nil"/>
              <w:bottom w:val="nil"/>
              <w:right w:val="nil"/>
            </w:tcBorders>
            <w:shd w:val="clear" w:color="auto" w:fill="auto"/>
            <w:vAlign w:val="center"/>
          </w:tcPr>
          <w:p w14:paraId="2B83BCA1" w14:textId="77777777" w:rsidR="00D475B6" w:rsidRDefault="00F34475">
            <w:pPr>
              <w:spacing w:after="0" w:line="240" w:lineRule="auto"/>
              <w:rPr>
                <w:color w:val="000000"/>
                <w:sz w:val="24"/>
                <w:szCs w:val="24"/>
              </w:rPr>
            </w:pPr>
            <w:r w:rsidRPr="519F8C63">
              <w:rPr>
                <w:color w:val="000000" w:themeColor="text1"/>
                <w:sz w:val="24"/>
                <w:szCs w:val="24"/>
              </w:rPr>
              <w:t>Mean</w:t>
            </w:r>
          </w:p>
        </w:tc>
        <w:tc>
          <w:tcPr>
            <w:tcW w:w="1665" w:type="dxa"/>
            <w:tcBorders>
              <w:top w:val="nil"/>
              <w:left w:val="nil"/>
              <w:bottom w:val="nil"/>
              <w:right w:val="nil"/>
            </w:tcBorders>
            <w:shd w:val="clear" w:color="auto" w:fill="auto"/>
            <w:vAlign w:val="bottom"/>
          </w:tcPr>
          <w:p w14:paraId="2B83BCA2" w14:textId="77777777" w:rsidR="00D475B6" w:rsidRDefault="00F34475">
            <w:pPr>
              <w:spacing w:after="0" w:line="240" w:lineRule="auto"/>
              <w:jc w:val="right"/>
              <w:rPr>
                <w:color w:val="000000"/>
                <w:sz w:val="24"/>
                <w:szCs w:val="24"/>
              </w:rPr>
            </w:pPr>
            <w:r w:rsidRPr="519F8C63">
              <w:rPr>
                <w:color w:val="000000" w:themeColor="text1"/>
                <w:sz w:val="24"/>
                <w:szCs w:val="24"/>
              </w:rPr>
              <w:t>59.52</w:t>
            </w:r>
          </w:p>
        </w:tc>
        <w:tc>
          <w:tcPr>
            <w:tcW w:w="1725" w:type="dxa"/>
            <w:tcBorders>
              <w:top w:val="nil"/>
              <w:left w:val="nil"/>
              <w:bottom w:val="nil"/>
              <w:right w:val="nil"/>
            </w:tcBorders>
            <w:shd w:val="clear" w:color="auto" w:fill="auto"/>
            <w:vAlign w:val="bottom"/>
          </w:tcPr>
          <w:p w14:paraId="2B83BCA3" w14:textId="77777777" w:rsidR="00D475B6" w:rsidRDefault="00F34475">
            <w:pPr>
              <w:spacing w:after="0" w:line="240" w:lineRule="auto"/>
              <w:jc w:val="right"/>
              <w:rPr>
                <w:color w:val="000000"/>
                <w:sz w:val="24"/>
                <w:szCs w:val="24"/>
              </w:rPr>
            </w:pPr>
            <w:r w:rsidRPr="519F8C63">
              <w:rPr>
                <w:color w:val="000000" w:themeColor="text1"/>
                <w:sz w:val="24"/>
                <w:szCs w:val="24"/>
              </w:rPr>
              <w:t>55.60</w:t>
            </w:r>
          </w:p>
        </w:tc>
        <w:tc>
          <w:tcPr>
            <w:tcW w:w="1668" w:type="dxa"/>
            <w:tcBorders>
              <w:top w:val="nil"/>
              <w:left w:val="nil"/>
              <w:bottom w:val="nil"/>
              <w:right w:val="nil"/>
            </w:tcBorders>
            <w:shd w:val="clear" w:color="auto" w:fill="auto"/>
            <w:vAlign w:val="bottom"/>
          </w:tcPr>
          <w:p w14:paraId="2B83BCA4" w14:textId="77777777" w:rsidR="00D475B6" w:rsidRDefault="00F34475">
            <w:pPr>
              <w:spacing w:after="0" w:line="240" w:lineRule="auto"/>
              <w:jc w:val="right"/>
              <w:rPr>
                <w:color w:val="000000"/>
                <w:sz w:val="24"/>
                <w:szCs w:val="24"/>
              </w:rPr>
            </w:pPr>
            <w:r w:rsidRPr="519F8C63">
              <w:rPr>
                <w:color w:val="000000" w:themeColor="text1"/>
                <w:sz w:val="24"/>
                <w:szCs w:val="24"/>
              </w:rPr>
              <w:t>61.41</w:t>
            </w:r>
          </w:p>
        </w:tc>
      </w:tr>
      <w:tr w:rsidR="00D475B6" w14:paraId="2B83BCAB" w14:textId="77777777" w:rsidTr="519F8C63">
        <w:trPr>
          <w:trHeight w:val="315"/>
        </w:trPr>
        <w:tc>
          <w:tcPr>
            <w:tcW w:w="1920" w:type="dxa"/>
            <w:tcBorders>
              <w:top w:val="nil"/>
              <w:left w:val="nil"/>
              <w:bottom w:val="single" w:sz="4" w:space="0" w:color="000000" w:themeColor="text1"/>
              <w:right w:val="nil"/>
            </w:tcBorders>
            <w:shd w:val="clear" w:color="auto" w:fill="auto"/>
            <w:vAlign w:val="center"/>
          </w:tcPr>
          <w:p w14:paraId="2B83BCA6" w14:textId="77777777" w:rsidR="00D475B6" w:rsidRDefault="00F34475">
            <w:pPr>
              <w:spacing w:after="0" w:line="240" w:lineRule="auto"/>
              <w:rPr>
                <w:color w:val="000000"/>
                <w:sz w:val="24"/>
                <w:szCs w:val="24"/>
              </w:rPr>
            </w:pPr>
            <w:r w:rsidRPr="519F8C63">
              <w:rPr>
                <w:color w:val="000000" w:themeColor="text1"/>
                <w:sz w:val="24"/>
                <w:szCs w:val="24"/>
              </w:rPr>
              <w:lastRenderedPageBreak/>
              <w:t>Set 1 signs</w:t>
            </w:r>
          </w:p>
        </w:tc>
        <w:tc>
          <w:tcPr>
            <w:tcW w:w="1125" w:type="dxa"/>
            <w:tcBorders>
              <w:top w:val="nil"/>
              <w:left w:val="nil"/>
              <w:bottom w:val="single" w:sz="4" w:space="0" w:color="000000" w:themeColor="text1"/>
              <w:right w:val="nil"/>
            </w:tcBorders>
            <w:shd w:val="clear" w:color="auto" w:fill="auto"/>
            <w:vAlign w:val="center"/>
          </w:tcPr>
          <w:p w14:paraId="2B83BCA7" w14:textId="77777777" w:rsidR="00D475B6" w:rsidRDefault="00F34475">
            <w:pPr>
              <w:spacing w:after="0" w:line="240" w:lineRule="auto"/>
              <w:rPr>
                <w:color w:val="000000"/>
                <w:sz w:val="24"/>
                <w:szCs w:val="24"/>
              </w:rPr>
            </w:pPr>
            <w:r w:rsidRPr="519F8C63">
              <w:rPr>
                <w:color w:val="000000" w:themeColor="text1"/>
                <w:sz w:val="24"/>
                <w:szCs w:val="24"/>
              </w:rPr>
              <w:t>SD</w:t>
            </w:r>
          </w:p>
        </w:tc>
        <w:tc>
          <w:tcPr>
            <w:tcW w:w="1665" w:type="dxa"/>
            <w:tcBorders>
              <w:top w:val="nil"/>
              <w:left w:val="nil"/>
              <w:bottom w:val="single" w:sz="4" w:space="0" w:color="000000" w:themeColor="text1"/>
              <w:right w:val="nil"/>
            </w:tcBorders>
            <w:shd w:val="clear" w:color="auto" w:fill="auto"/>
            <w:vAlign w:val="bottom"/>
          </w:tcPr>
          <w:p w14:paraId="2B83BCA8" w14:textId="77777777" w:rsidR="00D475B6" w:rsidRDefault="00F34475">
            <w:pPr>
              <w:spacing w:after="0" w:line="240" w:lineRule="auto"/>
              <w:jc w:val="right"/>
              <w:rPr>
                <w:color w:val="000000"/>
                <w:sz w:val="24"/>
                <w:szCs w:val="24"/>
              </w:rPr>
            </w:pPr>
            <w:r w:rsidRPr="519F8C63">
              <w:rPr>
                <w:color w:val="000000" w:themeColor="text1"/>
                <w:sz w:val="24"/>
                <w:szCs w:val="24"/>
              </w:rPr>
              <w:t>23.07</w:t>
            </w:r>
          </w:p>
        </w:tc>
        <w:tc>
          <w:tcPr>
            <w:tcW w:w="1725" w:type="dxa"/>
            <w:tcBorders>
              <w:top w:val="nil"/>
              <w:left w:val="nil"/>
              <w:bottom w:val="single" w:sz="4" w:space="0" w:color="000000" w:themeColor="text1"/>
              <w:right w:val="nil"/>
            </w:tcBorders>
            <w:shd w:val="clear" w:color="auto" w:fill="auto"/>
            <w:vAlign w:val="bottom"/>
          </w:tcPr>
          <w:p w14:paraId="2B83BCA9" w14:textId="77777777" w:rsidR="00D475B6" w:rsidRDefault="00F34475">
            <w:pPr>
              <w:spacing w:after="0" w:line="240" w:lineRule="auto"/>
              <w:jc w:val="right"/>
              <w:rPr>
                <w:color w:val="000000"/>
                <w:sz w:val="24"/>
                <w:szCs w:val="24"/>
              </w:rPr>
            </w:pPr>
            <w:r w:rsidRPr="519F8C63">
              <w:rPr>
                <w:color w:val="000000" w:themeColor="text1"/>
                <w:sz w:val="24"/>
                <w:szCs w:val="24"/>
              </w:rPr>
              <w:t>16.73</w:t>
            </w:r>
          </w:p>
        </w:tc>
        <w:tc>
          <w:tcPr>
            <w:tcW w:w="1668" w:type="dxa"/>
            <w:tcBorders>
              <w:top w:val="nil"/>
              <w:left w:val="nil"/>
              <w:bottom w:val="single" w:sz="4" w:space="0" w:color="000000" w:themeColor="text1"/>
              <w:right w:val="nil"/>
            </w:tcBorders>
            <w:shd w:val="clear" w:color="auto" w:fill="auto"/>
            <w:vAlign w:val="bottom"/>
          </w:tcPr>
          <w:p w14:paraId="2B83BCAA" w14:textId="77777777" w:rsidR="00D475B6" w:rsidRDefault="00F34475">
            <w:pPr>
              <w:spacing w:after="0" w:line="240" w:lineRule="auto"/>
              <w:jc w:val="right"/>
              <w:rPr>
                <w:color w:val="000000"/>
                <w:sz w:val="24"/>
                <w:szCs w:val="24"/>
              </w:rPr>
            </w:pPr>
            <w:r w:rsidRPr="519F8C63">
              <w:rPr>
                <w:color w:val="000000" w:themeColor="text1"/>
                <w:sz w:val="24"/>
                <w:szCs w:val="24"/>
              </w:rPr>
              <w:t>16.78</w:t>
            </w:r>
          </w:p>
        </w:tc>
      </w:tr>
      <w:tr w:rsidR="00D475B6" w14:paraId="2B83BCB1" w14:textId="77777777" w:rsidTr="519F8C63">
        <w:trPr>
          <w:trHeight w:val="315"/>
        </w:trPr>
        <w:tc>
          <w:tcPr>
            <w:tcW w:w="1920" w:type="dxa"/>
            <w:tcBorders>
              <w:top w:val="nil"/>
              <w:left w:val="nil"/>
              <w:bottom w:val="nil"/>
              <w:right w:val="nil"/>
            </w:tcBorders>
            <w:shd w:val="clear" w:color="auto" w:fill="auto"/>
            <w:vAlign w:val="center"/>
          </w:tcPr>
          <w:p w14:paraId="2B83BCAC" w14:textId="77777777" w:rsidR="00D475B6" w:rsidRDefault="00F34475">
            <w:pPr>
              <w:spacing w:after="0" w:line="240" w:lineRule="auto"/>
              <w:rPr>
                <w:color w:val="000000"/>
                <w:sz w:val="24"/>
                <w:szCs w:val="24"/>
              </w:rPr>
            </w:pPr>
            <w:r w:rsidRPr="519F8C63">
              <w:rPr>
                <w:color w:val="000000" w:themeColor="text1"/>
                <w:sz w:val="24"/>
                <w:szCs w:val="24"/>
              </w:rPr>
              <w:t>Yes rate (%)</w:t>
            </w:r>
          </w:p>
        </w:tc>
        <w:tc>
          <w:tcPr>
            <w:tcW w:w="1125" w:type="dxa"/>
            <w:tcBorders>
              <w:top w:val="nil"/>
              <w:left w:val="nil"/>
              <w:bottom w:val="nil"/>
              <w:right w:val="nil"/>
            </w:tcBorders>
            <w:shd w:val="clear" w:color="auto" w:fill="auto"/>
            <w:vAlign w:val="center"/>
          </w:tcPr>
          <w:p w14:paraId="2B83BCAD" w14:textId="77777777" w:rsidR="00D475B6" w:rsidRDefault="00F34475">
            <w:pPr>
              <w:spacing w:after="0" w:line="240" w:lineRule="auto"/>
              <w:rPr>
                <w:color w:val="000000"/>
                <w:sz w:val="24"/>
                <w:szCs w:val="24"/>
              </w:rPr>
            </w:pPr>
            <w:r w:rsidRPr="519F8C63">
              <w:rPr>
                <w:color w:val="000000" w:themeColor="text1"/>
                <w:sz w:val="24"/>
                <w:szCs w:val="24"/>
              </w:rPr>
              <w:t>Mean</w:t>
            </w:r>
          </w:p>
        </w:tc>
        <w:tc>
          <w:tcPr>
            <w:tcW w:w="1665" w:type="dxa"/>
            <w:tcBorders>
              <w:top w:val="nil"/>
              <w:left w:val="nil"/>
              <w:bottom w:val="nil"/>
              <w:right w:val="nil"/>
            </w:tcBorders>
            <w:shd w:val="clear" w:color="auto" w:fill="auto"/>
            <w:vAlign w:val="bottom"/>
          </w:tcPr>
          <w:p w14:paraId="2B83BCAE" w14:textId="77777777" w:rsidR="00D475B6" w:rsidRDefault="00F34475">
            <w:pPr>
              <w:spacing w:after="0" w:line="240" w:lineRule="auto"/>
              <w:jc w:val="right"/>
              <w:rPr>
                <w:color w:val="000000"/>
                <w:sz w:val="24"/>
                <w:szCs w:val="24"/>
              </w:rPr>
            </w:pPr>
            <w:r w:rsidRPr="519F8C63">
              <w:rPr>
                <w:color w:val="000000" w:themeColor="text1"/>
                <w:sz w:val="24"/>
                <w:szCs w:val="24"/>
              </w:rPr>
              <w:t>59.57</w:t>
            </w:r>
          </w:p>
        </w:tc>
        <w:tc>
          <w:tcPr>
            <w:tcW w:w="1725" w:type="dxa"/>
            <w:tcBorders>
              <w:top w:val="nil"/>
              <w:left w:val="nil"/>
              <w:bottom w:val="nil"/>
              <w:right w:val="nil"/>
            </w:tcBorders>
            <w:shd w:val="clear" w:color="auto" w:fill="auto"/>
            <w:vAlign w:val="bottom"/>
          </w:tcPr>
          <w:p w14:paraId="2B83BCAF" w14:textId="77777777" w:rsidR="00D475B6" w:rsidRDefault="00F34475">
            <w:pPr>
              <w:spacing w:after="0" w:line="240" w:lineRule="auto"/>
              <w:jc w:val="right"/>
              <w:rPr>
                <w:color w:val="000000"/>
                <w:sz w:val="24"/>
                <w:szCs w:val="24"/>
              </w:rPr>
            </w:pPr>
            <w:r w:rsidRPr="519F8C63">
              <w:rPr>
                <w:color w:val="000000" w:themeColor="text1"/>
                <w:sz w:val="24"/>
                <w:szCs w:val="24"/>
              </w:rPr>
              <w:t>61.91</w:t>
            </w:r>
          </w:p>
        </w:tc>
        <w:tc>
          <w:tcPr>
            <w:tcW w:w="1668" w:type="dxa"/>
            <w:tcBorders>
              <w:top w:val="nil"/>
              <w:left w:val="nil"/>
              <w:bottom w:val="nil"/>
              <w:right w:val="nil"/>
            </w:tcBorders>
            <w:shd w:val="clear" w:color="auto" w:fill="auto"/>
            <w:vAlign w:val="bottom"/>
          </w:tcPr>
          <w:p w14:paraId="2B83BCB0" w14:textId="77777777" w:rsidR="00D475B6" w:rsidRDefault="00F34475">
            <w:pPr>
              <w:spacing w:after="0" w:line="240" w:lineRule="auto"/>
              <w:jc w:val="right"/>
              <w:rPr>
                <w:color w:val="000000"/>
                <w:sz w:val="24"/>
                <w:szCs w:val="24"/>
              </w:rPr>
            </w:pPr>
            <w:r w:rsidRPr="519F8C63">
              <w:rPr>
                <w:color w:val="000000" w:themeColor="text1"/>
                <w:sz w:val="24"/>
                <w:szCs w:val="24"/>
              </w:rPr>
              <w:t>59.50</w:t>
            </w:r>
          </w:p>
        </w:tc>
      </w:tr>
      <w:tr w:rsidR="00D475B6" w14:paraId="2B83BCB7" w14:textId="77777777" w:rsidTr="519F8C63">
        <w:trPr>
          <w:trHeight w:val="315"/>
        </w:trPr>
        <w:tc>
          <w:tcPr>
            <w:tcW w:w="1920" w:type="dxa"/>
            <w:tcBorders>
              <w:top w:val="nil"/>
              <w:left w:val="nil"/>
              <w:bottom w:val="single" w:sz="4" w:space="0" w:color="000000" w:themeColor="text1"/>
              <w:right w:val="nil"/>
            </w:tcBorders>
            <w:shd w:val="clear" w:color="auto" w:fill="auto"/>
            <w:vAlign w:val="center"/>
          </w:tcPr>
          <w:p w14:paraId="2B83BCB2" w14:textId="77777777" w:rsidR="00D475B6" w:rsidRDefault="00F34475">
            <w:pPr>
              <w:spacing w:after="0" w:line="240" w:lineRule="auto"/>
              <w:rPr>
                <w:color w:val="000000"/>
                <w:sz w:val="24"/>
                <w:szCs w:val="24"/>
              </w:rPr>
            </w:pPr>
            <w:r w:rsidRPr="519F8C63">
              <w:rPr>
                <w:color w:val="000000" w:themeColor="text1"/>
                <w:sz w:val="24"/>
                <w:szCs w:val="24"/>
              </w:rPr>
              <w:t>Set 2 signs</w:t>
            </w:r>
          </w:p>
        </w:tc>
        <w:tc>
          <w:tcPr>
            <w:tcW w:w="1125" w:type="dxa"/>
            <w:tcBorders>
              <w:top w:val="nil"/>
              <w:left w:val="nil"/>
              <w:bottom w:val="single" w:sz="4" w:space="0" w:color="000000" w:themeColor="text1"/>
              <w:right w:val="nil"/>
            </w:tcBorders>
            <w:shd w:val="clear" w:color="auto" w:fill="auto"/>
            <w:vAlign w:val="center"/>
          </w:tcPr>
          <w:p w14:paraId="2B83BCB3" w14:textId="77777777" w:rsidR="00D475B6" w:rsidRDefault="00F34475">
            <w:pPr>
              <w:spacing w:after="0" w:line="240" w:lineRule="auto"/>
              <w:rPr>
                <w:color w:val="000000"/>
                <w:sz w:val="24"/>
                <w:szCs w:val="24"/>
              </w:rPr>
            </w:pPr>
            <w:r w:rsidRPr="519F8C63">
              <w:rPr>
                <w:color w:val="000000" w:themeColor="text1"/>
                <w:sz w:val="24"/>
                <w:szCs w:val="24"/>
              </w:rPr>
              <w:t>SD</w:t>
            </w:r>
          </w:p>
        </w:tc>
        <w:tc>
          <w:tcPr>
            <w:tcW w:w="1665" w:type="dxa"/>
            <w:tcBorders>
              <w:top w:val="nil"/>
              <w:left w:val="nil"/>
              <w:bottom w:val="single" w:sz="4" w:space="0" w:color="000000" w:themeColor="text1"/>
              <w:right w:val="nil"/>
            </w:tcBorders>
            <w:shd w:val="clear" w:color="auto" w:fill="auto"/>
            <w:vAlign w:val="bottom"/>
          </w:tcPr>
          <w:p w14:paraId="2B83BCB4" w14:textId="77777777" w:rsidR="00D475B6" w:rsidRDefault="00F34475">
            <w:pPr>
              <w:spacing w:after="0" w:line="240" w:lineRule="auto"/>
              <w:jc w:val="right"/>
              <w:rPr>
                <w:color w:val="000000"/>
                <w:sz w:val="24"/>
                <w:szCs w:val="24"/>
              </w:rPr>
            </w:pPr>
            <w:r w:rsidRPr="519F8C63">
              <w:rPr>
                <w:color w:val="000000" w:themeColor="text1"/>
                <w:sz w:val="24"/>
                <w:szCs w:val="24"/>
              </w:rPr>
              <w:t>24.75</w:t>
            </w:r>
          </w:p>
        </w:tc>
        <w:tc>
          <w:tcPr>
            <w:tcW w:w="1725" w:type="dxa"/>
            <w:tcBorders>
              <w:top w:val="nil"/>
              <w:left w:val="nil"/>
              <w:bottom w:val="single" w:sz="4" w:space="0" w:color="000000" w:themeColor="text1"/>
              <w:right w:val="nil"/>
            </w:tcBorders>
            <w:shd w:val="clear" w:color="auto" w:fill="auto"/>
            <w:vAlign w:val="bottom"/>
          </w:tcPr>
          <w:p w14:paraId="2B83BCB5" w14:textId="77777777" w:rsidR="00D475B6" w:rsidRDefault="00F34475">
            <w:pPr>
              <w:spacing w:after="0" w:line="240" w:lineRule="auto"/>
              <w:jc w:val="right"/>
              <w:rPr>
                <w:color w:val="000000"/>
                <w:sz w:val="24"/>
                <w:szCs w:val="24"/>
              </w:rPr>
            </w:pPr>
            <w:r w:rsidRPr="519F8C63">
              <w:rPr>
                <w:color w:val="000000" w:themeColor="text1"/>
                <w:sz w:val="24"/>
                <w:szCs w:val="24"/>
              </w:rPr>
              <w:t>13.86</w:t>
            </w:r>
          </w:p>
        </w:tc>
        <w:tc>
          <w:tcPr>
            <w:tcW w:w="1668" w:type="dxa"/>
            <w:tcBorders>
              <w:top w:val="nil"/>
              <w:left w:val="nil"/>
              <w:bottom w:val="single" w:sz="4" w:space="0" w:color="000000" w:themeColor="text1"/>
              <w:right w:val="nil"/>
            </w:tcBorders>
            <w:shd w:val="clear" w:color="auto" w:fill="auto"/>
            <w:vAlign w:val="bottom"/>
          </w:tcPr>
          <w:p w14:paraId="2B83BCB6" w14:textId="77777777" w:rsidR="00D475B6" w:rsidRDefault="00F34475">
            <w:pPr>
              <w:spacing w:after="0" w:line="240" w:lineRule="auto"/>
              <w:jc w:val="right"/>
              <w:rPr>
                <w:color w:val="000000"/>
                <w:sz w:val="24"/>
                <w:szCs w:val="24"/>
              </w:rPr>
            </w:pPr>
            <w:r w:rsidRPr="519F8C63">
              <w:rPr>
                <w:color w:val="000000" w:themeColor="text1"/>
                <w:sz w:val="24"/>
                <w:szCs w:val="24"/>
              </w:rPr>
              <w:t>17.11</w:t>
            </w:r>
          </w:p>
        </w:tc>
      </w:tr>
      <w:tr w:rsidR="00D475B6" w14:paraId="2B83BCBD" w14:textId="77777777" w:rsidTr="519F8C63">
        <w:trPr>
          <w:trHeight w:val="315"/>
        </w:trPr>
        <w:tc>
          <w:tcPr>
            <w:tcW w:w="1920" w:type="dxa"/>
            <w:tcBorders>
              <w:top w:val="nil"/>
              <w:left w:val="nil"/>
              <w:bottom w:val="nil"/>
              <w:right w:val="nil"/>
            </w:tcBorders>
            <w:shd w:val="clear" w:color="auto" w:fill="auto"/>
            <w:vAlign w:val="center"/>
          </w:tcPr>
          <w:p w14:paraId="2B83BCB8" w14:textId="77777777" w:rsidR="00D475B6" w:rsidRDefault="00F34475">
            <w:pPr>
              <w:spacing w:after="0" w:line="240" w:lineRule="auto"/>
              <w:rPr>
                <w:color w:val="000000"/>
                <w:sz w:val="24"/>
                <w:szCs w:val="24"/>
              </w:rPr>
            </w:pPr>
            <w:r w:rsidRPr="519F8C63">
              <w:rPr>
                <w:color w:val="000000" w:themeColor="text1"/>
                <w:sz w:val="24"/>
                <w:szCs w:val="24"/>
              </w:rPr>
              <w:t>Yes rate (%)</w:t>
            </w:r>
          </w:p>
        </w:tc>
        <w:tc>
          <w:tcPr>
            <w:tcW w:w="1125" w:type="dxa"/>
            <w:tcBorders>
              <w:top w:val="nil"/>
              <w:left w:val="nil"/>
              <w:bottom w:val="nil"/>
              <w:right w:val="nil"/>
            </w:tcBorders>
            <w:shd w:val="clear" w:color="auto" w:fill="auto"/>
            <w:vAlign w:val="center"/>
          </w:tcPr>
          <w:p w14:paraId="2B83BCB9" w14:textId="77777777" w:rsidR="00D475B6" w:rsidRDefault="00F34475">
            <w:pPr>
              <w:spacing w:after="0" w:line="240" w:lineRule="auto"/>
              <w:rPr>
                <w:color w:val="000000"/>
                <w:sz w:val="24"/>
                <w:szCs w:val="24"/>
              </w:rPr>
            </w:pPr>
            <w:r w:rsidRPr="519F8C63">
              <w:rPr>
                <w:color w:val="000000" w:themeColor="text1"/>
                <w:sz w:val="24"/>
                <w:szCs w:val="24"/>
              </w:rPr>
              <w:t>Mean</w:t>
            </w:r>
          </w:p>
        </w:tc>
        <w:tc>
          <w:tcPr>
            <w:tcW w:w="1665" w:type="dxa"/>
            <w:tcBorders>
              <w:top w:val="nil"/>
              <w:left w:val="nil"/>
              <w:bottom w:val="nil"/>
              <w:right w:val="nil"/>
            </w:tcBorders>
            <w:shd w:val="clear" w:color="auto" w:fill="auto"/>
            <w:vAlign w:val="bottom"/>
          </w:tcPr>
          <w:p w14:paraId="2B83BCBA" w14:textId="77777777" w:rsidR="00D475B6" w:rsidRDefault="00F34475">
            <w:pPr>
              <w:spacing w:after="0" w:line="240" w:lineRule="auto"/>
              <w:jc w:val="right"/>
              <w:rPr>
                <w:color w:val="000000"/>
                <w:sz w:val="24"/>
                <w:szCs w:val="24"/>
              </w:rPr>
            </w:pPr>
            <w:r w:rsidRPr="519F8C63">
              <w:rPr>
                <w:color w:val="000000" w:themeColor="text1"/>
                <w:sz w:val="24"/>
                <w:szCs w:val="24"/>
              </w:rPr>
              <w:t>57.26</w:t>
            </w:r>
          </w:p>
        </w:tc>
        <w:tc>
          <w:tcPr>
            <w:tcW w:w="1725" w:type="dxa"/>
            <w:tcBorders>
              <w:top w:val="nil"/>
              <w:left w:val="nil"/>
              <w:bottom w:val="nil"/>
              <w:right w:val="nil"/>
            </w:tcBorders>
            <w:shd w:val="clear" w:color="auto" w:fill="auto"/>
            <w:vAlign w:val="bottom"/>
          </w:tcPr>
          <w:p w14:paraId="2B83BCBB" w14:textId="77777777" w:rsidR="00D475B6" w:rsidRDefault="00F34475">
            <w:pPr>
              <w:spacing w:after="0" w:line="240" w:lineRule="auto"/>
              <w:jc w:val="right"/>
              <w:rPr>
                <w:color w:val="000000"/>
                <w:sz w:val="24"/>
                <w:szCs w:val="24"/>
              </w:rPr>
            </w:pPr>
            <w:r w:rsidRPr="519F8C63">
              <w:rPr>
                <w:color w:val="000000" w:themeColor="text1"/>
                <w:sz w:val="24"/>
                <w:szCs w:val="24"/>
              </w:rPr>
              <w:t>55.36</w:t>
            </w:r>
          </w:p>
        </w:tc>
        <w:tc>
          <w:tcPr>
            <w:tcW w:w="1668" w:type="dxa"/>
            <w:tcBorders>
              <w:top w:val="nil"/>
              <w:left w:val="nil"/>
              <w:bottom w:val="nil"/>
              <w:right w:val="nil"/>
            </w:tcBorders>
            <w:shd w:val="clear" w:color="auto" w:fill="auto"/>
            <w:vAlign w:val="bottom"/>
          </w:tcPr>
          <w:p w14:paraId="2B83BCBC" w14:textId="77777777" w:rsidR="00D475B6" w:rsidRDefault="00F34475">
            <w:pPr>
              <w:spacing w:after="0" w:line="240" w:lineRule="auto"/>
              <w:jc w:val="right"/>
              <w:rPr>
                <w:color w:val="000000"/>
                <w:sz w:val="24"/>
                <w:szCs w:val="24"/>
              </w:rPr>
            </w:pPr>
            <w:r w:rsidRPr="519F8C63">
              <w:rPr>
                <w:color w:val="000000" w:themeColor="text1"/>
                <w:sz w:val="24"/>
                <w:szCs w:val="24"/>
              </w:rPr>
              <w:t>53.13</w:t>
            </w:r>
          </w:p>
        </w:tc>
      </w:tr>
      <w:tr w:rsidR="00D475B6" w14:paraId="2B83BCC3" w14:textId="77777777" w:rsidTr="519F8C63">
        <w:trPr>
          <w:trHeight w:val="315"/>
        </w:trPr>
        <w:tc>
          <w:tcPr>
            <w:tcW w:w="1920" w:type="dxa"/>
            <w:tcBorders>
              <w:top w:val="nil"/>
              <w:left w:val="nil"/>
              <w:bottom w:val="single" w:sz="4" w:space="0" w:color="000000" w:themeColor="text1"/>
              <w:right w:val="nil"/>
            </w:tcBorders>
            <w:shd w:val="clear" w:color="auto" w:fill="auto"/>
            <w:vAlign w:val="center"/>
          </w:tcPr>
          <w:p w14:paraId="2B83BCBE" w14:textId="77777777" w:rsidR="00D475B6" w:rsidRDefault="00F34475">
            <w:pPr>
              <w:spacing w:after="0" w:line="240" w:lineRule="auto"/>
              <w:rPr>
                <w:color w:val="000000"/>
                <w:sz w:val="24"/>
                <w:szCs w:val="24"/>
              </w:rPr>
            </w:pPr>
            <w:r w:rsidRPr="519F8C63">
              <w:rPr>
                <w:color w:val="000000" w:themeColor="text1"/>
                <w:sz w:val="24"/>
                <w:szCs w:val="24"/>
              </w:rPr>
              <w:t>Set 3 signs</w:t>
            </w:r>
          </w:p>
        </w:tc>
        <w:tc>
          <w:tcPr>
            <w:tcW w:w="1125" w:type="dxa"/>
            <w:tcBorders>
              <w:top w:val="nil"/>
              <w:left w:val="nil"/>
              <w:bottom w:val="single" w:sz="4" w:space="0" w:color="000000" w:themeColor="text1"/>
              <w:right w:val="nil"/>
            </w:tcBorders>
            <w:shd w:val="clear" w:color="auto" w:fill="auto"/>
            <w:vAlign w:val="center"/>
          </w:tcPr>
          <w:p w14:paraId="2B83BCBF" w14:textId="77777777" w:rsidR="00D475B6" w:rsidRDefault="00F34475">
            <w:pPr>
              <w:spacing w:after="0" w:line="240" w:lineRule="auto"/>
              <w:rPr>
                <w:color w:val="000000"/>
                <w:sz w:val="24"/>
                <w:szCs w:val="24"/>
              </w:rPr>
            </w:pPr>
            <w:r w:rsidRPr="519F8C63">
              <w:rPr>
                <w:color w:val="000000" w:themeColor="text1"/>
                <w:sz w:val="24"/>
                <w:szCs w:val="24"/>
              </w:rPr>
              <w:t>SD</w:t>
            </w:r>
          </w:p>
        </w:tc>
        <w:tc>
          <w:tcPr>
            <w:tcW w:w="1665" w:type="dxa"/>
            <w:tcBorders>
              <w:top w:val="nil"/>
              <w:left w:val="nil"/>
              <w:bottom w:val="single" w:sz="4" w:space="0" w:color="000000" w:themeColor="text1"/>
              <w:right w:val="nil"/>
            </w:tcBorders>
            <w:shd w:val="clear" w:color="auto" w:fill="auto"/>
            <w:vAlign w:val="bottom"/>
          </w:tcPr>
          <w:p w14:paraId="2B83BCC0" w14:textId="77777777" w:rsidR="00D475B6" w:rsidRDefault="00F34475">
            <w:pPr>
              <w:spacing w:after="0" w:line="240" w:lineRule="auto"/>
              <w:jc w:val="right"/>
              <w:rPr>
                <w:color w:val="000000"/>
                <w:sz w:val="24"/>
                <w:szCs w:val="24"/>
              </w:rPr>
            </w:pPr>
            <w:r w:rsidRPr="519F8C63">
              <w:rPr>
                <w:color w:val="000000" w:themeColor="text1"/>
                <w:sz w:val="24"/>
                <w:szCs w:val="24"/>
              </w:rPr>
              <w:t>22.40</w:t>
            </w:r>
          </w:p>
        </w:tc>
        <w:tc>
          <w:tcPr>
            <w:tcW w:w="1725" w:type="dxa"/>
            <w:tcBorders>
              <w:top w:val="nil"/>
              <w:left w:val="nil"/>
              <w:bottom w:val="single" w:sz="4" w:space="0" w:color="000000" w:themeColor="text1"/>
              <w:right w:val="nil"/>
            </w:tcBorders>
            <w:shd w:val="clear" w:color="auto" w:fill="auto"/>
            <w:vAlign w:val="bottom"/>
          </w:tcPr>
          <w:p w14:paraId="2B83BCC1" w14:textId="77777777" w:rsidR="00D475B6" w:rsidRDefault="00F34475">
            <w:pPr>
              <w:spacing w:after="0" w:line="240" w:lineRule="auto"/>
              <w:jc w:val="right"/>
              <w:rPr>
                <w:color w:val="000000"/>
                <w:sz w:val="24"/>
                <w:szCs w:val="24"/>
              </w:rPr>
            </w:pPr>
            <w:r w:rsidRPr="519F8C63">
              <w:rPr>
                <w:color w:val="000000" w:themeColor="text1"/>
                <w:sz w:val="24"/>
                <w:szCs w:val="24"/>
              </w:rPr>
              <w:t>16.20</w:t>
            </w:r>
          </w:p>
        </w:tc>
        <w:tc>
          <w:tcPr>
            <w:tcW w:w="1668" w:type="dxa"/>
            <w:tcBorders>
              <w:top w:val="nil"/>
              <w:left w:val="nil"/>
              <w:bottom w:val="single" w:sz="4" w:space="0" w:color="000000" w:themeColor="text1"/>
              <w:right w:val="nil"/>
            </w:tcBorders>
            <w:shd w:val="clear" w:color="auto" w:fill="auto"/>
            <w:vAlign w:val="bottom"/>
          </w:tcPr>
          <w:p w14:paraId="2B83BCC2" w14:textId="77777777" w:rsidR="00D475B6" w:rsidRDefault="00F34475">
            <w:pPr>
              <w:spacing w:after="0" w:line="240" w:lineRule="auto"/>
              <w:jc w:val="right"/>
              <w:rPr>
                <w:color w:val="000000"/>
                <w:sz w:val="24"/>
                <w:szCs w:val="24"/>
              </w:rPr>
            </w:pPr>
            <w:r w:rsidRPr="519F8C63">
              <w:rPr>
                <w:color w:val="000000" w:themeColor="text1"/>
                <w:sz w:val="24"/>
                <w:szCs w:val="24"/>
              </w:rPr>
              <w:t>19.81</w:t>
            </w:r>
          </w:p>
        </w:tc>
      </w:tr>
      <w:tr w:rsidR="00D475B6" w14:paraId="2B83BCC9" w14:textId="77777777" w:rsidTr="519F8C63">
        <w:trPr>
          <w:trHeight w:val="315"/>
        </w:trPr>
        <w:tc>
          <w:tcPr>
            <w:tcW w:w="1920" w:type="dxa"/>
            <w:tcBorders>
              <w:top w:val="nil"/>
              <w:left w:val="nil"/>
              <w:bottom w:val="nil"/>
              <w:right w:val="nil"/>
            </w:tcBorders>
            <w:shd w:val="clear" w:color="auto" w:fill="auto"/>
            <w:vAlign w:val="center"/>
          </w:tcPr>
          <w:p w14:paraId="2B83BCC4" w14:textId="77777777" w:rsidR="00D475B6" w:rsidRDefault="00F34475">
            <w:pPr>
              <w:spacing w:after="0" w:line="240" w:lineRule="auto"/>
              <w:rPr>
                <w:color w:val="000000"/>
                <w:sz w:val="24"/>
                <w:szCs w:val="24"/>
              </w:rPr>
            </w:pPr>
            <w:r w:rsidRPr="519F8C63">
              <w:rPr>
                <w:color w:val="000000" w:themeColor="text1"/>
                <w:sz w:val="24"/>
                <w:szCs w:val="24"/>
              </w:rPr>
              <w:t>Yes rate (%)</w:t>
            </w:r>
          </w:p>
        </w:tc>
        <w:tc>
          <w:tcPr>
            <w:tcW w:w="1125" w:type="dxa"/>
            <w:tcBorders>
              <w:top w:val="nil"/>
              <w:left w:val="nil"/>
              <w:bottom w:val="nil"/>
              <w:right w:val="nil"/>
            </w:tcBorders>
            <w:shd w:val="clear" w:color="auto" w:fill="auto"/>
            <w:vAlign w:val="center"/>
          </w:tcPr>
          <w:p w14:paraId="2B83BCC5" w14:textId="77777777" w:rsidR="00D475B6" w:rsidRDefault="00F34475">
            <w:pPr>
              <w:spacing w:after="0" w:line="240" w:lineRule="auto"/>
              <w:rPr>
                <w:color w:val="000000"/>
                <w:sz w:val="24"/>
                <w:szCs w:val="24"/>
              </w:rPr>
            </w:pPr>
            <w:r w:rsidRPr="519F8C63">
              <w:rPr>
                <w:color w:val="000000" w:themeColor="text1"/>
                <w:sz w:val="24"/>
                <w:szCs w:val="24"/>
              </w:rPr>
              <w:t>Mean</w:t>
            </w:r>
          </w:p>
        </w:tc>
        <w:tc>
          <w:tcPr>
            <w:tcW w:w="1665" w:type="dxa"/>
            <w:tcBorders>
              <w:top w:val="nil"/>
              <w:left w:val="nil"/>
              <w:bottom w:val="nil"/>
              <w:right w:val="nil"/>
            </w:tcBorders>
            <w:shd w:val="clear" w:color="auto" w:fill="auto"/>
            <w:vAlign w:val="bottom"/>
          </w:tcPr>
          <w:p w14:paraId="2B83BCC6" w14:textId="77777777" w:rsidR="00D475B6" w:rsidRDefault="00F34475">
            <w:pPr>
              <w:spacing w:after="0" w:line="240" w:lineRule="auto"/>
              <w:jc w:val="right"/>
              <w:rPr>
                <w:color w:val="000000"/>
                <w:sz w:val="24"/>
                <w:szCs w:val="24"/>
              </w:rPr>
            </w:pPr>
            <w:r w:rsidRPr="519F8C63">
              <w:rPr>
                <w:color w:val="000000" w:themeColor="text1"/>
                <w:sz w:val="24"/>
                <w:szCs w:val="24"/>
              </w:rPr>
              <w:t>58.37</w:t>
            </w:r>
          </w:p>
        </w:tc>
        <w:tc>
          <w:tcPr>
            <w:tcW w:w="1725" w:type="dxa"/>
            <w:tcBorders>
              <w:top w:val="nil"/>
              <w:left w:val="nil"/>
              <w:bottom w:val="nil"/>
              <w:right w:val="nil"/>
            </w:tcBorders>
            <w:shd w:val="clear" w:color="auto" w:fill="auto"/>
            <w:vAlign w:val="bottom"/>
          </w:tcPr>
          <w:p w14:paraId="2B83BCC7" w14:textId="77777777" w:rsidR="00D475B6" w:rsidRDefault="00F34475">
            <w:pPr>
              <w:spacing w:after="0" w:line="240" w:lineRule="auto"/>
              <w:jc w:val="right"/>
              <w:rPr>
                <w:color w:val="000000"/>
                <w:sz w:val="24"/>
                <w:szCs w:val="24"/>
              </w:rPr>
            </w:pPr>
            <w:r w:rsidRPr="519F8C63">
              <w:rPr>
                <w:color w:val="000000" w:themeColor="text1"/>
                <w:sz w:val="24"/>
                <w:szCs w:val="24"/>
              </w:rPr>
              <w:t>59.84</w:t>
            </w:r>
          </w:p>
        </w:tc>
        <w:tc>
          <w:tcPr>
            <w:tcW w:w="1668" w:type="dxa"/>
            <w:tcBorders>
              <w:top w:val="nil"/>
              <w:left w:val="nil"/>
              <w:bottom w:val="nil"/>
              <w:right w:val="nil"/>
            </w:tcBorders>
            <w:shd w:val="clear" w:color="auto" w:fill="auto"/>
            <w:vAlign w:val="bottom"/>
          </w:tcPr>
          <w:p w14:paraId="2B83BCC8" w14:textId="77777777" w:rsidR="00D475B6" w:rsidRDefault="00F34475">
            <w:pPr>
              <w:spacing w:after="0" w:line="240" w:lineRule="auto"/>
              <w:jc w:val="right"/>
              <w:rPr>
                <w:color w:val="000000"/>
                <w:sz w:val="24"/>
                <w:szCs w:val="24"/>
              </w:rPr>
            </w:pPr>
            <w:r w:rsidRPr="519F8C63">
              <w:rPr>
                <w:color w:val="000000" w:themeColor="text1"/>
                <w:sz w:val="24"/>
                <w:szCs w:val="24"/>
              </w:rPr>
              <w:t>56.88</w:t>
            </w:r>
          </w:p>
        </w:tc>
      </w:tr>
      <w:tr w:rsidR="00D475B6" w14:paraId="2B83BCCF" w14:textId="77777777" w:rsidTr="519F8C63">
        <w:trPr>
          <w:trHeight w:val="315"/>
        </w:trPr>
        <w:tc>
          <w:tcPr>
            <w:tcW w:w="1920" w:type="dxa"/>
            <w:tcBorders>
              <w:top w:val="nil"/>
              <w:left w:val="nil"/>
              <w:bottom w:val="single" w:sz="4" w:space="0" w:color="000000" w:themeColor="text1"/>
              <w:right w:val="nil"/>
            </w:tcBorders>
            <w:shd w:val="clear" w:color="auto" w:fill="auto"/>
            <w:vAlign w:val="center"/>
          </w:tcPr>
          <w:p w14:paraId="2B83BCCA" w14:textId="77777777" w:rsidR="00D475B6" w:rsidRDefault="00F34475">
            <w:pPr>
              <w:spacing w:after="0" w:line="240" w:lineRule="auto"/>
              <w:rPr>
                <w:color w:val="000000"/>
                <w:sz w:val="24"/>
                <w:szCs w:val="24"/>
              </w:rPr>
            </w:pPr>
            <w:r w:rsidRPr="519F8C63">
              <w:rPr>
                <w:color w:val="000000" w:themeColor="text1"/>
                <w:sz w:val="24"/>
                <w:szCs w:val="24"/>
              </w:rPr>
              <w:t>Set 4 signs</w:t>
            </w:r>
          </w:p>
        </w:tc>
        <w:tc>
          <w:tcPr>
            <w:tcW w:w="1125" w:type="dxa"/>
            <w:tcBorders>
              <w:top w:val="nil"/>
              <w:left w:val="nil"/>
              <w:bottom w:val="single" w:sz="4" w:space="0" w:color="000000" w:themeColor="text1"/>
              <w:right w:val="nil"/>
            </w:tcBorders>
            <w:shd w:val="clear" w:color="auto" w:fill="auto"/>
            <w:vAlign w:val="center"/>
          </w:tcPr>
          <w:p w14:paraId="2B83BCCB" w14:textId="77777777" w:rsidR="00D475B6" w:rsidRDefault="00F34475">
            <w:pPr>
              <w:spacing w:after="0" w:line="240" w:lineRule="auto"/>
              <w:rPr>
                <w:color w:val="000000"/>
                <w:sz w:val="24"/>
                <w:szCs w:val="24"/>
              </w:rPr>
            </w:pPr>
            <w:r w:rsidRPr="519F8C63">
              <w:rPr>
                <w:color w:val="000000" w:themeColor="text1"/>
                <w:sz w:val="24"/>
                <w:szCs w:val="24"/>
              </w:rPr>
              <w:t>SD</w:t>
            </w:r>
          </w:p>
        </w:tc>
        <w:tc>
          <w:tcPr>
            <w:tcW w:w="1665" w:type="dxa"/>
            <w:tcBorders>
              <w:top w:val="nil"/>
              <w:left w:val="nil"/>
              <w:bottom w:val="single" w:sz="4" w:space="0" w:color="000000" w:themeColor="text1"/>
              <w:right w:val="nil"/>
            </w:tcBorders>
            <w:shd w:val="clear" w:color="auto" w:fill="auto"/>
            <w:vAlign w:val="bottom"/>
          </w:tcPr>
          <w:p w14:paraId="2B83BCCC" w14:textId="77777777" w:rsidR="00D475B6" w:rsidRDefault="00F34475">
            <w:pPr>
              <w:spacing w:after="0" w:line="240" w:lineRule="auto"/>
              <w:jc w:val="right"/>
              <w:rPr>
                <w:color w:val="000000"/>
                <w:sz w:val="24"/>
                <w:szCs w:val="24"/>
              </w:rPr>
            </w:pPr>
            <w:r w:rsidRPr="519F8C63">
              <w:rPr>
                <w:color w:val="000000" w:themeColor="text1"/>
                <w:sz w:val="24"/>
                <w:szCs w:val="24"/>
              </w:rPr>
              <w:t>23.54</w:t>
            </w:r>
          </w:p>
        </w:tc>
        <w:tc>
          <w:tcPr>
            <w:tcW w:w="1725" w:type="dxa"/>
            <w:tcBorders>
              <w:top w:val="nil"/>
              <w:left w:val="nil"/>
              <w:bottom w:val="single" w:sz="4" w:space="0" w:color="000000" w:themeColor="text1"/>
              <w:right w:val="nil"/>
            </w:tcBorders>
            <w:shd w:val="clear" w:color="auto" w:fill="auto"/>
            <w:vAlign w:val="bottom"/>
          </w:tcPr>
          <w:p w14:paraId="2B83BCCD" w14:textId="77777777" w:rsidR="00D475B6" w:rsidRDefault="00F34475">
            <w:pPr>
              <w:spacing w:after="0" w:line="240" w:lineRule="auto"/>
              <w:jc w:val="right"/>
              <w:rPr>
                <w:color w:val="000000"/>
                <w:sz w:val="24"/>
                <w:szCs w:val="24"/>
              </w:rPr>
            </w:pPr>
            <w:r w:rsidRPr="519F8C63">
              <w:rPr>
                <w:color w:val="000000" w:themeColor="text1"/>
                <w:sz w:val="24"/>
                <w:szCs w:val="24"/>
              </w:rPr>
              <w:t>16.93</w:t>
            </w:r>
          </w:p>
        </w:tc>
        <w:tc>
          <w:tcPr>
            <w:tcW w:w="1668" w:type="dxa"/>
            <w:tcBorders>
              <w:top w:val="nil"/>
              <w:left w:val="nil"/>
              <w:bottom w:val="single" w:sz="4" w:space="0" w:color="000000" w:themeColor="text1"/>
              <w:right w:val="nil"/>
            </w:tcBorders>
            <w:shd w:val="clear" w:color="auto" w:fill="auto"/>
            <w:vAlign w:val="bottom"/>
          </w:tcPr>
          <w:p w14:paraId="2B83BCCE" w14:textId="77777777" w:rsidR="00D475B6" w:rsidRDefault="00F34475">
            <w:pPr>
              <w:spacing w:after="0" w:line="240" w:lineRule="auto"/>
              <w:jc w:val="right"/>
              <w:rPr>
                <w:color w:val="000000"/>
                <w:sz w:val="24"/>
                <w:szCs w:val="24"/>
              </w:rPr>
            </w:pPr>
            <w:r w:rsidRPr="519F8C63">
              <w:rPr>
                <w:color w:val="000000" w:themeColor="text1"/>
                <w:sz w:val="24"/>
                <w:szCs w:val="24"/>
              </w:rPr>
              <w:t>18.46</w:t>
            </w:r>
          </w:p>
        </w:tc>
      </w:tr>
    </w:tbl>
    <w:p w14:paraId="2B83BCD0" w14:textId="77777777" w:rsidR="00D475B6" w:rsidRDefault="00D475B6" w:rsidP="519F8C63">
      <w:pPr>
        <w:pBdr>
          <w:top w:val="nil"/>
          <w:left w:val="nil"/>
          <w:bottom w:val="nil"/>
          <w:right w:val="nil"/>
          <w:between w:val="nil"/>
        </w:pBdr>
        <w:shd w:val="clear" w:color="auto" w:fill="FFFFFF" w:themeFill="background1"/>
        <w:spacing w:after="0" w:line="360" w:lineRule="auto"/>
        <w:rPr>
          <w:color w:val="201F1E"/>
          <w:sz w:val="24"/>
          <w:szCs w:val="24"/>
        </w:rPr>
      </w:pPr>
    </w:p>
    <w:p w14:paraId="2B83BCD1" w14:textId="77777777" w:rsidR="00D475B6" w:rsidRDefault="00D475B6">
      <w:pPr>
        <w:pStyle w:val="Heading2"/>
        <w:rPr>
          <w:rFonts w:ascii="Calibri" w:eastAsia="Calibri" w:hAnsi="Calibri" w:cs="Calibri"/>
          <w:sz w:val="24"/>
          <w:szCs w:val="24"/>
        </w:rPr>
      </w:pPr>
    </w:p>
    <w:p w14:paraId="2B83BCD2" w14:textId="77777777" w:rsidR="00D475B6" w:rsidRDefault="00F34475" w:rsidP="519F8C63">
      <w:pPr>
        <w:keepNext/>
        <w:pBdr>
          <w:top w:val="nil"/>
          <w:left w:val="nil"/>
          <w:bottom w:val="nil"/>
          <w:right w:val="nil"/>
          <w:between w:val="nil"/>
        </w:pBdr>
        <w:spacing w:line="240" w:lineRule="auto"/>
        <w:rPr>
          <w:b/>
          <w:bCs/>
          <w:smallCaps/>
          <w:color w:val="44546A"/>
          <w:sz w:val="24"/>
          <w:szCs w:val="24"/>
        </w:rPr>
      </w:pPr>
      <w:r w:rsidRPr="519F8C63">
        <w:rPr>
          <w:b/>
          <w:bCs/>
          <w:smallCaps/>
          <w:color w:val="44546A" w:themeColor="text2"/>
          <w:sz w:val="24"/>
          <w:szCs w:val="24"/>
        </w:rPr>
        <w:t>Table 9 Model output yes response rate: Effect of set in 0x exposure group</w:t>
      </w:r>
    </w:p>
    <w:tbl>
      <w:tblPr>
        <w:tblStyle w:val="a7"/>
        <w:tblW w:w="7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992"/>
        <w:gridCol w:w="993"/>
        <w:gridCol w:w="1134"/>
        <w:gridCol w:w="1570"/>
      </w:tblGrid>
      <w:tr w:rsidR="00D475B6" w14:paraId="2B83BCD8" w14:textId="77777777" w:rsidTr="519F8C63">
        <w:tc>
          <w:tcPr>
            <w:tcW w:w="2977" w:type="dxa"/>
          </w:tcPr>
          <w:p w14:paraId="2B83BCD3"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Yes response rate</w:t>
            </w:r>
          </w:p>
        </w:tc>
        <w:tc>
          <w:tcPr>
            <w:tcW w:w="992" w:type="dxa"/>
          </w:tcPr>
          <w:p w14:paraId="2B83BCD4" w14:textId="77777777" w:rsidR="00D475B6" w:rsidRDefault="00D475B6" w:rsidP="519F8C63">
            <w:pPr>
              <w:pBdr>
                <w:top w:val="nil"/>
                <w:left w:val="nil"/>
                <w:bottom w:val="nil"/>
                <w:right w:val="nil"/>
                <w:between w:val="nil"/>
              </w:pBdr>
              <w:rPr>
                <w:b/>
                <w:bCs/>
                <w:color w:val="000000"/>
                <w:sz w:val="24"/>
                <w:szCs w:val="24"/>
              </w:rPr>
            </w:pPr>
          </w:p>
        </w:tc>
        <w:tc>
          <w:tcPr>
            <w:tcW w:w="993" w:type="dxa"/>
          </w:tcPr>
          <w:p w14:paraId="2B83BCD5" w14:textId="77777777" w:rsidR="00D475B6" w:rsidRDefault="00D475B6" w:rsidP="519F8C63">
            <w:pPr>
              <w:pBdr>
                <w:top w:val="nil"/>
                <w:left w:val="nil"/>
                <w:bottom w:val="nil"/>
                <w:right w:val="nil"/>
                <w:between w:val="nil"/>
              </w:pBdr>
              <w:rPr>
                <w:b/>
                <w:bCs/>
                <w:color w:val="000000"/>
                <w:sz w:val="24"/>
                <w:szCs w:val="24"/>
              </w:rPr>
            </w:pPr>
          </w:p>
        </w:tc>
        <w:tc>
          <w:tcPr>
            <w:tcW w:w="1134" w:type="dxa"/>
          </w:tcPr>
          <w:p w14:paraId="2B83BCD6" w14:textId="77777777" w:rsidR="00D475B6" w:rsidRDefault="00D475B6" w:rsidP="519F8C63">
            <w:pPr>
              <w:pBdr>
                <w:top w:val="nil"/>
                <w:left w:val="nil"/>
                <w:bottom w:val="nil"/>
                <w:right w:val="nil"/>
                <w:between w:val="nil"/>
              </w:pBdr>
              <w:rPr>
                <w:b/>
                <w:bCs/>
                <w:color w:val="000000"/>
                <w:sz w:val="24"/>
                <w:szCs w:val="24"/>
              </w:rPr>
            </w:pPr>
          </w:p>
        </w:tc>
        <w:tc>
          <w:tcPr>
            <w:tcW w:w="1570" w:type="dxa"/>
          </w:tcPr>
          <w:p w14:paraId="2B83BCD7" w14:textId="77777777" w:rsidR="00D475B6" w:rsidRDefault="00D475B6" w:rsidP="519F8C63">
            <w:pPr>
              <w:pBdr>
                <w:top w:val="nil"/>
                <w:left w:val="nil"/>
                <w:bottom w:val="nil"/>
                <w:right w:val="nil"/>
                <w:between w:val="nil"/>
              </w:pBdr>
              <w:rPr>
                <w:b/>
                <w:bCs/>
                <w:color w:val="000000"/>
                <w:sz w:val="24"/>
                <w:szCs w:val="24"/>
              </w:rPr>
            </w:pPr>
          </w:p>
        </w:tc>
      </w:tr>
      <w:tr w:rsidR="00D475B6" w14:paraId="2B83BCDE" w14:textId="77777777" w:rsidTr="519F8C63">
        <w:tc>
          <w:tcPr>
            <w:tcW w:w="2977" w:type="dxa"/>
          </w:tcPr>
          <w:p w14:paraId="2B83BCD9"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Predictors</w:t>
            </w:r>
          </w:p>
        </w:tc>
        <w:tc>
          <w:tcPr>
            <w:tcW w:w="992" w:type="dxa"/>
          </w:tcPr>
          <w:p w14:paraId="2B83BCDA"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Β</w:t>
            </w:r>
          </w:p>
        </w:tc>
        <w:tc>
          <w:tcPr>
            <w:tcW w:w="993" w:type="dxa"/>
          </w:tcPr>
          <w:p w14:paraId="2B83BCDB"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SE</w:t>
            </w:r>
          </w:p>
        </w:tc>
        <w:tc>
          <w:tcPr>
            <w:tcW w:w="1134" w:type="dxa"/>
          </w:tcPr>
          <w:p w14:paraId="2B83BCDC"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Z</w:t>
            </w:r>
          </w:p>
        </w:tc>
        <w:tc>
          <w:tcPr>
            <w:tcW w:w="1570" w:type="dxa"/>
          </w:tcPr>
          <w:p w14:paraId="2B83BCDD"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p-value</w:t>
            </w:r>
          </w:p>
        </w:tc>
      </w:tr>
      <w:tr w:rsidR="00D475B6" w14:paraId="2B83BCE4" w14:textId="77777777" w:rsidTr="519F8C63">
        <w:tc>
          <w:tcPr>
            <w:tcW w:w="2977" w:type="dxa"/>
          </w:tcPr>
          <w:p w14:paraId="2B83BCDF"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Intercept (set 1)</w:t>
            </w:r>
          </w:p>
        </w:tc>
        <w:tc>
          <w:tcPr>
            <w:tcW w:w="992" w:type="dxa"/>
          </w:tcPr>
          <w:p w14:paraId="2B83BCE0"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 xml:space="preserve">  0.40</w:t>
            </w:r>
          </w:p>
        </w:tc>
        <w:tc>
          <w:tcPr>
            <w:tcW w:w="993" w:type="dxa"/>
          </w:tcPr>
          <w:p w14:paraId="2B83BCE1"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0.20</w:t>
            </w:r>
          </w:p>
        </w:tc>
        <w:tc>
          <w:tcPr>
            <w:tcW w:w="1134" w:type="dxa"/>
          </w:tcPr>
          <w:p w14:paraId="2B83BCE2"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2.02</w:t>
            </w:r>
          </w:p>
        </w:tc>
        <w:tc>
          <w:tcPr>
            <w:tcW w:w="1570" w:type="dxa"/>
          </w:tcPr>
          <w:p w14:paraId="2B83BCE3" w14:textId="77777777" w:rsidR="00D475B6" w:rsidRDefault="00F34475" w:rsidP="519F8C63">
            <w:pPr>
              <w:rPr>
                <w:color w:val="000000"/>
                <w:sz w:val="24"/>
                <w:szCs w:val="24"/>
              </w:rPr>
            </w:pPr>
            <w:r w:rsidRPr="519F8C63">
              <w:rPr>
                <w:color w:val="000000" w:themeColor="text1"/>
                <w:sz w:val="24"/>
                <w:szCs w:val="24"/>
              </w:rPr>
              <w:t>0.04</w:t>
            </w:r>
          </w:p>
        </w:tc>
      </w:tr>
      <w:tr w:rsidR="00D475B6" w14:paraId="2B83BCEA" w14:textId="77777777" w:rsidTr="519F8C63">
        <w:tc>
          <w:tcPr>
            <w:tcW w:w="2977" w:type="dxa"/>
          </w:tcPr>
          <w:p w14:paraId="2B83BCE5"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2</w:t>
            </w:r>
          </w:p>
        </w:tc>
        <w:tc>
          <w:tcPr>
            <w:tcW w:w="992" w:type="dxa"/>
          </w:tcPr>
          <w:p w14:paraId="2B83BCE6"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0.03</w:t>
            </w:r>
          </w:p>
        </w:tc>
        <w:tc>
          <w:tcPr>
            <w:tcW w:w="993" w:type="dxa"/>
          </w:tcPr>
          <w:p w14:paraId="2B83BCE7"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0.12</w:t>
            </w:r>
          </w:p>
        </w:tc>
        <w:tc>
          <w:tcPr>
            <w:tcW w:w="1134" w:type="dxa"/>
          </w:tcPr>
          <w:p w14:paraId="2B83BCE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0.23</w:t>
            </w:r>
          </w:p>
        </w:tc>
        <w:tc>
          <w:tcPr>
            <w:tcW w:w="1570" w:type="dxa"/>
          </w:tcPr>
          <w:p w14:paraId="2B83BCE9"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0.82</w:t>
            </w:r>
          </w:p>
        </w:tc>
      </w:tr>
      <w:tr w:rsidR="00D475B6" w14:paraId="2B83BCF0" w14:textId="77777777" w:rsidTr="519F8C63">
        <w:tc>
          <w:tcPr>
            <w:tcW w:w="2977" w:type="dxa"/>
          </w:tcPr>
          <w:p w14:paraId="2B83BCE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3</w:t>
            </w:r>
          </w:p>
        </w:tc>
        <w:tc>
          <w:tcPr>
            <w:tcW w:w="992" w:type="dxa"/>
          </w:tcPr>
          <w:p w14:paraId="2B83BCEC"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0.09</w:t>
            </w:r>
          </w:p>
        </w:tc>
        <w:tc>
          <w:tcPr>
            <w:tcW w:w="993" w:type="dxa"/>
          </w:tcPr>
          <w:p w14:paraId="2B83BCED"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0.12</w:t>
            </w:r>
          </w:p>
        </w:tc>
        <w:tc>
          <w:tcPr>
            <w:tcW w:w="1134" w:type="dxa"/>
          </w:tcPr>
          <w:p w14:paraId="2B83BCEE"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-0.73</w:t>
            </w:r>
          </w:p>
        </w:tc>
        <w:tc>
          <w:tcPr>
            <w:tcW w:w="1570" w:type="dxa"/>
          </w:tcPr>
          <w:p w14:paraId="2B83BCEF"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0.47</w:t>
            </w:r>
          </w:p>
        </w:tc>
      </w:tr>
      <w:tr w:rsidR="00D475B6" w14:paraId="2B83BCF6" w14:textId="77777777" w:rsidTr="519F8C63">
        <w:tc>
          <w:tcPr>
            <w:tcW w:w="2977" w:type="dxa"/>
          </w:tcPr>
          <w:p w14:paraId="2B83BCF1"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4</w:t>
            </w:r>
          </w:p>
        </w:tc>
        <w:tc>
          <w:tcPr>
            <w:tcW w:w="992" w:type="dxa"/>
          </w:tcPr>
          <w:p w14:paraId="2B83BCF2"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-0.03</w:t>
            </w:r>
          </w:p>
        </w:tc>
        <w:tc>
          <w:tcPr>
            <w:tcW w:w="993" w:type="dxa"/>
          </w:tcPr>
          <w:p w14:paraId="2B83BCF3"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0.12</w:t>
            </w:r>
          </w:p>
        </w:tc>
        <w:tc>
          <w:tcPr>
            <w:tcW w:w="1134" w:type="dxa"/>
          </w:tcPr>
          <w:p w14:paraId="2B83BCF4"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-0.25</w:t>
            </w:r>
          </w:p>
        </w:tc>
        <w:tc>
          <w:tcPr>
            <w:tcW w:w="1570" w:type="dxa"/>
          </w:tcPr>
          <w:p w14:paraId="2B83BCF5"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0.81</w:t>
            </w:r>
          </w:p>
        </w:tc>
      </w:tr>
    </w:tbl>
    <w:p w14:paraId="7FE8D393" w14:textId="77777777" w:rsidR="00240F12" w:rsidRPr="001663DD" w:rsidRDefault="00240F12" w:rsidP="00240F12">
      <w:proofErr w:type="spellStart"/>
      <w:r w:rsidRPr="001663DD">
        <w:rPr>
          <w:sz w:val="24"/>
          <w:szCs w:val="24"/>
        </w:rPr>
        <w:t>glmer</w:t>
      </w:r>
      <w:proofErr w:type="spellEnd"/>
      <w:r w:rsidRPr="001663DD">
        <w:rPr>
          <w:sz w:val="24"/>
          <w:szCs w:val="24"/>
        </w:rPr>
        <w:t xml:space="preserve"> (response1 ~set+(1|item)+(1|subject),data=Data_0, REML=false)</w:t>
      </w:r>
    </w:p>
    <w:p w14:paraId="2B83BCF8" w14:textId="77777777" w:rsidR="00D475B6" w:rsidRDefault="00D475B6" w:rsidP="519F8C63">
      <w:pPr>
        <w:pBdr>
          <w:top w:val="nil"/>
          <w:left w:val="nil"/>
          <w:bottom w:val="nil"/>
          <w:right w:val="nil"/>
          <w:between w:val="nil"/>
        </w:pBdr>
        <w:shd w:val="clear" w:color="auto" w:fill="FFFFFF" w:themeFill="background1"/>
        <w:spacing w:after="0" w:line="240" w:lineRule="auto"/>
        <w:rPr>
          <w:color w:val="201F1E"/>
          <w:sz w:val="24"/>
          <w:szCs w:val="24"/>
        </w:rPr>
      </w:pPr>
    </w:p>
    <w:p w14:paraId="2B83BCF9" w14:textId="77777777" w:rsidR="00D475B6" w:rsidRDefault="00F34475" w:rsidP="519F8C63">
      <w:pPr>
        <w:keepNext/>
        <w:pBdr>
          <w:top w:val="nil"/>
          <w:left w:val="nil"/>
          <w:bottom w:val="nil"/>
          <w:right w:val="nil"/>
          <w:between w:val="nil"/>
        </w:pBdr>
        <w:spacing w:line="240" w:lineRule="auto"/>
        <w:rPr>
          <w:b/>
          <w:bCs/>
          <w:smallCaps/>
          <w:color w:val="44546A"/>
          <w:sz w:val="24"/>
          <w:szCs w:val="24"/>
        </w:rPr>
      </w:pPr>
      <w:r w:rsidRPr="519F8C63">
        <w:rPr>
          <w:b/>
          <w:bCs/>
          <w:smallCaps/>
          <w:color w:val="445369"/>
          <w:sz w:val="24"/>
          <w:szCs w:val="24"/>
        </w:rPr>
        <w:t>Table 10 Model output yes response rate: Effect of set in 1x/2x exposure group</w:t>
      </w:r>
    </w:p>
    <w:tbl>
      <w:tblPr>
        <w:tblStyle w:val="a8"/>
        <w:tblW w:w="76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992"/>
        <w:gridCol w:w="993"/>
        <w:gridCol w:w="1134"/>
        <w:gridCol w:w="1570"/>
      </w:tblGrid>
      <w:tr w:rsidR="00D475B6" w14:paraId="2B83BCFF" w14:textId="77777777" w:rsidTr="519F8C63">
        <w:tc>
          <w:tcPr>
            <w:tcW w:w="2977" w:type="dxa"/>
          </w:tcPr>
          <w:p w14:paraId="2B83BCFA"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Yes response rate</w:t>
            </w:r>
          </w:p>
        </w:tc>
        <w:tc>
          <w:tcPr>
            <w:tcW w:w="992" w:type="dxa"/>
          </w:tcPr>
          <w:p w14:paraId="2B83BCFB" w14:textId="77777777" w:rsidR="00D475B6" w:rsidRDefault="00D475B6" w:rsidP="519F8C63">
            <w:pPr>
              <w:pBdr>
                <w:top w:val="nil"/>
                <w:left w:val="nil"/>
                <w:bottom w:val="nil"/>
                <w:right w:val="nil"/>
                <w:between w:val="nil"/>
              </w:pBdr>
              <w:rPr>
                <w:b/>
                <w:bCs/>
                <w:color w:val="000000"/>
                <w:sz w:val="24"/>
                <w:szCs w:val="24"/>
              </w:rPr>
            </w:pPr>
          </w:p>
        </w:tc>
        <w:tc>
          <w:tcPr>
            <w:tcW w:w="993" w:type="dxa"/>
          </w:tcPr>
          <w:p w14:paraId="2B83BCFC" w14:textId="77777777" w:rsidR="00D475B6" w:rsidRDefault="00D475B6" w:rsidP="519F8C63">
            <w:pPr>
              <w:pBdr>
                <w:top w:val="nil"/>
                <w:left w:val="nil"/>
                <w:bottom w:val="nil"/>
                <w:right w:val="nil"/>
                <w:between w:val="nil"/>
              </w:pBdr>
              <w:rPr>
                <w:b/>
                <w:bCs/>
                <w:color w:val="000000"/>
                <w:sz w:val="24"/>
                <w:szCs w:val="24"/>
              </w:rPr>
            </w:pPr>
          </w:p>
        </w:tc>
        <w:tc>
          <w:tcPr>
            <w:tcW w:w="1134" w:type="dxa"/>
          </w:tcPr>
          <w:p w14:paraId="2B83BCFD" w14:textId="77777777" w:rsidR="00D475B6" w:rsidRDefault="00D475B6" w:rsidP="519F8C63">
            <w:pPr>
              <w:pBdr>
                <w:top w:val="nil"/>
                <w:left w:val="nil"/>
                <w:bottom w:val="nil"/>
                <w:right w:val="nil"/>
                <w:between w:val="nil"/>
              </w:pBdr>
              <w:rPr>
                <w:b/>
                <w:bCs/>
                <w:color w:val="000000"/>
                <w:sz w:val="24"/>
                <w:szCs w:val="24"/>
              </w:rPr>
            </w:pPr>
          </w:p>
        </w:tc>
        <w:tc>
          <w:tcPr>
            <w:tcW w:w="1570" w:type="dxa"/>
          </w:tcPr>
          <w:p w14:paraId="2B83BCFE" w14:textId="77777777" w:rsidR="00D475B6" w:rsidRDefault="00D475B6" w:rsidP="519F8C63">
            <w:pPr>
              <w:pBdr>
                <w:top w:val="nil"/>
                <w:left w:val="nil"/>
                <w:bottom w:val="nil"/>
                <w:right w:val="nil"/>
                <w:between w:val="nil"/>
              </w:pBdr>
              <w:rPr>
                <w:b/>
                <w:bCs/>
                <w:color w:val="000000"/>
                <w:sz w:val="24"/>
                <w:szCs w:val="24"/>
              </w:rPr>
            </w:pPr>
          </w:p>
        </w:tc>
      </w:tr>
      <w:tr w:rsidR="00D475B6" w14:paraId="2B83BD05" w14:textId="77777777" w:rsidTr="519F8C63">
        <w:tc>
          <w:tcPr>
            <w:tcW w:w="2977" w:type="dxa"/>
          </w:tcPr>
          <w:p w14:paraId="2B83BD00"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Predictors</w:t>
            </w:r>
          </w:p>
        </w:tc>
        <w:tc>
          <w:tcPr>
            <w:tcW w:w="992" w:type="dxa"/>
          </w:tcPr>
          <w:p w14:paraId="2B83BD01"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Β</w:t>
            </w:r>
          </w:p>
        </w:tc>
        <w:tc>
          <w:tcPr>
            <w:tcW w:w="993" w:type="dxa"/>
          </w:tcPr>
          <w:p w14:paraId="2B83BD02"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SE</w:t>
            </w:r>
          </w:p>
        </w:tc>
        <w:tc>
          <w:tcPr>
            <w:tcW w:w="1134" w:type="dxa"/>
          </w:tcPr>
          <w:p w14:paraId="2B83BD03"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Z</w:t>
            </w:r>
          </w:p>
        </w:tc>
        <w:tc>
          <w:tcPr>
            <w:tcW w:w="1570" w:type="dxa"/>
          </w:tcPr>
          <w:p w14:paraId="2B83BD04" w14:textId="77777777" w:rsidR="00D475B6" w:rsidRDefault="00F34475" w:rsidP="519F8C63">
            <w:pPr>
              <w:pBdr>
                <w:top w:val="nil"/>
                <w:left w:val="nil"/>
                <w:bottom w:val="nil"/>
                <w:right w:val="nil"/>
                <w:between w:val="nil"/>
              </w:pBdr>
              <w:rPr>
                <w:b/>
                <w:bCs/>
                <w:color w:val="000000"/>
                <w:sz w:val="24"/>
                <w:szCs w:val="24"/>
              </w:rPr>
            </w:pPr>
            <w:r w:rsidRPr="519F8C63">
              <w:rPr>
                <w:b/>
                <w:bCs/>
                <w:color w:val="000000" w:themeColor="text1"/>
                <w:sz w:val="24"/>
                <w:szCs w:val="24"/>
              </w:rPr>
              <w:t>p-value</w:t>
            </w:r>
          </w:p>
        </w:tc>
      </w:tr>
      <w:tr w:rsidR="00D475B6" w14:paraId="2B83BD0B" w14:textId="77777777" w:rsidTr="519F8C63">
        <w:tc>
          <w:tcPr>
            <w:tcW w:w="2977" w:type="dxa"/>
          </w:tcPr>
          <w:p w14:paraId="2B83BD06"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Intercept (Set 1)</w:t>
            </w:r>
          </w:p>
        </w:tc>
        <w:tc>
          <w:tcPr>
            <w:tcW w:w="992" w:type="dxa"/>
          </w:tcPr>
          <w:p w14:paraId="2B83BD07"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 xml:space="preserve"> 0.34</w:t>
            </w:r>
          </w:p>
        </w:tc>
        <w:tc>
          <w:tcPr>
            <w:tcW w:w="993" w:type="dxa"/>
          </w:tcPr>
          <w:p w14:paraId="2B83BD0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0.12</w:t>
            </w:r>
          </w:p>
        </w:tc>
        <w:tc>
          <w:tcPr>
            <w:tcW w:w="1134" w:type="dxa"/>
          </w:tcPr>
          <w:p w14:paraId="2B83BD09"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2.85</w:t>
            </w:r>
          </w:p>
        </w:tc>
        <w:tc>
          <w:tcPr>
            <w:tcW w:w="1570" w:type="dxa"/>
          </w:tcPr>
          <w:p w14:paraId="2B83BD0A" w14:textId="77777777" w:rsidR="00D475B6" w:rsidRDefault="00F34475" w:rsidP="38A5A85B">
            <w:pPr>
              <w:rPr>
                <w:color w:val="000000"/>
                <w:sz w:val="24"/>
                <w:szCs w:val="24"/>
              </w:rPr>
            </w:pPr>
            <w:r w:rsidRPr="519F8C63">
              <w:rPr>
                <w:color w:val="000000" w:themeColor="text1"/>
                <w:sz w:val="24"/>
                <w:szCs w:val="24"/>
              </w:rPr>
              <w:t>&lt;0.01</w:t>
            </w:r>
          </w:p>
        </w:tc>
      </w:tr>
      <w:tr w:rsidR="00D475B6" w14:paraId="2B83BD11" w14:textId="77777777" w:rsidTr="519F8C63">
        <w:tc>
          <w:tcPr>
            <w:tcW w:w="2977" w:type="dxa"/>
          </w:tcPr>
          <w:p w14:paraId="2B83BD0C"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2</w:t>
            </w:r>
          </w:p>
        </w:tc>
        <w:tc>
          <w:tcPr>
            <w:tcW w:w="992" w:type="dxa"/>
          </w:tcPr>
          <w:p w14:paraId="2B83BD0D"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0.16</w:t>
            </w:r>
          </w:p>
        </w:tc>
        <w:tc>
          <w:tcPr>
            <w:tcW w:w="993" w:type="dxa"/>
          </w:tcPr>
          <w:p w14:paraId="2B83BD0E"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0.15</w:t>
            </w:r>
          </w:p>
        </w:tc>
        <w:tc>
          <w:tcPr>
            <w:tcW w:w="1134" w:type="dxa"/>
          </w:tcPr>
          <w:p w14:paraId="2B83BD0F"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1.07</w:t>
            </w:r>
          </w:p>
        </w:tc>
        <w:tc>
          <w:tcPr>
            <w:tcW w:w="1570" w:type="dxa"/>
          </w:tcPr>
          <w:p w14:paraId="2B83BD10"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0.29</w:t>
            </w:r>
          </w:p>
        </w:tc>
      </w:tr>
      <w:tr w:rsidR="00D475B6" w14:paraId="2B83BD17" w14:textId="77777777" w:rsidTr="519F8C63">
        <w:tc>
          <w:tcPr>
            <w:tcW w:w="2977" w:type="dxa"/>
          </w:tcPr>
          <w:p w14:paraId="2B83BD12"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3</w:t>
            </w:r>
          </w:p>
        </w:tc>
        <w:tc>
          <w:tcPr>
            <w:tcW w:w="992" w:type="dxa"/>
          </w:tcPr>
          <w:p w14:paraId="2B83BD13"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-0.13</w:t>
            </w:r>
          </w:p>
        </w:tc>
        <w:tc>
          <w:tcPr>
            <w:tcW w:w="993" w:type="dxa"/>
          </w:tcPr>
          <w:p w14:paraId="2B83BD14"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0.15</w:t>
            </w:r>
          </w:p>
        </w:tc>
        <w:tc>
          <w:tcPr>
            <w:tcW w:w="1134" w:type="dxa"/>
          </w:tcPr>
          <w:p w14:paraId="2B83BD15"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-0.86</w:t>
            </w:r>
          </w:p>
        </w:tc>
        <w:tc>
          <w:tcPr>
            <w:tcW w:w="1570" w:type="dxa"/>
          </w:tcPr>
          <w:p w14:paraId="2B83BD16"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0.38</w:t>
            </w:r>
          </w:p>
        </w:tc>
      </w:tr>
      <w:tr w:rsidR="00D475B6" w14:paraId="2B83BD1D" w14:textId="77777777" w:rsidTr="519F8C63">
        <w:tc>
          <w:tcPr>
            <w:tcW w:w="2977" w:type="dxa"/>
          </w:tcPr>
          <w:p w14:paraId="2B83BD18"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Set 4</w:t>
            </w:r>
          </w:p>
        </w:tc>
        <w:tc>
          <w:tcPr>
            <w:tcW w:w="992" w:type="dxa"/>
          </w:tcPr>
          <w:p w14:paraId="2B83BD19"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0.04</w:t>
            </w:r>
          </w:p>
        </w:tc>
        <w:tc>
          <w:tcPr>
            <w:tcW w:w="993" w:type="dxa"/>
          </w:tcPr>
          <w:p w14:paraId="2B83BD1A"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0.15</w:t>
            </w:r>
          </w:p>
        </w:tc>
        <w:tc>
          <w:tcPr>
            <w:tcW w:w="1134" w:type="dxa"/>
          </w:tcPr>
          <w:p w14:paraId="2B83BD1B"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0.30</w:t>
            </w:r>
          </w:p>
        </w:tc>
        <w:tc>
          <w:tcPr>
            <w:tcW w:w="1570" w:type="dxa"/>
          </w:tcPr>
          <w:p w14:paraId="2B83BD1C" w14:textId="77777777" w:rsidR="00D475B6" w:rsidRDefault="00F34475" w:rsidP="519F8C63">
            <w:pPr>
              <w:pBdr>
                <w:top w:val="nil"/>
                <w:left w:val="nil"/>
                <w:bottom w:val="nil"/>
                <w:right w:val="nil"/>
                <w:between w:val="nil"/>
              </w:pBdr>
              <w:rPr>
                <w:color w:val="000000"/>
                <w:sz w:val="24"/>
                <w:szCs w:val="24"/>
              </w:rPr>
            </w:pPr>
            <w:r w:rsidRPr="519F8C63">
              <w:rPr>
                <w:color w:val="000000" w:themeColor="text1"/>
                <w:sz w:val="24"/>
                <w:szCs w:val="24"/>
              </w:rPr>
              <w:t>0.76</w:t>
            </w:r>
          </w:p>
        </w:tc>
      </w:tr>
    </w:tbl>
    <w:p w14:paraId="16CD1DD9" w14:textId="77777777" w:rsidR="00A2495C" w:rsidRPr="001663DD" w:rsidRDefault="00A2495C" w:rsidP="00A2495C">
      <w:proofErr w:type="spellStart"/>
      <w:r w:rsidRPr="001663DD">
        <w:rPr>
          <w:sz w:val="24"/>
          <w:szCs w:val="24"/>
        </w:rPr>
        <w:t>glmer</w:t>
      </w:r>
      <w:proofErr w:type="spellEnd"/>
      <w:r w:rsidRPr="001663DD">
        <w:rPr>
          <w:sz w:val="24"/>
          <w:szCs w:val="24"/>
        </w:rPr>
        <w:t xml:space="preserve"> (response1 ~set+(1|item)+(1|subject),data=</w:t>
      </w:r>
      <w:proofErr w:type="spellStart"/>
      <w:r w:rsidRPr="001663DD">
        <w:rPr>
          <w:sz w:val="24"/>
          <w:szCs w:val="24"/>
        </w:rPr>
        <w:t>Data_exp</w:t>
      </w:r>
      <w:proofErr w:type="spellEnd"/>
      <w:r w:rsidRPr="001663DD">
        <w:rPr>
          <w:sz w:val="24"/>
          <w:szCs w:val="24"/>
        </w:rPr>
        <w:t>, REML=false)</w:t>
      </w:r>
    </w:p>
    <w:p w14:paraId="2B83BD1F" w14:textId="77777777" w:rsidR="00D475B6" w:rsidRDefault="00D475B6" w:rsidP="519F8C63">
      <w:pPr>
        <w:pBdr>
          <w:top w:val="nil"/>
          <w:left w:val="nil"/>
          <w:bottom w:val="nil"/>
          <w:right w:val="nil"/>
          <w:between w:val="nil"/>
        </w:pBdr>
        <w:shd w:val="clear" w:color="auto" w:fill="FFFFFF" w:themeFill="background1"/>
        <w:spacing w:after="0" w:line="240" w:lineRule="auto"/>
        <w:rPr>
          <w:color w:val="201F1E"/>
          <w:sz w:val="24"/>
          <w:szCs w:val="24"/>
        </w:rPr>
      </w:pPr>
    </w:p>
    <w:p w14:paraId="2B83BD20" w14:textId="77777777" w:rsidR="00D475B6" w:rsidRDefault="00D475B6"/>
    <w:p w14:paraId="2B83BD21" w14:textId="77777777" w:rsidR="00D475B6" w:rsidRDefault="00F34475">
      <w:r>
        <w:rPr>
          <w:noProof/>
        </w:rPr>
        <w:lastRenderedPageBreak/>
        <w:drawing>
          <wp:inline distT="19050" distB="19050" distL="19050" distR="19050" wp14:anchorId="2B83BDE4" wp14:editId="2B83BDE5">
            <wp:extent cx="5943600" cy="37973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3797300"/>
                    </a:xfrm>
                    <a:prstGeom prst="rect">
                      <a:avLst/>
                    </a:prstGeom>
                    <a:ln/>
                  </pic:spPr>
                </pic:pic>
              </a:graphicData>
            </a:graphic>
          </wp:inline>
        </w:drawing>
      </w:r>
    </w:p>
    <w:p w14:paraId="50E19C00" w14:textId="77777777" w:rsidR="0017480A" w:rsidRPr="001663DD" w:rsidRDefault="0017480A" w:rsidP="0017480A">
      <w:r w:rsidRPr="001663DD">
        <w:rPr>
          <w:sz w:val="24"/>
          <w:szCs w:val="24"/>
        </w:rPr>
        <w:t>Figure 3 Yes Rates by Exposure Group</w:t>
      </w:r>
    </w:p>
    <w:p w14:paraId="2B83BD24" w14:textId="77777777" w:rsidR="00D475B6" w:rsidRDefault="00F34475">
      <w:r>
        <w:rPr>
          <w:noProof/>
        </w:rPr>
        <w:drawing>
          <wp:inline distT="19050" distB="19050" distL="19050" distR="19050" wp14:anchorId="2B83BDE6" wp14:editId="3625F069">
            <wp:extent cx="5810250" cy="3495675"/>
            <wp:effectExtent l="0" t="0" r="0" b="9525"/>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810250" cy="3495675"/>
                    </a:xfrm>
                    <a:prstGeom prst="rect">
                      <a:avLst/>
                    </a:prstGeom>
                    <a:ln/>
                  </pic:spPr>
                </pic:pic>
              </a:graphicData>
            </a:graphic>
          </wp:inline>
        </w:drawing>
      </w:r>
    </w:p>
    <w:p w14:paraId="6E9381DE" w14:textId="77777777" w:rsidR="0071044F" w:rsidRPr="001663DD" w:rsidRDefault="0071044F" w:rsidP="0071044F">
      <w:r w:rsidRPr="001663DD">
        <w:rPr>
          <w:sz w:val="24"/>
          <w:szCs w:val="24"/>
        </w:rPr>
        <w:t>Figure 4 Yes Rates by Set</w:t>
      </w:r>
    </w:p>
    <w:p w14:paraId="2B83BD26" w14:textId="77777777" w:rsidR="00D475B6" w:rsidRDefault="00D475B6">
      <w:pPr>
        <w:pStyle w:val="Heading2"/>
        <w:spacing w:line="360" w:lineRule="auto"/>
        <w:rPr>
          <w:sz w:val="28"/>
          <w:szCs w:val="28"/>
        </w:rPr>
      </w:pPr>
    </w:p>
    <w:p w14:paraId="2B83BD27" w14:textId="77777777" w:rsidR="00D475B6" w:rsidRDefault="00F34475">
      <w:pPr>
        <w:pStyle w:val="Heading2"/>
        <w:spacing w:line="360" w:lineRule="auto"/>
        <w:rPr>
          <w:rFonts w:ascii="Calibri" w:eastAsia="Calibri" w:hAnsi="Calibri" w:cs="Calibri"/>
          <w:sz w:val="28"/>
          <w:szCs w:val="28"/>
        </w:rPr>
      </w:pPr>
      <w:r>
        <w:rPr>
          <w:rFonts w:ascii="Calibri" w:eastAsia="Calibri" w:hAnsi="Calibri" w:cs="Calibri"/>
          <w:sz w:val="28"/>
          <w:szCs w:val="28"/>
        </w:rPr>
        <w:t>Discussion</w:t>
      </w:r>
    </w:p>
    <w:p w14:paraId="2B83BD28" w14:textId="77777777" w:rsidR="00D475B6" w:rsidRDefault="00F34475">
      <w:pPr>
        <w:spacing w:line="360" w:lineRule="auto"/>
        <w:rPr>
          <w:sz w:val="24"/>
          <w:szCs w:val="24"/>
        </w:rPr>
      </w:pPr>
      <w:r>
        <w:rPr>
          <w:sz w:val="24"/>
          <w:szCs w:val="24"/>
        </w:rPr>
        <w:t xml:space="preserve">In this study, we investigated whether sign-naïve adults are able to learn about the phonological regularities of a target sign language at first exposure in an implicit, uninstructed learning context. The input materials consisted of a continuous sign stream in the form of a 4-minute weather forecast video in Swedish Sign Language (STS). After having watched the forecast either once or twice, participants completed a ‘surprise’ lexical decision task designed to tap into their understanding of the phonological properties of STS and sign languages in general. The participants viewed individual signs and were asked to indicate whether each sign could be a ‘real sign of STS’. Stimulus items comprised four sets: (1) STS signs that were presented in the forecast, (2) STS signs that were not presented in the forecast, (3) signs that are not STS signs and contain handshapes outside the STS handshape inventory, (4) signs that are not STS signs and contained phonological features that are dispreferred across the world’s sign languages. Correct answers to Sets 1 and 2 were ‘yes’ and to Sets 3 and 4 were ‘no’. We also tested a group on the experimental task who had not viewed the forecast. </w:t>
      </w:r>
    </w:p>
    <w:p w14:paraId="2B83BD29" w14:textId="77777777" w:rsidR="00D475B6" w:rsidRDefault="00F34475">
      <w:pPr>
        <w:spacing w:line="360" w:lineRule="auto"/>
        <w:rPr>
          <w:sz w:val="24"/>
          <w:szCs w:val="24"/>
        </w:rPr>
      </w:pPr>
      <w:r>
        <w:rPr>
          <w:sz w:val="24"/>
          <w:szCs w:val="24"/>
        </w:rPr>
        <w:t xml:space="preserve">Our predictions were not borne out by the data. First of all, we had predicted that being exposed to an unfamiliar language in an unfamiliar modality – albeit under implicit learning conditions and for only a short time – would lead to greater accuracy in distinguishing between signs that were STS signs versus those that were not, in comparison to participants who had had no exposure. In other words, we had predicted that participants would be able to learn something about the phonological regularities of sign in a short period. However, this was shown not to be the case. In all three groups (no exposure, 1x exposure, 2x exposure), the rate of accepting signs as possible signs of STS was around 58%. In fact, this rate of acceptance was fairly consistent across different sign sets too (Set 1, 59%; Set 2, 60%; Set 3, 55%; Set 4, 58%). In other words, participants did not distinguish between the different sets of signs in their responses, and so did not behave as we had expected – they did not reject the two sets of signs that we had predicted would be phonologically implausible to them. We had hypothesized that if participants who had viewed the weather forecast were able to accept both real STS signs that they had just viewed in the forecast and signs that they had not, and also reject signs that </w:t>
      </w:r>
      <w:r>
        <w:rPr>
          <w:sz w:val="24"/>
          <w:szCs w:val="24"/>
        </w:rPr>
        <w:lastRenderedPageBreak/>
        <w:t xml:space="preserve">are not signs of STS (which, by definition, would not have appeared in the forecast), then this would indicate some level of generalization across the input and not just the recognition of viewed exemplars. We did not find evidence to support this hypothesis. </w:t>
      </w:r>
    </w:p>
    <w:p w14:paraId="2B83BD2A" w14:textId="77777777" w:rsidR="00D475B6" w:rsidRDefault="00F34475">
      <w:pPr>
        <w:spacing w:line="360" w:lineRule="auto"/>
        <w:rPr>
          <w:sz w:val="24"/>
          <w:szCs w:val="24"/>
        </w:rPr>
      </w:pPr>
      <w:r>
        <w:rPr>
          <w:sz w:val="24"/>
          <w:szCs w:val="24"/>
        </w:rPr>
        <w:t xml:space="preserve">Taking the results of this study together with our two earlier studies (Hofweber et al., 2022; Hofweber et al., 2023), we appear to have found some limits on what can be learnt of a sign language at first exposure to brief and naturalistic input: lexical information – namely sign forms, and the meaning of signs – can be learnt, but it appears that phonological regularities cannot. This is in interesting contrast to Gullberg et al.’s spoken language studies of Mandarin Chinese learning by Dutch and Swiss-German speakers (Gullberg et al., 2010; Gullberg et al., 2012; Ristin-Kaufmann &amp; Gullberg, 2014), where phonotactic restrictions on syllable-final consonants </w:t>
      </w:r>
      <w:r>
        <w:rPr>
          <w:i/>
          <w:sz w:val="24"/>
          <w:szCs w:val="24"/>
        </w:rPr>
        <w:t>were</w:t>
      </w:r>
      <w:r>
        <w:rPr>
          <w:sz w:val="24"/>
          <w:szCs w:val="24"/>
        </w:rPr>
        <w:t xml:space="preserve"> learnt. And yet, it is not the case that our participants were responding ‘yes’ and ‘no’ at chance: we found a bias towards responding ‘yes’. Participants were therefore erring on the side of being more rather than less accepting of the types of signs that could be part of the STS lexicon. It appears that just four minutes of exposure to naturalistic input is below the threshold for any learning of phonological regularities to occur. </w:t>
      </w:r>
    </w:p>
    <w:p w14:paraId="2B83BD2B" w14:textId="77777777" w:rsidR="00D475B6" w:rsidRDefault="00F34475">
      <w:pPr>
        <w:spacing w:line="360" w:lineRule="auto"/>
        <w:rPr>
          <w:sz w:val="24"/>
          <w:szCs w:val="24"/>
        </w:rPr>
      </w:pPr>
      <w:r>
        <w:rPr>
          <w:sz w:val="24"/>
          <w:szCs w:val="24"/>
        </w:rPr>
        <w:t>And yet, we did have some hints from a previous study that learners might be able to extract phonological regularities after brief exposure to the same signed input materials. In Hofweber et al.’s (2022) recognition study – where participants had to make a decision as to whether signs had or had not appeared in the weather forecast – there were two sets of items that they had not seen in the forecast. One set comprised signs that were phonologically plausible in that they were real signs of STS and they shared some phonological features with the target signs. The second set of signs, however, were phonologically implausible because they contained phonological features that are dispreferred across the world’s sign languages (like the signs in Set 4 in the current study, they broke the selected fingers constraint or symmetry condition). Hofweber et al.’s (2022) participants were more accurate than chance at responding ‘no’ to both sets of signs that they had not seen in the forecast, but this effect was greater for the implausible signs than the plausible signs, suggesting some sensitivity to phonological regularities.</w:t>
      </w:r>
    </w:p>
    <w:p w14:paraId="2B83BD2C" w14:textId="43823A6E" w:rsidR="00D475B6" w:rsidRPr="00A97AAE" w:rsidRDefault="00F34475">
      <w:pPr>
        <w:spacing w:line="360" w:lineRule="auto"/>
      </w:pPr>
      <w:r>
        <w:rPr>
          <w:sz w:val="24"/>
          <w:szCs w:val="24"/>
        </w:rPr>
        <w:lastRenderedPageBreak/>
        <w:t xml:space="preserve">The difference in findings could perhaps be explained by differences in task and instructions. The task in the current study required higher levels of meta-linguistic awareness. Whilst in Hofweber et al.’s (2022) study, participants were simply asked whether they recognized the sign from the forecast, in the current study they were asked to make a complex and abstract judgement, i.e., ’could this be a real sign of Swedish Sign Language or not’. It is possible that this type of judgement is too challenging for someone with no expertise in language studies. Moreover, it may have been difficult for participants without any prior experience with sign languages to make a particular judgement relating to one sign language. This would have been less of a consideration for speakers being asked about a particular spoken language such as Mandarin Chinese, as was the case in Gullberg and colleagues’ studies. Their speakers already had familiarity with spoken languages and will have developed an awareness of the fact that languages can ‘sound different’ from each other. Can we assume the same for someone who has never learnt a sign language? After all, they were being exposed not just to an unfamiliar language but to an unfamiliar modality. Maybe they interpreted ‘could this be a real sign of Swedish Sign Language or not’ as a question about modality rather than a particular language, e.g., ‘could this be a real sign of a sign language or not’ </w:t>
      </w:r>
      <w:r w:rsidR="00A97AAE" w:rsidRPr="001663DD">
        <w:rPr>
          <w:sz w:val="24"/>
          <w:szCs w:val="24"/>
        </w:rPr>
        <w:t>(i.e. the question that the control group, who did not view the forecast, were asked), in which case it might seem strategic to be relatively generous with what can be accepted. That might also explain why the exposure groups did not differ from the control group in their responses.</w:t>
      </w:r>
    </w:p>
    <w:p w14:paraId="4D0D57EA" w14:textId="77777777" w:rsidR="00556012" w:rsidRPr="001663DD" w:rsidRDefault="00F34475" w:rsidP="00556012">
      <w:pPr>
        <w:spacing w:line="360" w:lineRule="auto"/>
      </w:pPr>
      <w:r>
        <w:rPr>
          <w:sz w:val="24"/>
          <w:szCs w:val="24"/>
        </w:rPr>
        <w:t xml:space="preserve">An alternative explanation of our findings is that the phonological constraints posited for the core lexicon of sign languages are not as strong as is assumed in the literature. It is certainly true that these constraints are broken outside the core lexicon in classifier constructions and in signs that incorporate elements of fingerspelling (Johnston &amp; Schembri, 2009; Sandler &amp; Lillo-Martin, 2006). Furthermore, there is a greater range of handshapes outside the core lexicon (Brentari &amp; </w:t>
      </w:r>
      <w:proofErr w:type="spellStart"/>
      <w:r>
        <w:rPr>
          <w:sz w:val="24"/>
          <w:szCs w:val="24"/>
        </w:rPr>
        <w:t>Eccarius</w:t>
      </w:r>
      <w:proofErr w:type="spellEnd"/>
      <w:r>
        <w:rPr>
          <w:sz w:val="24"/>
          <w:szCs w:val="24"/>
        </w:rPr>
        <w:t xml:space="preserve">, 2010). Therefore, it might be that learners need longer than just a few minutes of exposure to learn how these constraints apply to lexical signs. </w:t>
      </w:r>
      <w:r w:rsidR="00556012" w:rsidRPr="001663DD">
        <w:rPr>
          <w:sz w:val="24"/>
          <w:szCs w:val="24"/>
        </w:rPr>
        <w:t xml:space="preserve">A limitation of our study is that we did not check how strong these phonological constraints are for native signers of STS: we did not investigate how sign-like (or un-sign-like) they would judge the signs in Sets 3 </w:t>
      </w:r>
      <w:r w:rsidR="00556012" w:rsidRPr="001663DD">
        <w:rPr>
          <w:sz w:val="24"/>
          <w:szCs w:val="24"/>
        </w:rPr>
        <w:lastRenderedPageBreak/>
        <w:t>and 4 to be, and this would be a useful addition to any future studies using our experimental paradigm.</w:t>
      </w:r>
    </w:p>
    <w:p w14:paraId="3B095932" w14:textId="13F29822" w:rsidR="00737ABB" w:rsidRPr="001663DD" w:rsidRDefault="00F34475" w:rsidP="00737ABB">
      <w:pPr>
        <w:spacing w:line="360" w:lineRule="auto"/>
        <w:rPr>
          <w:sz w:val="24"/>
          <w:szCs w:val="24"/>
        </w:rPr>
      </w:pPr>
      <w:r>
        <w:rPr>
          <w:sz w:val="24"/>
          <w:szCs w:val="24"/>
        </w:rPr>
        <w:t xml:space="preserve">A further consideration is whether participants paid sufficient attention to the weather forecast and the experimental task. If not, that could have contributed to our lack of differences between the different sign sets. However, two points suggest that poor attention is not necessarily an issue: (1) in the online presentation of our companion study tapping lexical meaning (Hofweber et al., 2023), a learning effect </w:t>
      </w:r>
      <w:r w:rsidRPr="519F8C63">
        <w:rPr>
          <w:i/>
          <w:iCs/>
          <w:sz w:val="24"/>
          <w:szCs w:val="24"/>
        </w:rPr>
        <w:t>was</w:t>
      </w:r>
      <w:r>
        <w:rPr>
          <w:sz w:val="24"/>
          <w:szCs w:val="24"/>
        </w:rPr>
        <w:t xml:space="preserve"> obtained, and (2) the ‘yes </w:t>
      </w:r>
      <w:proofErr w:type="spellStart"/>
      <w:r>
        <w:rPr>
          <w:sz w:val="24"/>
          <w:szCs w:val="24"/>
        </w:rPr>
        <w:t>bias’</w:t>
      </w:r>
      <w:proofErr w:type="spellEnd"/>
      <w:r>
        <w:rPr>
          <w:sz w:val="24"/>
          <w:szCs w:val="24"/>
        </w:rPr>
        <w:t xml:space="preserve"> in the current study suggests that participants were not responding completely at chance and were trying to respond accurately. </w:t>
      </w:r>
      <w:r w:rsidR="00737ABB" w:rsidRPr="001663DD">
        <w:rPr>
          <w:sz w:val="24"/>
          <w:szCs w:val="24"/>
        </w:rPr>
        <w:t xml:space="preserve">With hindsight, the inclusion of catch trials would have been useful in order to determine more directly whether our participants were paying attention, and to exclude any who were not. </w:t>
      </w:r>
    </w:p>
    <w:p w14:paraId="70AFB432" w14:textId="77777777" w:rsidR="00737ABB" w:rsidRPr="001663DD" w:rsidRDefault="00737ABB" w:rsidP="00737ABB">
      <w:pPr>
        <w:spacing w:line="360" w:lineRule="auto"/>
      </w:pPr>
      <w:r w:rsidRPr="001663DD">
        <w:rPr>
          <w:sz w:val="24"/>
          <w:szCs w:val="24"/>
        </w:rPr>
        <w:t xml:space="preserve">An interesting next step would be to explore whether, in contrast to non-signers, people with experience of a sign language unrelated to STS are able to learn its phonological regularities from our same input materials. As Chen Pichler and </w:t>
      </w:r>
      <w:proofErr w:type="spellStart"/>
      <w:r w:rsidRPr="001663DD">
        <w:rPr>
          <w:sz w:val="24"/>
          <w:szCs w:val="24"/>
        </w:rPr>
        <w:t>Koulidobrova</w:t>
      </w:r>
      <w:proofErr w:type="spellEnd"/>
      <w:r w:rsidRPr="001663DD">
        <w:rPr>
          <w:sz w:val="24"/>
          <w:szCs w:val="24"/>
        </w:rPr>
        <w:t xml:space="preserve"> (2023) discuss, the current literature on sign language learning has focused on hearing adults learning their first language, but deaf signing adults who are learning a new sign language are a key group for fully understanding the impact of modality on second language learning. In the case of the present task and those reported in our related papers (Hofweber et al., 2022; Hofweber et al., 2023), such a group would allow us to disentangle second-language learning effects within the signed modality from learning effects in a new modality.  </w:t>
      </w:r>
    </w:p>
    <w:p w14:paraId="2B83BD2F" w14:textId="1FA0C49F" w:rsidR="00D475B6" w:rsidRDefault="00F34475" w:rsidP="00737ABB">
      <w:pPr>
        <w:spacing w:line="360" w:lineRule="auto"/>
        <w:rPr>
          <w:sz w:val="24"/>
          <w:szCs w:val="24"/>
        </w:rPr>
      </w:pPr>
      <w:r>
        <w:rPr>
          <w:sz w:val="24"/>
          <w:szCs w:val="24"/>
        </w:rPr>
        <w:t xml:space="preserve">The findings from our study also raise questions about possible differences between child and adult acquisition mechanisms, and between first and second language acquisition of phonotactic regularities in a visual modality. In the domain of spoken language, a large body of work has shown that both children and adults are able to successfully extract phonotactic regularities from spoken/auditory input (see Frost et al., 2019, for an overview), although most studies have operated with training paradigms rather than exposure to continuous input without training (but see Ristin-Kaufmann &amp; Gullberg, 2014). Much less is known about differences between children and adults for the implicit learning of sign language phonotactics, </w:t>
      </w:r>
      <w:r>
        <w:rPr>
          <w:sz w:val="24"/>
          <w:szCs w:val="24"/>
        </w:rPr>
        <w:lastRenderedPageBreak/>
        <w:t>let alone in a statistical learning paradigm. We know of no studies that test children’s capacity for extracting phonotactic regularities in the visual modality, which means that we cannot tell whether the adults in this study are worse at this task than children. It therefore remains an empirical question with interesting theoretical ramifications to compare first and second language learners in this domain.</w:t>
      </w:r>
    </w:p>
    <w:p w14:paraId="2A2F6CF7" w14:textId="77777777" w:rsidR="00AD2222" w:rsidRPr="001663DD" w:rsidRDefault="00F34475" w:rsidP="00AD2222">
      <w:pPr>
        <w:spacing w:line="360" w:lineRule="auto"/>
      </w:pPr>
      <w:r>
        <w:rPr>
          <w:sz w:val="24"/>
          <w:szCs w:val="24"/>
        </w:rPr>
        <w:t xml:space="preserve">In conclusion, we found no evidence that hearing adults, after brief exposure to an unfamiliar language in an unfamiliar modality, were able to demonstrate learning of the phonological regularities explored in our study. Considered in conjunction with two companion studies revealing that participants </w:t>
      </w:r>
      <w:r w:rsidRPr="519F8C63">
        <w:rPr>
          <w:i/>
          <w:iCs/>
          <w:sz w:val="24"/>
          <w:szCs w:val="24"/>
        </w:rPr>
        <w:t xml:space="preserve">were </w:t>
      </w:r>
      <w:r>
        <w:rPr>
          <w:sz w:val="24"/>
          <w:szCs w:val="24"/>
        </w:rPr>
        <w:t>able to demonstrate learning of sign forms and their meanings after viewing these same input materials, we argue that our findings demonstrate the limits of what can be learnt: information about specific lexical items is learnable, but information that requires generalisation across items may require greater quantities of input or  a different quality of input. All three of our studies need replication, preferably with different input materials, to establish their robustness. Furthermore, different conditions that might support the learning of phonological regularities need to be explored, for example, longer exposure time and explicit pointers or explanations, and learning might be better demonstrated using different tasks</w:t>
      </w:r>
      <w:r w:rsidR="00AD2222" w:rsidRPr="001663DD">
        <w:rPr>
          <w:sz w:val="24"/>
          <w:szCs w:val="24"/>
        </w:rPr>
        <w:t>. Finally, we acknowledge that evidence for the implicit learning of phonological regularities at first exposure to an unfamiliar spoken language rests on just two studies of Chinese, and that these findings need to be replicated in other spoken languages (and preferably in languages with phonotactic properties that are very different to those of Chinese). Taken together, such studies in signed and spoken languages will help clarify the extent to which adult language acquisition mechanisms operate similarly or differently across modalities.</w:t>
      </w:r>
    </w:p>
    <w:p w14:paraId="2B83BD31" w14:textId="787417B1" w:rsidR="00D475B6" w:rsidRDefault="00D475B6" w:rsidP="38A5A85B">
      <w:pPr>
        <w:spacing w:line="360" w:lineRule="auto"/>
        <w:rPr>
          <w:b/>
          <w:bCs/>
          <w:sz w:val="24"/>
          <w:szCs w:val="24"/>
        </w:rPr>
      </w:pPr>
    </w:p>
    <w:p w14:paraId="2B83BD32" w14:textId="77777777" w:rsidR="00D475B6" w:rsidRDefault="00D475B6">
      <w:pPr>
        <w:spacing w:line="257" w:lineRule="auto"/>
        <w:rPr>
          <w:sz w:val="24"/>
          <w:szCs w:val="24"/>
        </w:rPr>
      </w:pPr>
    </w:p>
    <w:p w14:paraId="2B83BD33" w14:textId="77777777" w:rsidR="00D475B6" w:rsidRDefault="00F34475">
      <w:pPr>
        <w:pStyle w:val="Heading2"/>
        <w:spacing w:before="0" w:after="160"/>
        <w:rPr>
          <w:rFonts w:ascii="Calibri" w:eastAsia="Calibri" w:hAnsi="Calibri" w:cs="Calibri"/>
          <w:b/>
          <w:color w:val="000000"/>
          <w:sz w:val="24"/>
          <w:szCs w:val="24"/>
        </w:rPr>
      </w:pPr>
      <w:r>
        <w:rPr>
          <w:rFonts w:ascii="Calibri" w:eastAsia="Calibri" w:hAnsi="Calibri" w:cs="Calibri"/>
          <w:b/>
          <w:color w:val="000000"/>
          <w:sz w:val="24"/>
          <w:szCs w:val="24"/>
        </w:rPr>
        <w:lastRenderedPageBreak/>
        <w:t>References</w:t>
      </w:r>
    </w:p>
    <w:p w14:paraId="2B83BD34" w14:textId="77777777" w:rsidR="00D475B6" w:rsidRDefault="00F34475">
      <w:pPr>
        <w:pStyle w:val="Heading1"/>
        <w:spacing w:before="0" w:after="160"/>
        <w:rPr>
          <w:rFonts w:ascii="Calibri" w:eastAsia="Calibri" w:hAnsi="Calibri" w:cs="Calibri"/>
          <w:color w:val="000000"/>
          <w:sz w:val="24"/>
          <w:szCs w:val="24"/>
        </w:rPr>
      </w:pPr>
      <w:r>
        <w:rPr>
          <w:rFonts w:ascii="Calibri" w:eastAsia="Calibri" w:hAnsi="Calibri" w:cs="Calibri"/>
          <w:color w:val="000000"/>
          <w:sz w:val="24"/>
          <w:szCs w:val="24"/>
        </w:rPr>
        <w:t xml:space="preserve">Ambridge, B. (2020). Against stored abstractions: a radical exemplar model of language acquisition. </w:t>
      </w:r>
      <w:r>
        <w:rPr>
          <w:rFonts w:ascii="Calibri" w:eastAsia="Calibri" w:hAnsi="Calibri" w:cs="Calibri"/>
          <w:i/>
          <w:color w:val="000000"/>
          <w:sz w:val="24"/>
          <w:szCs w:val="24"/>
        </w:rPr>
        <w:t>First Language</w:t>
      </w:r>
      <w:r>
        <w:rPr>
          <w:rFonts w:ascii="Calibri" w:eastAsia="Calibri" w:hAnsi="Calibri" w:cs="Calibri"/>
          <w:color w:val="000000"/>
          <w:sz w:val="24"/>
          <w:szCs w:val="24"/>
        </w:rPr>
        <w:t xml:space="preserve">, </w:t>
      </w:r>
      <w:r>
        <w:rPr>
          <w:rFonts w:ascii="Calibri" w:eastAsia="Calibri" w:hAnsi="Calibri" w:cs="Calibri"/>
          <w:i/>
          <w:color w:val="000000"/>
          <w:sz w:val="24"/>
          <w:szCs w:val="24"/>
        </w:rPr>
        <w:t>40</w:t>
      </w:r>
      <w:r>
        <w:rPr>
          <w:rFonts w:ascii="Calibri" w:eastAsia="Calibri" w:hAnsi="Calibri" w:cs="Calibri"/>
          <w:color w:val="000000"/>
          <w:sz w:val="24"/>
          <w:szCs w:val="24"/>
        </w:rPr>
        <w:t>, 509-559. https://doi.org/10.1177/0142723719869731</w:t>
      </w:r>
    </w:p>
    <w:p w14:paraId="2B83BD35" w14:textId="77777777" w:rsidR="00D475B6" w:rsidRDefault="00F34475">
      <w:pPr>
        <w:spacing w:after="120" w:line="240" w:lineRule="auto"/>
        <w:rPr>
          <w:color w:val="000000"/>
          <w:sz w:val="24"/>
          <w:szCs w:val="24"/>
        </w:rPr>
      </w:pPr>
      <w:r>
        <w:rPr>
          <w:sz w:val="24"/>
          <w:szCs w:val="24"/>
        </w:rPr>
        <w:t xml:space="preserve">Andringa, S., &amp; </w:t>
      </w:r>
      <w:proofErr w:type="spellStart"/>
      <w:r>
        <w:rPr>
          <w:sz w:val="24"/>
          <w:szCs w:val="24"/>
        </w:rPr>
        <w:t>Rebuschat</w:t>
      </w:r>
      <w:proofErr w:type="spellEnd"/>
      <w:r>
        <w:rPr>
          <w:sz w:val="24"/>
          <w:szCs w:val="24"/>
        </w:rPr>
        <w:t xml:space="preserve">, P. (2015). New directions in the study of implicit and explicit learning. </w:t>
      </w:r>
      <w:r>
        <w:rPr>
          <w:i/>
          <w:sz w:val="24"/>
          <w:szCs w:val="24"/>
        </w:rPr>
        <w:t>Studies in Second Language Acquisition, 37</w:t>
      </w:r>
      <w:r>
        <w:rPr>
          <w:sz w:val="24"/>
          <w:szCs w:val="24"/>
        </w:rPr>
        <w:t xml:space="preserve">, 185-96. </w:t>
      </w:r>
      <w:r>
        <w:rPr>
          <w:sz w:val="24"/>
          <w:szCs w:val="24"/>
          <w:highlight w:val="white"/>
        </w:rPr>
        <w:t>https://doi.org/10.1017/S027226311500008X</w:t>
      </w:r>
    </w:p>
    <w:p w14:paraId="2B83BD36" w14:textId="77777777" w:rsidR="00D475B6" w:rsidRDefault="00F34475">
      <w:pPr>
        <w:spacing w:line="240" w:lineRule="auto"/>
        <w:rPr>
          <w:sz w:val="24"/>
          <w:szCs w:val="24"/>
        </w:rPr>
      </w:pPr>
      <w:r>
        <w:rPr>
          <w:sz w:val="24"/>
          <w:szCs w:val="24"/>
        </w:rPr>
        <w:t xml:space="preserve">Arndt, H. L. (2019). Informal second language learning: The role of engagement, proficiency, attitudes, and motivation [PhD thesis]. University of Oxford. </w:t>
      </w:r>
    </w:p>
    <w:p w14:paraId="2B83BD37" w14:textId="77777777" w:rsidR="00D475B6" w:rsidRDefault="00F34475">
      <w:pPr>
        <w:rPr>
          <w:sz w:val="24"/>
          <w:szCs w:val="24"/>
        </w:rPr>
      </w:pPr>
      <w:r>
        <w:rPr>
          <w:sz w:val="24"/>
          <w:szCs w:val="24"/>
        </w:rPr>
        <w:t xml:space="preserve">Battison, R. (1978). </w:t>
      </w:r>
      <w:r>
        <w:rPr>
          <w:i/>
          <w:sz w:val="24"/>
          <w:szCs w:val="24"/>
        </w:rPr>
        <w:t>Lexical borrowing in American Sign Language</w:t>
      </w:r>
      <w:r>
        <w:rPr>
          <w:sz w:val="24"/>
          <w:szCs w:val="24"/>
        </w:rPr>
        <w:t xml:space="preserve">. Silver Spring, MD: </w:t>
      </w:r>
      <w:proofErr w:type="spellStart"/>
      <w:r>
        <w:rPr>
          <w:sz w:val="24"/>
          <w:szCs w:val="24"/>
        </w:rPr>
        <w:t>Linstok</w:t>
      </w:r>
      <w:proofErr w:type="spellEnd"/>
      <w:r>
        <w:rPr>
          <w:sz w:val="24"/>
          <w:szCs w:val="24"/>
        </w:rPr>
        <w:t xml:space="preserve"> Press.</w:t>
      </w:r>
    </w:p>
    <w:p w14:paraId="2B83BD38" w14:textId="77777777" w:rsidR="00D475B6" w:rsidRDefault="00F34475">
      <w:pPr>
        <w:rPr>
          <w:sz w:val="24"/>
          <w:szCs w:val="24"/>
        </w:rPr>
      </w:pPr>
      <w:r>
        <w:rPr>
          <w:sz w:val="24"/>
          <w:szCs w:val="24"/>
        </w:rPr>
        <w:t xml:space="preserve">Berent, I., &amp; </w:t>
      </w:r>
      <w:proofErr w:type="spellStart"/>
      <w:r>
        <w:rPr>
          <w:sz w:val="24"/>
          <w:szCs w:val="24"/>
        </w:rPr>
        <w:t>Gervain</w:t>
      </w:r>
      <w:proofErr w:type="spellEnd"/>
      <w:r>
        <w:rPr>
          <w:sz w:val="24"/>
          <w:szCs w:val="24"/>
        </w:rPr>
        <w:t xml:space="preserve">, J. (2023). Speakers aren’t blank slates (with respect to phonology)! </w:t>
      </w:r>
      <w:r>
        <w:rPr>
          <w:i/>
          <w:sz w:val="24"/>
          <w:szCs w:val="24"/>
        </w:rPr>
        <w:t>Cognition</w:t>
      </w:r>
      <w:r>
        <w:rPr>
          <w:sz w:val="24"/>
          <w:szCs w:val="24"/>
        </w:rPr>
        <w:t xml:space="preserve">, </w:t>
      </w:r>
      <w:r>
        <w:rPr>
          <w:i/>
          <w:sz w:val="24"/>
          <w:szCs w:val="24"/>
        </w:rPr>
        <w:t>232</w:t>
      </w:r>
      <w:r>
        <w:rPr>
          <w:sz w:val="24"/>
          <w:szCs w:val="24"/>
        </w:rPr>
        <w:t>, 105347. https://doi.org/10.1016/j.cognition.2022.105347</w:t>
      </w:r>
    </w:p>
    <w:p w14:paraId="2B83BD39" w14:textId="77777777" w:rsidR="00D475B6" w:rsidRDefault="00F34475">
      <w:pPr>
        <w:rPr>
          <w:sz w:val="24"/>
          <w:szCs w:val="24"/>
        </w:rPr>
      </w:pPr>
      <w:r>
        <w:rPr>
          <w:sz w:val="24"/>
          <w:szCs w:val="24"/>
        </w:rPr>
        <w:t xml:space="preserve">Brentari, D., &amp; </w:t>
      </w:r>
      <w:proofErr w:type="spellStart"/>
      <w:r>
        <w:rPr>
          <w:sz w:val="24"/>
          <w:szCs w:val="24"/>
        </w:rPr>
        <w:t>Eccarius</w:t>
      </w:r>
      <w:proofErr w:type="spellEnd"/>
      <w:r>
        <w:rPr>
          <w:sz w:val="24"/>
          <w:szCs w:val="24"/>
        </w:rPr>
        <w:t xml:space="preserve">, P. (2010). Handshape contrasts in sign language phonology. In Brentari, D. (Ed.) </w:t>
      </w:r>
      <w:r>
        <w:rPr>
          <w:i/>
          <w:sz w:val="24"/>
          <w:szCs w:val="24"/>
        </w:rPr>
        <w:t>Sign languages</w:t>
      </w:r>
      <w:r>
        <w:rPr>
          <w:sz w:val="24"/>
          <w:szCs w:val="24"/>
        </w:rPr>
        <w:t>. Cambridge University Press. (pp. 284-311)</w:t>
      </w:r>
    </w:p>
    <w:p w14:paraId="2B83BD3A" w14:textId="31BE5BF7" w:rsidR="00D475B6" w:rsidRDefault="00F34475">
      <w:pPr>
        <w:rPr>
          <w:sz w:val="24"/>
          <w:szCs w:val="24"/>
        </w:rPr>
      </w:pPr>
      <w:r w:rsidRPr="38A5A85B">
        <w:rPr>
          <w:sz w:val="24"/>
          <w:szCs w:val="24"/>
        </w:rPr>
        <w:t xml:space="preserve">Chen Pichler, D., &amp; </w:t>
      </w:r>
      <w:proofErr w:type="spellStart"/>
      <w:r w:rsidRPr="38A5A85B">
        <w:rPr>
          <w:sz w:val="24"/>
          <w:szCs w:val="24"/>
        </w:rPr>
        <w:t>Koulidobrova</w:t>
      </w:r>
      <w:proofErr w:type="spellEnd"/>
      <w:r w:rsidRPr="38A5A85B">
        <w:rPr>
          <w:sz w:val="24"/>
          <w:szCs w:val="24"/>
        </w:rPr>
        <w:t xml:space="preserve">, E. (2023). The role of modality in L2 learning: The importance of learners acquiring a second sign language (M2L2 and M1L2 learners). </w:t>
      </w:r>
      <w:r w:rsidRPr="38A5A85B">
        <w:rPr>
          <w:i/>
          <w:iCs/>
          <w:sz w:val="24"/>
          <w:szCs w:val="24"/>
        </w:rPr>
        <w:t>Language Learning</w:t>
      </w:r>
      <w:r w:rsidRPr="38A5A85B">
        <w:rPr>
          <w:sz w:val="24"/>
          <w:szCs w:val="24"/>
        </w:rPr>
        <w:t xml:space="preserve">, </w:t>
      </w:r>
      <w:r w:rsidRPr="38A5A85B">
        <w:rPr>
          <w:i/>
          <w:iCs/>
          <w:sz w:val="24"/>
          <w:szCs w:val="24"/>
        </w:rPr>
        <w:t>73</w:t>
      </w:r>
      <w:r w:rsidRPr="38A5A85B">
        <w:rPr>
          <w:sz w:val="24"/>
          <w:szCs w:val="24"/>
        </w:rPr>
        <w:t xml:space="preserve">, Issue S1, 197-233. </w:t>
      </w:r>
      <w:r w:rsidRPr="38A5A85B">
        <w:rPr>
          <w:rFonts w:ascii="Arial" w:eastAsia="Arial" w:hAnsi="Arial" w:cs="Arial"/>
          <w:color w:val="767676"/>
          <w:sz w:val="21"/>
          <w:szCs w:val="21"/>
          <w:highlight w:val="white"/>
        </w:rPr>
        <w:t xml:space="preserve"> </w:t>
      </w:r>
      <w:r w:rsidRPr="38A5A85B">
        <w:rPr>
          <w:sz w:val="24"/>
          <w:szCs w:val="24"/>
        </w:rPr>
        <w:t>https://doi.org/10.1111/lang.12607</w:t>
      </w:r>
    </w:p>
    <w:p w14:paraId="2B83BD3B" w14:textId="77777777" w:rsidR="00D475B6" w:rsidRDefault="00F34475">
      <w:pPr>
        <w:pBdr>
          <w:top w:val="nil"/>
          <w:left w:val="nil"/>
          <w:bottom w:val="nil"/>
          <w:right w:val="nil"/>
          <w:between w:val="nil"/>
        </w:pBdr>
        <w:spacing w:line="240" w:lineRule="auto"/>
        <w:rPr>
          <w:color w:val="000000"/>
          <w:sz w:val="24"/>
          <w:szCs w:val="24"/>
        </w:rPr>
      </w:pPr>
      <w:r>
        <w:rPr>
          <w:color w:val="000000"/>
          <w:sz w:val="24"/>
          <w:szCs w:val="24"/>
        </w:rPr>
        <w:t xml:space="preserve">DeKeyser, R. M. (2003). Implicit and explicit learning. In C. J. Doughty &amp; M. H. Long (Eds.), </w:t>
      </w:r>
      <w:r>
        <w:rPr>
          <w:i/>
          <w:color w:val="000000"/>
          <w:sz w:val="24"/>
          <w:szCs w:val="24"/>
        </w:rPr>
        <w:t>The handbook of second language acquisition</w:t>
      </w:r>
      <w:r>
        <w:rPr>
          <w:color w:val="000000"/>
          <w:sz w:val="24"/>
          <w:szCs w:val="24"/>
        </w:rPr>
        <w:t xml:space="preserve"> (pp. 313-348). Blackwell.</w:t>
      </w:r>
    </w:p>
    <w:p w14:paraId="2B83BD3C" w14:textId="77777777" w:rsidR="00D475B6" w:rsidRDefault="00F34475">
      <w:pPr>
        <w:spacing w:line="240" w:lineRule="auto"/>
        <w:rPr>
          <w:sz w:val="24"/>
          <w:szCs w:val="24"/>
        </w:rPr>
      </w:pPr>
      <w:r>
        <w:rPr>
          <w:sz w:val="24"/>
          <w:szCs w:val="24"/>
        </w:rPr>
        <w:t xml:space="preserve">Dressman, M. (2020). Introduction. In M. Dressman &amp; R. W. Sadler (Eds.) </w:t>
      </w:r>
      <w:r>
        <w:rPr>
          <w:i/>
          <w:sz w:val="24"/>
          <w:szCs w:val="24"/>
        </w:rPr>
        <w:t>The handbook of informal language learning</w:t>
      </w:r>
      <w:r>
        <w:rPr>
          <w:sz w:val="24"/>
          <w:szCs w:val="24"/>
        </w:rPr>
        <w:t xml:space="preserve"> (pp.1-12). Wiley. </w:t>
      </w:r>
    </w:p>
    <w:p w14:paraId="2B83BD3D" w14:textId="77777777" w:rsidR="00D475B6" w:rsidRDefault="00F34475">
      <w:pPr>
        <w:rPr>
          <w:sz w:val="24"/>
          <w:szCs w:val="24"/>
        </w:rPr>
      </w:pPr>
      <w:r>
        <w:rPr>
          <w:sz w:val="24"/>
          <w:szCs w:val="24"/>
        </w:rPr>
        <w:t xml:space="preserve">Ellis, N. C. (2012). What can we count in language, and what counts in language acquisition, cognition, and use? In S. T. Gries &amp; D. Divjak (Eds.), </w:t>
      </w:r>
      <w:r>
        <w:rPr>
          <w:i/>
          <w:sz w:val="24"/>
          <w:szCs w:val="24"/>
        </w:rPr>
        <w:t>Frequency effects in language learning and processing</w:t>
      </w:r>
      <w:r>
        <w:rPr>
          <w:sz w:val="24"/>
          <w:szCs w:val="24"/>
        </w:rPr>
        <w:t xml:space="preserve"> (Vol. 1, pp. 7-34). Mouton de Gruyter.</w:t>
      </w:r>
    </w:p>
    <w:p w14:paraId="2B83BD3E" w14:textId="77777777" w:rsidR="00D475B6" w:rsidRDefault="00F34475">
      <w:pPr>
        <w:pBdr>
          <w:top w:val="nil"/>
          <w:left w:val="nil"/>
          <w:bottom w:val="nil"/>
          <w:right w:val="nil"/>
          <w:between w:val="nil"/>
        </w:pBdr>
        <w:spacing w:after="120" w:line="240" w:lineRule="auto"/>
        <w:rPr>
          <w:color w:val="000000"/>
          <w:sz w:val="24"/>
          <w:szCs w:val="24"/>
        </w:rPr>
      </w:pPr>
      <w:r>
        <w:rPr>
          <w:color w:val="000000"/>
          <w:sz w:val="24"/>
          <w:szCs w:val="24"/>
        </w:rPr>
        <w:t xml:space="preserve">Frost, R., Armstrong, B. C., &amp; Christiansen, M. H. (2019). Statistical learning research: A critical review and possible new directions. </w:t>
      </w:r>
      <w:r>
        <w:rPr>
          <w:i/>
          <w:color w:val="000000"/>
          <w:sz w:val="24"/>
          <w:szCs w:val="24"/>
        </w:rPr>
        <w:t>Psychological Bulletin</w:t>
      </w:r>
      <w:r>
        <w:rPr>
          <w:color w:val="000000"/>
          <w:sz w:val="24"/>
          <w:szCs w:val="24"/>
        </w:rPr>
        <w:t>,</w:t>
      </w:r>
      <w:r>
        <w:rPr>
          <w:i/>
          <w:color w:val="000000"/>
          <w:sz w:val="24"/>
          <w:szCs w:val="24"/>
        </w:rPr>
        <w:t xml:space="preserve"> 145</w:t>
      </w:r>
      <w:r>
        <w:rPr>
          <w:color w:val="000000"/>
          <w:sz w:val="24"/>
          <w:szCs w:val="24"/>
        </w:rPr>
        <w:t xml:space="preserve">(12), 1128-1153. https://doi.org/10.1037/bul0000210 </w:t>
      </w:r>
    </w:p>
    <w:p w14:paraId="2B83BD3F" w14:textId="77777777" w:rsidR="00D475B6" w:rsidRDefault="00F34475">
      <w:pPr>
        <w:pBdr>
          <w:top w:val="nil"/>
          <w:left w:val="nil"/>
          <w:bottom w:val="nil"/>
          <w:right w:val="nil"/>
          <w:between w:val="nil"/>
        </w:pBdr>
        <w:spacing w:line="240" w:lineRule="auto"/>
        <w:rPr>
          <w:color w:val="000000"/>
          <w:sz w:val="24"/>
          <w:szCs w:val="24"/>
        </w:rPr>
      </w:pPr>
      <w:proofErr w:type="spellStart"/>
      <w:r>
        <w:rPr>
          <w:color w:val="000000"/>
          <w:sz w:val="24"/>
          <w:szCs w:val="24"/>
        </w:rPr>
        <w:t>Godfroid</w:t>
      </w:r>
      <w:proofErr w:type="spellEnd"/>
      <w:r>
        <w:rPr>
          <w:color w:val="000000"/>
          <w:sz w:val="24"/>
          <w:szCs w:val="24"/>
        </w:rPr>
        <w:t xml:space="preserve">, A. (2021). Implicit and explicit learning and knowledge. In H. Mohebbi &amp; C. Coombe (Eds.), </w:t>
      </w:r>
      <w:r>
        <w:rPr>
          <w:i/>
          <w:color w:val="000000"/>
          <w:sz w:val="24"/>
          <w:szCs w:val="24"/>
        </w:rPr>
        <w:t>Research questions in language education and applied linguistics</w:t>
      </w:r>
      <w:r>
        <w:rPr>
          <w:color w:val="000000"/>
          <w:sz w:val="24"/>
          <w:szCs w:val="24"/>
        </w:rPr>
        <w:t xml:space="preserve"> (pp. 823-829). Springer. </w:t>
      </w:r>
    </w:p>
    <w:p w14:paraId="2B83BD40" w14:textId="77777777" w:rsidR="00D475B6" w:rsidRDefault="00F34475">
      <w:pPr>
        <w:rPr>
          <w:i/>
          <w:sz w:val="24"/>
          <w:szCs w:val="24"/>
        </w:rPr>
      </w:pPr>
      <w:r>
        <w:rPr>
          <w:sz w:val="24"/>
          <w:szCs w:val="24"/>
        </w:rPr>
        <w:t xml:space="preserve">Gullberg, M. (2022). Why the SLA of sign language matters to general SLA research. </w:t>
      </w:r>
      <w:r>
        <w:rPr>
          <w:i/>
          <w:sz w:val="24"/>
          <w:szCs w:val="24"/>
        </w:rPr>
        <w:t>Language, Interaction and Acquisition, 13</w:t>
      </w:r>
      <w:r>
        <w:rPr>
          <w:sz w:val="24"/>
          <w:szCs w:val="24"/>
        </w:rPr>
        <w:t xml:space="preserve">(2), 231-253. </w:t>
      </w:r>
      <w:r>
        <w:rPr>
          <w:sz w:val="24"/>
          <w:szCs w:val="24"/>
          <w:highlight w:val="white"/>
        </w:rPr>
        <w:t>https://doi.org/10.1075/lia.22022.gul</w:t>
      </w:r>
    </w:p>
    <w:p w14:paraId="2B83BD41" w14:textId="77777777" w:rsidR="00D475B6" w:rsidRDefault="00F34475">
      <w:pPr>
        <w:rPr>
          <w:sz w:val="24"/>
          <w:szCs w:val="24"/>
        </w:rPr>
      </w:pPr>
      <w:r>
        <w:rPr>
          <w:sz w:val="24"/>
          <w:szCs w:val="24"/>
        </w:rPr>
        <w:t xml:space="preserve">Gullberg, M., Roberts, L., </w:t>
      </w:r>
      <w:proofErr w:type="spellStart"/>
      <w:r>
        <w:rPr>
          <w:sz w:val="24"/>
          <w:szCs w:val="24"/>
        </w:rPr>
        <w:t>Dimroth</w:t>
      </w:r>
      <w:proofErr w:type="spellEnd"/>
      <w:r>
        <w:rPr>
          <w:sz w:val="24"/>
          <w:szCs w:val="24"/>
        </w:rPr>
        <w:t xml:space="preserve">, C., </w:t>
      </w:r>
      <w:proofErr w:type="spellStart"/>
      <w:r>
        <w:rPr>
          <w:sz w:val="24"/>
          <w:szCs w:val="24"/>
        </w:rPr>
        <w:t>Veroude</w:t>
      </w:r>
      <w:proofErr w:type="spellEnd"/>
      <w:r>
        <w:rPr>
          <w:sz w:val="24"/>
          <w:szCs w:val="24"/>
        </w:rPr>
        <w:t xml:space="preserve">, K., &amp; </w:t>
      </w:r>
      <w:proofErr w:type="spellStart"/>
      <w:r>
        <w:rPr>
          <w:sz w:val="24"/>
          <w:szCs w:val="24"/>
        </w:rPr>
        <w:t>Indefrey</w:t>
      </w:r>
      <w:proofErr w:type="spellEnd"/>
      <w:r>
        <w:rPr>
          <w:sz w:val="24"/>
          <w:szCs w:val="24"/>
        </w:rPr>
        <w:t>, P. (2010). Adult language learning after minimal exposure to an unknown natural language. </w:t>
      </w:r>
      <w:r>
        <w:rPr>
          <w:i/>
          <w:sz w:val="24"/>
          <w:szCs w:val="24"/>
        </w:rPr>
        <w:t>Language Learning</w:t>
      </w:r>
      <w:r>
        <w:rPr>
          <w:sz w:val="24"/>
          <w:szCs w:val="24"/>
        </w:rPr>
        <w:t>, </w:t>
      </w:r>
      <w:r>
        <w:rPr>
          <w:i/>
          <w:sz w:val="24"/>
          <w:szCs w:val="24"/>
        </w:rPr>
        <w:t>60</w:t>
      </w:r>
      <w:r>
        <w:rPr>
          <w:sz w:val="24"/>
          <w:szCs w:val="24"/>
        </w:rPr>
        <w:t xml:space="preserve">, 5-24. </w:t>
      </w:r>
      <w:r>
        <w:rPr>
          <w:sz w:val="24"/>
          <w:szCs w:val="24"/>
          <w:highlight w:val="white"/>
        </w:rPr>
        <w:t>https://doi.org/10.1111/j.1467-9922.2010.00598.x</w:t>
      </w:r>
    </w:p>
    <w:p w14:paraId="2B83BD42" w14:textId="77777777" w:rsidR="00D475B6" w:rsidRDefault="00F34475">
      <w:pPr>
        <w:rPr>
          <w:sz w:val="24"/>
          <w:szCs w:val="24"/>
        </w:rPr>
      </w:pPr>
      <w:r>
        <w:rPr>
          <w:sz w:val="24"/>
          <w:szCs w:val="24"/>
        </w:rPr>
        <w:lastRenderedPageBreak/>
        <w:t xml:space="preserve">Hofweber, J., </w:t>
      </w:r>
      <w:proofErr w:type="spellStart"/>
      <w:r>
        <w:rPr>
          <w:sz w:val="24"/>
          <w:szCs w:val="24"/>
        </w:rPr>
        <w:t>Aumônier</w:t>
      </w:r>
      <w:proofErr w:type="spellEnd"/>
      <w:r>
        <w:rPr>
          <w:sz w:val="24"/>
          <w:szCs w:val="24"/>
        </w:rPr>
        <w:t xml:space="preserve">, L., Janke, V., Gullberg, M., &amp; Marshall, C. R. (2022). Breaking into language in a new modality: The role of input and individual differences in recognizing signs. </w:t>
      </w:r>
      <w:r>
        <w:rPr>
          <w:i/>
          <w:sz w:val="24"/>
          <w:szCs w:val="24"/>
        </w:rPr>
        <w:t xml:space="preserve">Frontiers in Psychology. </w:t>
      </w:r>
      <w:r>
        <w:rPr>
          <w:sz w:val="24"/>
          <w:szCs w:val="24"/>
        </w:rPr>
        <w:t>13:895880.</w:t>
      </w:r>
      <w:r>
        <w:rPr>
          <w:i/>
          <w:sz w:val="24"/>
          <w:szCs w:val="24"/>
        </w:rPr>
        <w:t xml:space="preserve"> </w:t>
      </w:r>
      <w:r>
        <w:rPr>
          <w:sz w:val="24"/>
          <w:szCs w:val="24"/>
        </w:rPr>
        <w:t>https://doi.org/10.3389/fpsyg.2022.895880</w:t>
      </w:r>
    </w:p>
    <w:p w14:paraId="2B83BD43" w14:textId="77777777" w:rsidR="00D475B6" w:rsidRDefault="00F34475">
      <w:pPr>
        <w:rPr>
          <w:sz w:val="24"/>
          <w:szCs w:val="24"/>
          <w:highlight w:val="white"/>
        </w:rPr>
      </w:pPr>
      <w:r>
        <w:rPr>
          <w:sz w:val="24"/>
          <w:szCs w:val="24"/>
        </w:rPr>
        <w:t xml:space="preserve">Hofweber, J., </w:t>
      </w:r>
      <w:proofErr w:type="spellStart"/>
      <w:r>
        <w:rPr>
          <w:sz w:val="24"/>
          <w:szCs w:val="24"/>
        </w:rPr>
        <w:t>Aumônier</w:t>
      </w:r>
      <w:proofErr w:type="spellEnd"/>
      <w:r>
        <w:rPr>
          <w:sz w:val="24"/>
          <w:szCs w:val="24"/>
        </w:rPr>
        <w:t xml:space="preserve">, L., Janke, V., Gullberg, M., &amp; Marshall, C. R. (2023). Which aspects of visual motivation aid the implicit learning of signs at first exposure? </w:t>
      </w:r>
      <w:r>
        <w:rPr>
          <w:i/>
          <w:sz w:val="24"/>
          <w:szCs w:val="24"/>
        </w:rPr>
        <w:t>Language Learning</w:t>
      </w:r>
      <w:r>
        <w:rPr>
          <w:sz w:val="24"/>
          <w:szCs w:val="24"/>
        </w:rPr>
        <w:t xml:space="preserve">, </w:t>
      </w:r>
      <w:r>
        <w:rPr>
          <w:i/>
          <w:sz w:val="24"/>
          <w:szCs w:val="24"/>
        </w:rPr>
        <w:t>73</w:t>
      </w:r>
      <w:r>
        <w:rPr>
          <w:sz w:val="24"/>
          <w:szCs w:val="24"/>
        </w:rPr>
        <w:t>, Issue S1, 33-63. https://doi.org/</w:t>
      </w:r>
      <w:r>
        <w:rPr>
          <w:sz w:val="24"/>
          <w:szCs w:val="24"/>
          <w:highlight w:val="white"/>
        </w:rPr>
        <w:t>10.1111/lang.12587</w:t>
      </w:r>
    </w:p>
    <w:p w14:paraId="2B83BD44" w14:textId="77777777" w:rsidR="00D475B6" w:rsidRDefault="00F34475">
      <w:pPr>
        <w:pStyle w:val="Heading1"/>
        <w:shd w:val="clear" w:color="auto" w:fill="FFFFFF"/>
        <w:spacing w:before="0" w:after="160" w:line="259" w:lineRule="auto"/>
        <w:rPr>
          <w:rFonts w:ascii="Calibri" w:eastAsia="Calibri" w:hAnsi="Calibri" w:cs="Calibri"/>
          <w:color w:val="000000"/>
          <w:sz w:val="24"/>
          <w:szCs w:val="24"/>
          <w:highlight w:val="white"/>
        </w:rPr>
      </w:pPr>
      <w:r>
        <w:rPr>
          <w:rFonts w:ascii="Calibri" w:eastAsia="Calibri" w:hAnsi="Calibri" w:cs="Calibri"/>
          <w:color w:val="000000"/>
          <w:sz w:val="24"/>
          <w:szCs w:val="24"/>
        </w:rPr>
        <w:t xml:space="preserve">Hou, L., &amp; Morford, J. (2020). Using signed language collocations to investigate acquisition: A commentary on Ambridge (2020). </w:t>
      </w:r>
      <w:r>
        <w:rPr>
          <w:rFonts w:ascii="Calibri" w:eastAsia="Calibri" w:hAnsi="Calibri" w:cs="Calibri"/>
          <w:i/>
          <w:color w:val="000000"/>
          <w:sz w:val="24"/>
          <w:szCs w:val="24"/>
        </w:rPr>
        <w:t>First Language</w:t>
      </w:r>
      <w:r>
        <w:rPr>
          <w:rFonts w:ascii="Calibri" w:eastAsia="Calibri" w:hAnsi="Calibri" w:cs="Calibri"/>
          <w:color w:val="000000"/>
          <w:sz w:val="24"/>
          <w:szCs w:val="24"/>
        </w:rPr>
        <w:t>,</w:t>
      </w:r>
      <w:r>
        <w:rPr>
          <w:rFonts w:ascii="Calibri" w:eastAsia="Calibri" w:hAnsi="Calibri" w:cs="Calibri"/>
          <w:i/>
          <w:color w:val="000000"/>
          <w:sz w:val="24"/>
          <w:szCs w:val="24"/>
        </w:rPr>
        <w:t xml:space="preserve"> 40</w:t>
      </w:r>
      <w:r>
        <w:rPr>
          <w:rFonts w:ascii="Calibri" w:eastAsia="Calibri" w:hAnsi="Calibri" w:cs="Calibri"/>
          <w:color w:val="000000"/>
          <w:sz w:val="24"/>
          <w:szCs w:val="24"/>
        </w:rPr>
        <w:t xml:space="preserve">, 585-591. </w:t>
      </w:r>
      <w:r>
        <w:rPr>
          <w:sz w:val="24"/>
          <w:szCs w:val="24"/>
        </w:rPr>
        <w:br/>
      </w:r>
      <w:r>
        <w:rPr>
          <w:rFonts w:ascii="Calibri" w:eastAsia="Calibri" w:hAnsi="Calibri" w:cs="Calibri"/>
          <w:color w:val="000000"/>
          <w:sz w:val="24"/>
          <w:szCs w:val="24"/>
          <w:highlight w:val="white"/>
        </w:rPr>
        <w:t>https://doi.org/10.1177/0142723720908075</w:t>
      </w:r>
    </w:p>
    <w:p w14:paraId="2B83BD45" w14:textId="77777777" w:rsidR="00D475B6" w:rsidRDefault="00F34475">
      <w:pPr>
        <w:pBdr>
          <w:top w:val="nil"/>
          <w:left w:val="nil"/>
          <w:bottom w:val="nil"/>
          <w:right w:val="nil"/>
          <w:between w:val="nil"/>
        </w:pBdr>
        <w:spacing w:line="240" w:lineRule="auto"/>
        <w:ind w:hanging="11"/>
        <w:rPr>
          <w:color w:val="000000"/>
          <w:sz w:val="24"/>
          <w:szCs w:val="24"/>
        </w:rPr>
      </w:pPr>
      <w:proofErr w:type="spellStart"/>
      <w:r>
        <w:rPr>
          <w:color w:val="000000"/>
          <w:sz w:val="24"/>
          <w:szCs w:val="24"/>
        </w:rPr>
        <w:t>Hulstijn</w:t>
      </w:r>
      <w:proofErr w:type="spellEnd"/>
      <w:r>
        <w:rPr>
          <w:color w:val="000000"/>
          <w:sz w:val="24"/>
          <w:szCs w:val="24"/>
        </w:rPr>
        <w:t xml:space="preserve">, J. H. (2005). Theoretical and empirical issues in the study of implicit and explicit second-language learning. </w:t>
      </w:r>
      <w:r>
        <w:rPr>
          <w:i/>
          <w:color w:val="000000"/>
          <w:sz w:val="24"/>
          <w:szCs w:val="24"/>
        </w:rPr>
        <w:t>Studies in Second Language Acquisition, 27</w:t>
      </w:r>
      <w:r>
        <w:rPr>
          <w:color w:val="000000"/>
          <w:sz w:val="24"/>
          <w:szCs w:val="24"/>
        </w:rPr>
        <w:t>(2), 129-140. https://doi.org/10.1017/S0272263105050084</w:t>
      </w:r>
    </w:p>
    <w:p w14:paraId="2B83BD46" w14:textId="77777777" w:rsidR="00D475B6" w:rsidRDefault="00F34475">
      <w:pPr>
        <w:spacing w:after="240"/>
        <w:rPr>
          <w:sz w:val="24"/>
          <w:szCs w:val="24"/>
        </w:rPr>
      </w:pPr>
      <w:r>
        <w:rPr>
          <w:sz w:val="24"/>
          <w:szCs w:val="24"/>
        </w:rPr>
        <w:t xml:space="preserve">Johnston, T., &amp; Schembri, A. (2009). </w:t>
      </w:r>
      <w:proofErr w:type="spellStart"/>
      <w:r>
        <w:rPr>
          <w:i/>
          <w:sz w:val="24"/>
          <w:szCs w:val="24"/>
        </w:rPr>
        <w:t>Auslan</w:t>
      </w:r>
      <w:proofErr w:type="spellEnd"/>
      <w:r>
        <w:rPr>
          <w:i/>
          <w:sz w:val="24"/>
          <w:szCs w:val="24"/>
        </w:rPr>
        <w:t>: an introduction to sign language linguistics</w:t>
      </w:r>
      <w:r>
        <w:rPr>
          <w:sz w:val="24"/>
          <w:szCs w:val="24"/>
        </w:rPr>
        <w:t>. Cambridge University Press.</w:t>
      </w:r>
    </w:p>
    <w:p w14:paraId="2B83BD47" w14:textId="77777777" w:rsidR="00D475B6" w:rsidRDefault="00F34475">
      <w:pPr>
        <w:spacing w:after="240"/>
        <w:rPr>
          <w:sz w:val="24"/>
          <w:szCs w:val="24"/>
        </w:rPr>
      </w:pPr>
      <w:r>
        <w:rPr>
          <w:sz w:val="24"/>
          <w:szCs w:val="24"/>
        </w:rPr>
        <w:t xml:space="preserve">Klein, W. (1986). </w:t>
      </w:r>
      <w:r>
        <w:rPr>
          <w:i/>
          <w:sz w:val="24"/>
          <w:szCs w:val="24"/>
        </w:rPr>
        <w:t>Second language acquisition</w:t>
      </w:r>
      <w:r>
        <w:rPr>
          <w:sz w:val="24"/>
          <w:szCs w:val="24"/>
        </w:rPr>
        <w:t>. Cambridge University Press.</w:t>
      </w:r>
    </w:p>
    <w:p w14:paraId="2B83BD48" w14:textId="77777777" w:rsidR="00D475B6" w:rsidRDefault="00F34475">
      <w:pPr>
        <w:rPr>
          <w:color w:val="000000"/>
          <w:sz w:val="24"/>
          <w:szCs w:val="24"/>
        </w:rPr>
      </w:pPr>
      <w:r>
        <w:rPr>
          <w:sz w:val="24"/>
          <w:szCs w:val="24"/>
        </w:rPr>
        <w:t xml:space="preserve">Lillo-Martin, D., &amp; Hochgesang, J. (2022). Signed languages – ordinary and unique: A commentary on </w:t>
      </w:r>
      <w:r>
        <w:rPr>
          <w:color w:val="000000"/>
          <w:sz w:val="24"/>
          <w:szCs w:val="24"/>
        </w:rPr>
        <w:t xml:space="preserve">Kidd and Garcia (2022). </w:t>
      </w:r>
      <w:r>
        <w:rPr>
          <w:i/>
          <w:color w:val="000000"/>
          <w:sz w:val="24"/>
          <w:szCs w:val="24"/>
        </w:rPr>
        <w:t xml:space="preserve">First Language, 42, </w:t>
      </w:r>
      <w:r>
        <w:rPr>
          <w:color w:val="000000"/>
          <w:sz w:val="24"/>
          <w:szCs w:val="24"/>
        </w:rPr>
        <w:t xml:space="preserve">789-803. </w:t>
      </w:r>
      <w:r>
        <w:rPr>
          <w:color w:val="000000"/>
          <w:sz w:val="24"/>
          <w:szCs w:val="24"/>
          <w:highlight w:val="white"/>
        </w:rPr>
        <w:t>https://doi.org/10.1177/01427237221098858</w:t>
      </w:r>
    </w:p>
    <w:p w14:paraId="2B83BD49" w14:textId="77777777" w:rsidR="00D475B6" w:rsidRDefault="00F34475">
      <w:pPr>
        <w:spacing w:after="0" w:line="240" w:lineRule="auto"/>
        <w:rPr>
          <w:color w:val="000000"/>
          <w:sz w:val="24"/>
          <w:szCs w:val="24"/>
        </w:rPr>
      </w:pPr>
      <w:r>
        <w:rPr>
          <w:color w:val="000000"/>
          <w:sz w:val="24"/>
          <w:szCs w:val="24"/>
        </w:rPr>
        <w:t xml:space="preserve">Mandel, M. (1981). </w:t>
      </w:r>
      <w:r>
        <w:rPr>
          <w:i/>
          <w:color w:val="000000"/>
          <w:sz w:val="24"/>
          <w:szCs w:val="24"/>
        </w:rPr>
        <w:t>Phonotactics and morphophonology in American Sign Language</w:t>
      </w:r>
      <w:r>
        <w:rPr>
          <w:color w:val="000000"/>
          <w:sz w:val="24"/>
          <w:szCs w:val="24"/>
        </w:rPr>
        <w:t>. PhD dissertation. University of California, Berkeley.</w:t>
      </w:r>
    </w:p>
    <w:p w14:paraId="2B83BD4A" w14:textId="77777777" w:rsidR="00D475B6" w:rsidRDefault="00D475B6">
      <w:pPr>
        <w:spacing w:after="0" w:line="240" w:lineRule="auto"/>
        <w:rPr>
          <w:color w:val="000000"/>
          <w:sz w:val="24"/>
          <w:szCs w:val="24"/>
        </w:rPr>
      </w:pPr>
    </w:p>
    <w:p w14:paraId="2B83BD4B" w14:textId="77777777" w:rsidR="00D475B6" w:rsidRDefault="00F34475">
      <w:pPr>
        <w:rPr>
          <w:color w:val="000000"/>
          <w:sz w:val="24"/>
          <w:szCs w:val="24"/>
        </w:rPr>
      </w:pPr>
      <w:r>
        <w:rPr>
          <w:color w:val="000000"/>
          <w:sz w:val="24"/>
          <w:szCs w:val="24"/>
        </w:rPr>
        <w:t xml:space="preserve">Meisel, J. M., Clahsen, H., &amp; </w:t>
      </w:r>
      <w:proofErr w:type="spellStart"/>
      <w:r>
        <w:rPr>
          <w:color w:val="000000"/>
          <w:sz w:val="24"/>
          <w:szCs w:val="24"/>
        </w:rPr>
        <w:t>Pienemann</w:t>
      </w:r>
      <w:proofErr w:type="spellEnd"/>
      <w:r>
        <w:rPr>
          <w:color w:val="000000"/>
          <w:sz w:val="24"/>
          <w:szCs w:val="24"/>
        </w:rPr>
        <w:t xml:space="preserve">, M. (1981). On determining developmental stages in natural second language acquisition. </w:t>
      </w:r>
      <w:r w:rsidRPr="519F8C63">
        <w:rPr>
          <w:i/>
          <w:iCs/>
          <w:color w:val="000000"/>
          <w:sz w:val="24"/>
          <w:szCs w:val="24"/>
        </w:rPr>
        <w:t>Studies in Second Language Acquisition, 3</w:t>
      </w:r>
      <w:r>
        <w:rPr>
          <w:color w:val="000000"/>
          <w:sz w:val="24"/>
          <w:szCs w:val="24"/>
        </w:rPr>
        <w:t xml:space="preserve">(2), 104-135. </w:t>
      </w:r>
      <w:r>
        <w:rPr>
          <w:color w:val="000000"/>
          <w:sz w:val="24"/>
          <w:szCs w:val="24"/>
          <w:shd w:val="clear" w:color="auto" w:fill="F3F3F3"/>
        </w:rPr>
        <w:t>https://doi.org/10.1017/S0272263100004137</w:t>
      </w:r>
    </w:p>
    <w:p w14:paraId="2B83BD4C" w14:textId="77777777" w:rsidR="00D475B6" w:rsidRDefault="00F34475">
      <w:pPr>
        <w:rPr>
          <w:sz w:val="24"/>
          <w:szCs w:val="24"/>
        </w:rPr>
      </w:pPr>
      <w:r>
        <w:rPr>
          <w:sz w:val="24"/>
          <w:szCs w:val="24"/>
        </w:rPr>
        <w:t xml:space="preserve">Ortega, G., </w:t>
      </w:r>
      <w:proofErr w:type="spellStart"/>
      <w:r>
        <w:rPr>
          <w:sz w:val="24"/>
          <w:szCs w:val="24"/>
        </w:rPr>
        <w:t>Schiefner</w:t>
      </w:r>
      <w:proofErr w:type="spellEnd"/>
      <w:r>
        <w:rPr>
          <w:sz w:val="24"/>
          <w:szCs w:val="24"/>
        </w:rPr>
        <w:t xml:space="preserve">, A., &amp; </w:t>
      </w:r>
      <w:proofErr w:type="spellStart"/>
      <w:r>
        <w:rPr>
          <w:sz w:val="24"/>
          <w:szCs w:val="24"/>
        </w:rPr>
        <w:t>Özyürek</w:t>
      </w:r>
      <w:proofErr w:type="spellEnd"/>
      <w:r>
        <w:rPr>
          <w:sz w:val="24"/>
          <w:szCs w:val="24"/>
        </w:rPr>
        <w:t>, A. (2019). Hearing non-signers use their gestures to predict iconic form-meaning mappings at first exposure to signs. </w:t>
      </w:r>
      <w:r>
        <w:rPr>
          <w:i/>
          <w:sz w:val="24"/>
          <w:szCs w:val="24"/>
        </w:rPr>
        <w:t>Cognition</w:t>
      </w:r>
      <w:r>
        <w:rPr>
          <w:sz w:val="24"/>
          <w:szCs w:val="24"/>
        </w:rPr>
        <w:t>, </w:t>
      </w:r>
      <w:r>
        <w:rPr>
          <w:i/>
          <w:sz w:val="24"/>
          <w:szCs w:val="24"/>
        </w:rPr>
        <w:t>191</w:t>
      </w:r>
      <w:r>
        <w:rPr>
          <w:sz w:val="24"/>
          <w:szCs w:val="24"/>
        </w:rPr>
        <w:t xml:space="preserve">, 103996. </w:t>
      </w:r>
      <w:hyperlink r:id="rId19">
        <w:r w:rsidR="00D475B6">
          <w:rPr>
            <w:sz w:val="24"/>
            <w:szCs w:val="24"/>
          </w:rPr>
          <w:t>https://doi.org/10.1016/j.cognition.2019.06.008</w:t>
        </w:r>
      </w:hyperlink>
    </w:p>
    <w:p w14:paraId="2B83BD4D" w14:textId="77777777" w:rsidR="00D475B6" w:rsidRDefault="00F34475">
      <w:pPr>
        <w:pBdr>
          <w:top w:val="nil"/>
          <w:left w:val="nil"/>
          <w:bottom w:val="nil"/>
          <w:right w:val="nil"/>
          <w:between w:val="nil"/>
        </w:pBdr>
        <w:spacing w:line="240" w:lineRule="auto"/>
        <w:ind w:hanging="11"/>
        <w:rPr>
          <w:color w:val="000000"/>
          <w:sz w:val="24"/>
          <w:szCs w:val="24"/>
        </w:rPr>
      </w:pPr>
      <w:r>
        <w:rPr>
          <w:color w:val="000000"/>
          <w:sz w:val="24"/>
          <w:szCs w:val="24"/>
        </w:rPr>
        <w:t xml:space="preserve">Perdue, C. (Ed.) (1984). </w:t>
      </w:r>
      <w:r>
        <w:rPr>
          <w:i/>
          <w:color w:val="000000"/>
          <w:sz w:val="24"/>
          <w:szCs w:val="24"/>
        </w:rPr>
        <w:t>Second language acquisition by adult immigrants. A field manual</w:t>
      </w:r>
      <w:r>
        <w:rPr>
          <w:color w:val="000000"/>
          <w:sz w:val="24"/>
          <w:szCs w:val="24"/>
        </w:rPr>
        <w:t>. Newbury House.</w:t>
      </w:r>
    </w:p>
    <w:p w14:paraId="2B83BD4E" w14:textId="77777777" w:rsidR="00D475B6" w:rsidRDefault="00F34475">
      <w:pPr>
        <w:pBdr>
          <w:top w:val="nil"/>
          <w:left w:val="nil"/>
          <w:bottom w:val="nil"/>
          <w:right w:val="nil"/>
          <w:between w:val="nil"/>
        </w:pBdr>
        <w:spacing w:line="240" w:lineRule="auto"/>
        <w:rPr>
          <w:color w:val="000000"/>
          <w:sz w:val="24"/>
          <w:szCs w:val="24"/>
        </w:rPr>
      </w:pPr>
      <w:proofErr w:type="spellStart"/>
      <w:r>
        <w:rPr>
          <w:color w:val="000000"/>
          <w:sz w:val="24"/>
          <w:szCs w:val="24"/>
        </w:rPr>
        <w:t>Rebuschat</w:t>
      </w:r>
      <w:proofErr w:type="spellEnd"/>
      <w:r>
        <w:rPr>
          <w:color w:val="000000"/>
          <w:sz w:val="24"/>
          <w:szCs w:val="24"/>
        </w:rPr>
        <w:t xml:space="preserve">, P., &amp; Williams, J. N. (2012). Implicit learning in second language acquisition. In C. Chapelle (Ed.), </w:t>
      </w:r>
      <w:r>
        <w:rPr>
          <w:i/>
          <w:color w:val="000000"/>
          <w:sz w:val="24"/>
          <w:szCs w:val="24"/>
        </w:rPr>
        <w:t xml:space="preserve">The </w:t>
      </w:r>
      <w:proofErr w:type="spellStart"/>
      <w:r>
        <w:rPr>
          <w:i/>
          <w:color w:val="000000"/>
          <w:sz w:val="24"/>
          <w:szCs w:val="24"/>
        </w:rPr>
        <w:t>Encyclopedia</w:t>
      </w:r>
      <w:proofErr w:type="spellEnd"/>
      <w:r>
        <w:rPr>
          <w:i/>
          <w:color w:val="000000"/>
          <w:sz w:val="24"/>
          <w:szCs w:val="24"/>
        </w:rPr>
        <w:t xml:space="preserve"> of Applied Linguistics</w:t>
      </w:r>
      <w:r>
        <w:rPr>
          <w:color w:val="000000"/>
          <w:sz w:val="24"/>
          <w:szCs w:val="24"/>
        </w:rPr>
        <w:t>. https://doi.org/</w:t>
      </w:r>
      <w:hyperlink r:id="rId20">
        <w:r w:rsidR="00D475B6">
          <w:rPr>
            <w:color w:val="000000"/>
            <w:sz w:val="24"/>
            <w:szCs w:val="24"/>
          </w:rPr>
          <w:t>10.1002/9781405198431.wbeal0529</w:t>
        </w:r>
      </w:hyperlink>
    </w:p>
    <w:p w14:paraId="2B83BD4F" w14:textId="77777777" w:rsidR="00D475B6" w:rsidRDefault="00F34475">
      <w:pPr>
        <w:pBdr>
          <w:top w:val="nil"/>
          <w:left w:val="nil"/>
          <w:bottom w:val="nil"/>
          <w:right w:val="nil"/>
          <w:between w:val="nil"/>
        </w:pBdr>
        <w:spacing w:line="240" w:lineRule="auto"/>
        <w:ind w:hanging="11"/>
        <w:rPr>
          <w:color w:val="000000"/>
          <w:sz w:val="24"/>
          <w:szCs w:val="24"/>
        </w:rPr>
      </w:pPr>
      <w:r>
        <w:rPr>
          <w:color w:val="000000"/>
          <w:sz w:val="24"/>
          <w:szCs w:val="24"/>
        </w:rPr>
        <w:t xml:space="preserve">Ristin-Kaufmann, N., &amp; Gullberg, M. (2014). The effects of first exposure to an unknown language at different ages. </w:t>
      </w:r>
      <w:r>
        <w:rPr>
          <w:i/>
          <w:color w:val="000000"/>
          <w:sz w:val="24"/>
          <w:szCs w:val="24"/>
        </w:rPr>
        <w:t xml:space="preserve">Bulletin Suisse de </w:t>
      </w:r>
      <w:proofErr w:type="spellStart"/>
      <w:r>
        <w:rPr>
          <w:i/>
          <w:color w:val="000000"/>
          <w:sz w:val="24"/>
          <w:szCs w:val="24"/>
        </w:rPr>
        <w:t>Linguistique</w:t>
      </w:r>
      <w:proofErr w:type="spellEnd"/>
      <w:r>
        <w:rPr>
          <w:i/>
          <w:color w:val="000000"/>
          <w:sz w:val="24"/>
          <w:szCs w:val="24"/>
        </w:rPr>
        <w:t xml:space="preserve"> </w:t>
      </w:r>
      <w:proofErr w:type="spellStart"/>
      <w:r>
        <w:rPr>
          <w:i/>
          <w:color w:val="000000"/>
          <w:sz w:val="24"/>
          <w:szCs w:val="24"/>
        </w:rPr>
        <w:t>Appliquée</w:t>
      </w:r>
      <w:proofErr w:type="spellEnd"/>
      <w:r>
        <w:rPr>
          <w:color w:val="000000"/>
          <w:sz w:val="24"/>
          <w:szCs w:val="24"/>
        </w:rPr>
        <w:t>,</w:t>
      </w:r>
      <w:r>
        <w:rPr>
          <w:i/>
          <w:color w:val="000000"/>
          <w:sz w:val="24"/>
          <w:szCs w:val="24"/>
        </w:rPr>
        <w:t xml:space="preserve"> 99</w:t>
      </w:r>
      <w:r>
        <w:rPr>
          <w:color w:val="000000"/>
          <w:sz w:val="24"/>
          <w:szCs w:val="24"/>
        </w:rPr>
        <w:t xml:space="preserve">, 17-29. </w:t>
      </w:r>
    </w:p>
    <w:p w14:paraId="2B83BD50" w14:textId="77777777" w:rsidR="00D475B6" w:rsidRDefault="00F34475">
      <w:pPr>
        <w:rPr>
          <w:sz w:val="24"/>
          <w:szCs w:val="24"/>
        </w:rPr>
      </w:pPr>
      <w:r>
        <w:rPr>
          <w:sz w:val="24"/>
          <w:szCs w:val="24"/>
        </w:rPr>
        <w:lastRenderedPageBreak/>
        <w:t xml:space="preserve">Sandler, W. (2012). The phonological organization of sign languages. </w:t>
      </w:r>
      <w:r>
        <w:rPr>
          <w:i/>
          <w:sz w:val="24"/>
          <w:szCs w:val="24"/>
        </w:rPr>
        <w:t>Language and Linguistics Compass</w:t>
      </w:r>
      <w:r>
        <w:rPr>
          <w:sz w:val="24"/>
          <w:szCs w:val="24"/>
        </w:rPr>
        <w:t xml:space="preserve">, </w:t>
      </w:r>
      <w:r>
        <w:rPr>
          <w:i/>
          <w:sz w:val="24"/>
          <w:szCs w:val="24"/>
        </w:rPr>
        <w:t>6</w:t>
      </w:r>
      <w:r>
        <w:rPr>
          <w:sz w:val="24"/>
          <w:szCs w:val="24"/>
        </w:rPr>
        <w:t xml:space="preserve">(3), 162-182.  https://doi.org/10.1002/lnc3.326.  </w:t>
      </w:r>
    </w:p>
    <w:p w14:paraId="2B83BD51" w14:textId="77777777" w:rsidR="00D475B6" w:rsidRDefault="00F34475">
      <w:pPr>
        <w:rPr>
          <w:sz w:val="24"/>
          <w:szCs w:val="24"/>
        </w:rPr>
      </w:pPr>
      <w:r>
        <w:rPr>
          <w:sz w:val="24"/>
          <w:szCs w:val="24"/>
        </w:rPr>
        <w:t xml:space="preserve">Sandler, W., &amp; Lillo-Martin, D. (2006). </w:t>
      </w:r>
      <w:r>
        <w:rPr>
          <w:i/>
          <w:sz w:val="24"/>
          <w:szCs w:val="24"/>
        </w:rPr>
        <w:t>Sign languages and linguistic universals</w:t>
      </w:r>
      <w:r>
        <w:rPr>
          <w:sz w:val="24"/>
          <w:szCs w:val="24"/>
        </w:rPr>
        <w:t>. Cambridge.</w:t>
      </w:r>
    </w:p>
    <w:p w14:paraId="2B83BD52" w14:textId="77777777" w:rsidR="00D475B6" w:rsidRDefault="00F34475">
      <w:pPr>
        <w:rPr>
          <w:sz w:val="24"/>
          <w:szCs w:val="24"/>
        </w:rPr>
      </w:pPr>
      <w:proofErr w:type="spellStart"/>
      <w:r>
        <w:rPr>
          <w:sz w:val="24"/>
          <w:szCs w:val="24"/>
        </w:rPr>
        <w:t>Schönström</w:t>
      </w:r>
      <w:proofErr w:type="spellEnd"/>
      <w:r>
        <w:rPr>
          <w:sz w:val="24"/>
          <w:szCs w:val="24"/>
        </w:rPr>
        <w:t xml:space="preserve">, K. (2021). Sign languages and second language acquisition research: An introduction. </w:t>
      </w:r>
      <w:r>
        <w:rPr>
          <w:i/>
          <w:sz w:val="24"/>
          <w:szCs w:val="24"/>
        </w:rPr>
        <w:t>Journal of the European Second Language Association</w:t>
      </w:r>
      <w:r>
        <w:rPr>
          <w:sz w:val="24"/>
          <w:szCs w:val="24"/>
        </w:rPr>
        <w:t xml:space="preserve">, 5(1), 30-43. https://doi.org/10.22599/jesla.73     </w:t>
      </w:r>
    </w:p>
    <w:p w14:paraId="2B83BD53" w14:textId="77777777" w:rsidR="00D475B6" w:rsidRDefault="00F34475">
      <w:pPr>
        <w:rPr>
          <w:sz w:val="24"/>
          <w:szCs w:val="24"/>
        </w:rPr>
      </w:pPr>
      <w:r>
        <w:rPr>
          <w:sz w:val="24"/>
          <w:szCs w:val="24"/>
        </w:rPr>
        <w:t xml:space="preserve">Sockett, G. (2022). Learning beyond the classroom and autonomy. In H. Reinder, C. Lai, &amp; P. Sundquist (Eds.), </w:t>
      </w:r>
      <w:r>
        <w:rPr>
          <w:i/>
          <w:sz w:val="24"/>
          <w:szCs w:val="24"/>
        </w:rPr>
        <w:t>The Routledge handbook of language learning and teaching beyond the classroom</w:t>
      </w:r>
      <w:r>
        <w:rPr>
          <w:sz w:val="24"/>
          <w:szCs w:val="24"/>
        </w:rPr>
        <w:t xml:space="preserve"> (pp. 67-80). Routledge.</w:t>
      </w:r>
    </w:p>
    <w:p w14:paraId="2B83BD54" w14:textId="77777777" w:rsidR="00D475B6" w:rsidRDefault="00F34475">
      <w:pPr>
        <w:rPr>
          <w:sz w:val="24"/>
          <w:szCs w:val="24"/>
        </w:rPr>
      </w:pPr>
      <w:r>
        <w:rPr>
          <w:sz w:val="24"/>
          <w:szCs w:val="24"/>
        </w:rPr>
        <w:t xml:space="preserve">Wechsler, D. (1997). </w:t>
      </w:r>
      <w:r>
        <w:rPr>
          <w:i/>
          <w:sz w:val="24"/>
          <w:szCs w:val="24"/>
        </w:rPr>
        <w:t>WAIS-III Administration and scoring manual</w:t>
      </w:r>
      <w:r>
        <w:rPr>
          <w:sz w:val="24"/>
          <w:szCs w:val="24"/>
        </w:rPr>
        <w:t xml:space="preserve">. The Psychological Association.  </w:t>
      </w:r>
    </w:p>
    <w:p w14:paraId="2B83BD55" w14:textId="77777777" w:rsidR="00D475B6" w:rsidRDefault="00F34475">
      <w:pPr>
        <w:rPr>
          <w:sz w:val="24"/>
          <w:szCs w:val="24"/>
        </w:rPr>
      </w:pPr>
      <w:r>
        <w:rPr>
          <w:sz w:val="24"/>
          <w:szCs w:val="24"/>
        </w:rPr>
        <w:t xml:space="preserve">Wechsler, D., Coalson, D.L., &amp; Raiford, S.E. (2008). </w:t>
      </w:r>
      <w:r>
        <w:rPr>
          <w:i/>
          <w:sz w:val="24"/>
          <w:szCs w:val="24"/>
        </w:rPr>
        <w:t>WAIS-IV technical and interpretive manual</w:t>
      </w:r>
      <w:r>
        <w:rPr>
          <w:sz w:val="24"/>
          <w:szCs w:val="24"/>
        </w:rPr>
        <w:t>. Pearson.</w:t>
      </w:r>
    </w:p>
    <w:p w14:paraId="2B83BD56" w14:textId="77777777" w:rsidR="00D475B6" w:rsidRDefault="00F34475">
      <w:pPr>
        <w:rPr>
          <w:sz w:val="24"/>
          <w:szCs w:val="24"/>
        </w:rPr>
      </w:pPr>
      <w:r w:rsidRPr="519F8C63">
        <w:rPr>
          <w:sz w:val="24"/>
          <w:szCs w:val="24"/>
        </w:rPr>
        <w:t xml:space="preserve">Williams, J. (2009). Implicit learning in second language acquisition. In W. Ritchie &amp; T. Bhatia (Eds.) </w:t>
      </w:r>
      <w:r w:rsidRPr="519F8C63">
        <w:rPr>
          <w:i/>
          <w:iCs/>
          <w:sz w:val="24"/>
          <w:szCs w:val="24"/>
        </w:rPr>
        <w:t>The new handbook of second language acquisition</w:t>
      </w:r>
      <w:r w:rsidRPr="519F8C63">
        <w:rPr>
          <w:sz w:val="24"/>
          <w:szCs w:val="24"/>
        </w:rPr>
        <w:t>. (pp. 319-353). Brill.</w:t>
      </w:r>
    </w:p>
    <w:p w14:paraId="2B83BD57" w14:textId="77777777" w:rsidR="00D475B6" w:rsidRDefault="00F34475">
      <w:pPr>
        <w:rPr>
          <w:sz w:val="28"/>
          <w:szCs w:val="28"/>
          <w:shd w:val="clear" w:color="auto" w:fill="9FC5E8"/>
        </w:rPr>
      </w:pPr>
      <w:r>
        <w:rPr>
          <w:color w:val="222222"/>
          <w:sz w:val="24"/>
          <w:szCs w:val="24"/>
          <w:shd w:val="clear" w:color="auto" w:fill="9FC5E8"/>
        </w:rPr>
        <w:t xml:space="preserve">Winter, B. (2019). </w:t>
      </w:r>
      <w:r w:rsidRPr="519F8C63">
        <w:rPr>
          <w:i/>
          <w:iCs/>
          <w:color w:val="222222"/>
          <w:sz w:val="24"/>
          <w:szCs w:val="24"/>
          <w:shd w:val="clear" w:color="auto" w:fill="9FC5E8"/>
        </w:rPr>
        <w:t>Statistics for linguists: An introduction using R</w:t>
      </w:r>
      <w:r>
        <w:rPr>
          <w:color w:val="222222"/>
          <w:sz w:val="24"/>
          <w:szCs w:val="24"/>
          <w:shd w:val="clear" w:color="auto" w:fill="9FC5E8"/>
        </w:rPr>
        <w:t>. Routledge.</w:t>
      </w:r>
    </w:p>
    <w:p w14:paraId="2B83BD58" w14:textId="77777777" w:rsidR="00D475B6" w:rsidRDefault="00F34475">
      <w:pPr>
        <w:rPr>
          <w:sz w:val="24"/>
          <w:szCs w:val="24"/>
        </w:rPr>
      </w:pPr>
      <w:r w:rsidRPr="519F8C63">
        <w:rPr>
          <w:sz w:val="24"/>
          <w:szCs w:val="24"/>
        </w:rPr>
        <w:t xml:space="preserve">                           </w:t>
      </w:r>
    </w:p>
    <w:p w14:paraId="2B83BD59" w14:textId="77777777" w:rsidR="00D475B6" w:rsidRDefault="00D475B6">
      <w:pPr>
        <w:rPr>
          <w:sz w:val="24"/>
          <w:szCs w:val="24"/>
        </w:rPr>
      </w:pPr>
    </w:p>
    <w:p w14:paraId="2B83BD5A" w14:textId="77777777" w:rsidR="00D475B6" w:rsidRDefault="00F34475">
      <w:pPr>
        <w:rPr>
          <w:sz w:val="24"/>
          <w:szCs w:val="24"/>
        </w:rPr>
      </w:pPr>
      <w:r>
        <w:br w:type="page"/>
      </w:r>
    </w:p>
    <w:p w14:paraId="2B83BD5B" w14:textId="77777777" w:rsidR="00D475B6" w:rsidRDefault="00F34475" w:rsidP="38A5A85B">
      <w:pPr>
        <w:spacing w:before="240" w:after="240"/>
        <w:rPr>
          <w:b/>
          <w:bCs/>
          <w:sz w:val="24"/>
          <w:szCs w:val="24"/>
          <w:shd w:val="clear" w:color="auto" w:fill="9FC5E8"/>
        </w:rPr>
      </w:pPr>
      <w:r w:rsidRPr="38A5A85B">
        <w:rPr>
          <w:b/>
          <w:bCs/>
          <w:sz w:val="24"/>
          <w:szCs w:val="24"/>
          <w:shd w:val="clear" w:color="auto" w:fill="9FC5E8"/>
        </w:rPr>
        <w:lastRenderedPageBreak/>
        <w:t>Appendix 1. Target signs</w:t>
      </w:r>
    </w:p>
    <w:p w14:paraId="2B83BD5C" w14:textId="77777777" w:rsidR="00D475B6" w:rsidRDefault="00F34475">
      <w:pPr>
        <w:spacing w:before="240" w:after="240"/>
        <w:rPr>
          <w:sz w:val="24"/>
          <w:szCs w:val="24"/>
          <w:shd w:val="clear" w:color="auto" w:fill="9FC5E8"/>
        </w:rPr>
      </w:pPr>
      <w:r>
        <w:rPr>
          <w:sz w:val="24"/>
          <w:szCs w:val="24"/>
          <w:shd w:val="clear" w:color="auto" w:fill="9FC5E8"/>
        </w:rPr>
        <w:t>This table presents a still photo of each target sign, its frequency in the weather forecast (H = high frequency = occurs 8 times; L = low frequency = occurs 3 times, except for ‘south’ which, due to experimenter error, occurs 4 times), and its iconicity (on a scale from 1 to 7). Signs are organised in this table from the highest iconicity to the lowest. Note that videos of each sign can be found at https://osf.io/8hrp6/.</w:t>
      </w:r>
    </w:p>
    <w:tbl>
      <w:tblPr>
        <w:tblStyle w:val="a9"/>
        <w:tblW w:w="7095" w:type="dxa"/>
        <w:tblBorders>
          <w:top w:val="nil"/>
          <w:left w:val="nil"/>
          <w:bottom w:val="nil"/>
          <w:right w:val="nil"/>
          <w:insideH w:val="nil"/>
          <w:insideV w:val="nil"/>
        </w:tblBorders>
        <w:tblLayout w:type="fixed"/>
        <w:tblLook w:val="0600" w:firstRow="0" w:lastRow="0" w:firstColumn="0" w:lastColumn="0" w:noHBand="1" w:noVBand="1"/>
      </w:tblPr>
      <w:tblGrid>
        <w:gridCol w:w="1830"/>
        <w:gridCol w:w="1680"/>
        <w:gridCol w:w="1590"/>
        <w:gridCol w:w="1995"/>
      </w:tblGrid>
      <w:tr w:rsidR="00D475B6" w14:paraId="2B83BD61" w14:textId="77777777" w:rsidTr="519F8C63">
        <w:trPr>
          <w:trHeight w:val="27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5D" w14:textId="77777777" w:rsidR="00D475B6" w:rsidRDefault="00F34475" w:rsidP="519F8C63">
            <w:pPr>
              <w:spacing w:before="240" w:after="0" w:line="256" w:lineRule="auto"/>
              <w:rPr>
                <w:b/>
                <w:bCs/>
                <w:sz w:val="24"/>
                <w:szCs w:val="24"/>
              </w:rPr>
            </w:pPr>
            <w:r w:rsidRPr="519F8C63">
              <w:rPr>
                <w:b/>
                <w:bCs/>
                <w:sz w:val="24"/>
                <w:szCs w:val="24"/>
              </w:rPr>
              <w:t>Item</w:t>
            </w:r>
          </w:p>
        </w:tc>
        <w:tc>
          <w:tcPr>
            <w:tcW w:w="1680"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5E" w14:textId="77777777" w:rsidR="00D475B6" w:rsidRDefault="00F34475" w:rsidP="519F8C63">
            <w:pPr>
              <w:spacing w:before="240" w:after="0" w:line="256" w:lineRule="auto"/>
              <w:rPr>
                <w:b/>
                <w:bCs/>
                <w:sz w:val="24"/>
                <w:szCs w:val="24"/>
              </w:rPr>
            </w:pPr>
            <w:r w:rsidRPr="519F8C63">
              <w:rPr>
                <w:b/>
                <w:bCs/>
                <w:sz w:val="24"/>
                <w:szCs w:val="24"/>
              </w:rPr>
              <w:t>Sign</w:t>
            </w:r>
          </w:p>
        </w:tc>
        <w:tc>
          <w:tcPr>
            <w:tcW w:w="1590"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5F" w14:textId="77777777" w:rsidR="00D475B6" w:rsidRDefault="00F34475" w:rsidP="519F8C63">
            <w:pPr>
              <w:spacing w:before="240" w:after="0" w:line="256" w:lineRule="auto"/>
              <w:rPr>
                <w:b/>
                <w:bCs/>
                <w:sz w:val="24"/>
                <w:szCs w:val="24"/>
              </w:rPr>
            </w:pPr>
            <w:r w:rsidRPr="519F8C63">
              <w:rPr>
                <w:b/>
                <w:bCs/>
                <w:sz w:val="24"/>
                <w:szCs w:val="24"/>
              </w:rPr>
              <w:t>Frequency</w:t>
            </w:r>
          </w:p>
        </w:tc>
        <w:tc>
          <w:tcPr>
            <w:tcW w:w="1995" w:type="dxa"/>
            <w:tcBorders>
              <w:top w:val="single" w:sz="6" w:space="0" w:color="000000" w:themeColor="text1"/>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0" w14:textId="77777777" w:rsidR="00D475B6" w:rsidRDefault="00F34475" w:rsidP="519F8C63">
            <w:pPr>
              <w:spacing w:before="240" w:after="0" w:line="256" w:lineRule="auto"/>
              <w:rPr>
                <w:b/>
                <w:bCs/>
                <w:sz w:val="24"/>
                <w:szCs w:val="24"/>
              </w:rPr>
            </w:pPr>
            <w:r w:rsidRPr="519F8C63">
              <w:rPr>
                <w:b/>
                <w:bCs/>
                <w:sz w:val="24"/>
                <w:szCs w:val="24"/>
              </w:rPr>
              <w:t>Iconicity score</w:t>
            </w:r>
          </w:p>
        </w:tc>
      </w:tr>
      <w:tr w:rsidR="00D475B6" w14:paraId="2B83BD66" w14:textId="77777777" w:rsidTr="519F8C63">
        <w:trPr>
          <w:trHeight w:val="120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62" w14:textId="77777777" w:rsidR="00D475B6" w:rsidRDefault="00F34475">
            <w:pPr>
              <w:spacing w:before="240" w:after="0" w:line="256" w:lineRule="auto"/>
              <w:rPr>
                <w:sz w:val="24"/>
                <w:szCs w:val="24"/>
              </w:rPr>
            </w:pPr>
            <w:r w:rsidRPr="519F8C63">
              <w:rPr>
                <w:sz w:val="24"/>
                <w:szCs w:val="24"/>
              </w:rPr>
              <w:t>Zero</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3" w14:textId="77777777" w:rsidR="00D475B6" w:rsidRDefault="00F34475">
            <w:pPr>
              <w:rPr>
                <w:sz w:val="24"/>
                <w:szCs w:val="24"/>
              </w:rPr>
            </w:pPr>
            <w:r>
              <w:rPr>
                <w:noProof/>
                <w:sz w:val="24"/>
                <w:szCs w:val="24"/>
              </w:rPr>
              <w:drawing>
                <wp:inline distT="114300" distB="114300" distL="114300" distR="114300" wp14:anchorId="2B83BDE8" wp14:editId="2B83BDE9">
                  <wp:extent cx="933450" cy="9652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933450" cy="9652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4" w14:textId="77777777" w:rsidR="00D475B6" w:rsidRDefault="00F34475">
            <w:pPr>
              <w:spacing w:before="240" w:after="0" w:line="256" w:lineRule="auto"/>
              <w:rPr>
                <w:sz w:val="24"/>
                <w:szCs w:val="24"/>
              </w:rPr>
            </w:pPr>
            <w:r w:rsidRPr="519F8C63">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5" w14:textId="77777777" w:rsidR="00D475B6" w:rsidRDefault="00F34475">
            <w:pPr>
              <w:spacing w:before="240" w:after="0" w:line="256" w:lineRule="auto"/>
              <w:rPr>
                <w:sz w:val="24"/>
                <w:szCs w:val="24"/>
              </w:rPr>
            </w:pPr>
            <w:r w:rsidRPr="519F8C63">
              <w:rPr>
                <w:sz w:val="24"/>
                <w:szCs w:val="24"/>
              </w:rPr>
              <w:t>6.92</w:t>
            </w:r>
          </w:p>
        </w:tc>
      </w:tr>
      <w:tr w:rsidR="00D475B6" w14:paraId="2B83BD6B" w14:textId="77777777" w:rsidTr="519F8C63">
        <w:trPr>
          <w:trHeight w:val="102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67" w14:textId="77777777" w:rsidR="00D475B6" w:rsidRDefault="00F34475">
            <w:pPr>
              <w:spacing w:before="240" w:after="0" w:line="256" w:lineRule="auto"/>
              <w:rPr>
                <w:sz w:val="24"/>
                <w:szCs w:val="24"/>
              </w:rPr>
            </w:pPr>
            <w:r>
              <w:rPr>
                <w:sz w:val="24"/>
                <w:szCs w:val="24"/>
              </w:rPr>
              <w:t>Snow</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8" w14:textId="77777777" w:rsidR="00D475B6" w:rsidRDefault="00F34475">
            <w:pPr>
              <w:rPr>
                <w:sz w:val="24"/>
                <w:szCs w:val="24"/>
              </w:rPr>
            </w:pPr>
            <w:r>
              <w:rPr>
                <w:noProof/>
                <w:sz w:val="24"/>
                <w:szCs w:val="24"/>
              </w:rPr>
              <w:drawing>
                <wp:inline distT="114300" distB="114300" distL="114300" distR="114300" wp14:anchorId="2B83BDEA" wp14:editId="2B83BDEB">
                  <wp:extent cx="933450" cy="8128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933450" cy="8128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9"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A" w14:textId="77777777" w:rsidR="00D475B6" w:rsidRDefault="00F34475">
            <w:pPr>
              <w:spacing w:before="240" w:after="0" w:line="256" w:lineRule="auto"/>
              <w:rPr>
                <w:sz w:val="24"/>
                <w:szCs w:val="24"/>
              </w:rPr>
            </w:pPr>
            <w:r>
              <w:rPr>
                <w:sz w:val="24"/>
                <w:szCs w:val="24"/>
              </w:rPr>
              <w:t>5.71</w:t>
            </w:r>
          </w:p>
        </w:tc>
      </w:tr>
      <w:tr w:rsidR="00D475B6" w14:paraId="2B83BD70" w14:textId="77777777" w:rsidTr="519F8C63">
        <w:trPr>
          <w:trHeight w:val="1275"/>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6C" w14:textId="77777777" w:rsidR="00D475B6" w:rsidRDefault="00F34475">
            <w:pPr>
              <w:spacing w:before="240" w:after="0" w:line="256" w:lineRule="auto"/>
              <w:rPr>
                <w:sz w:val="24"/>
                <w:szCs w:val="24"/>
              </w:rPr>
            </w:pPr>
            <w:r>
              <w:rPr>
                <w:sz w:val="24"/>
                <w:szCs w:val="24"/>
              </w:rPr>
              <w:t>Rainbow</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D" w14:textId="77777777" w:rsidR="00D475B6" w:rsidRDefault="00F34475">
            <w:pPr>
              <w:rPr>
                <w:sz w:val="24"/>
                <w:szCs w:val="24"/>
              </w:rPr>
            </w:pPr>
            <w:r>
              <w:rPr>
                <w:noProof/>
                <w:sz w:val="24"/>
                <w:szCs w:val="24"/>
              </w:rPr>
              <w:drawing>
                <wp:inline distT="114300" distB="114300" distL="114300" distR="114300" wp14:anchorId="2B83BDEC" wp14:editId="2B83BDED">
                  <wp:extent cx="933450" cy="1016000"/>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933450" cy="10160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E"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6F" w14:textId="77777777" w:rsidR="00D475B6" w:rsidRDefault="00F34475">
            <w:pPr>
              <w:spacing w:before="240" w:after="0" w:line="256" w:lineRule="auto"/>
              <w:rPr>
                <w:sz w:val="24"/>
                <w:szCs w:val="24"/>
              </w:rPr>
            </w:pPr>
            <w:r>
              <w:rPr>
                <w:sz w:val="24"/>
                <w:szCs w:val="24"/>
              </w:rPr>
              <w:t>5.58</w:t>
            </w:r>
          </w:p>
        </w:tc>
      </w:tr>
      <w:tr w:rsidR="00D475B6" w14:paraId="2B83BD75" w14:textId="77777777" w:rsidTr="519F8C63">
        <w:trPr>
          <w:trHeight w:val="1335"/>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71" w14:textId="77777777" w:rsidR="00D475B6" w:rsidRDefault="00F34475">
            <w:pPr>
              <w:spacing w:before="240" w:after="0" w:line="256" w:lineRule="auto"/>
              <w:rPr>
                <w:sz w:val="24"/>
                <w:szCs w:val="24"/>
              </w:rPr>
            </w:pPr>
            <w:r>
              <w:rPr>
                <w:sz w:val="24"/>
                <w:szCs w:val="24"/>
              </w:rPr>
              <w:t>North</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2" w14:textId="77777777" w:rsidR="00D475B6" w:rsidRDefault="00F34475">
            <w:pPr>
              <w:rPr>
                <w:sz w:val="24"/>
                <w:szCs w:val="24"/>
              </w:rPr>
            </w:pPr>
            <w:r>
              <w:rPr>
                <w:noProof/>
                <w:sz w:val="24"/>
                <w:szCs w:val="24"/>
              </w:rPr>
              <w:drawing>
                <wp:inline distT="114300" distB="114300" distL="114300" distR="114300" wp14:anchorId="2B83BDEE" wp14:editId="2B83BDEF">
                  <wp:extent cx="933450" cy="10795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933450" cy="10795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3"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4" w14:textId="77777777" w:rsidR="00D475B6" w:rsidRDefault="00F34475">
            <w:pPr>
              <w:spacing w:before="240" w:after="0" w:line="256" w:lineRule="auto"/>
              <w:rPr>
                <w:sz w:val="24"/>
                <w:szCs w:val="24"/>
              </w:rPr>
            </w:pPr>
            <w:r>
              <w:rPr>
                <w:sz w:val="24"/>
                <w:szCs w:val="24"/>
              </w:rPr>
              <w:t>5.38</w:t>
            </w:r>
          </w:p>
        </w:tc>
      </w:tr>
      <w:tr w:rsidR="00D475B6" w14:paraId="2B83BD7A" w14:textId="77777777" w:rsidTr="519F8C63">
        <w:trPr>
          <w:trHeight w:val="114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76" w14:textId="77777777" w:rsidR="00D475B6" w:rsidRDefault="00F34475">
            <w:pPr>
              <w:spacing w:before="240" w:after="0" w:line="256" w:lineRule="auto"/>
              <w:rPr>
                <w:sz w:val="24"/>
                <w:szCs w:val="24"/>
              </w:rPr>
            </w:pPr>
            <w:r>
              <w:rPr>
                <w:sz w:val="24"/>
                <w:szCs w:val="24"/>
              </w:rPr>
              <w:t>Sun</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7" w14:textId="77777777" w:rsidR="00D475B6" w:rsidRDefault="00F34475">
            <w:pPr>
              <w:rPr>
                <w:sz w:val="24"/>
                <w:szCs w:val="24"/>
              </w:rPr>
            </w:pPr>
            <w:r>
              <w:rPr>
                <w:noProof/>
                <w:sz w:val="24"/>
                <w:szCs w:val="24"/>
              </w:rPr>
              <w:drawing>
                <wp:inline distT="114300" distB="114300" distL="114300" distR="114300" wp14:anchorId="2B83BDF0" wp14:editId="2B83BDF1">
                  <wp:extent cx="933450" cy="914400"/>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933450" cy="9144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8"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9" w14:textId="77777777" w:rsidR="00D475B6" w:rsidRDefault="00F34475">
            <w:pPr>
              <w:spacing w:before="240" w:after="0" w:line="256" w:lineRule="auto"/>
              <w:rPr>
                <w:sz w:val="24"/>
                <w:szCs w:val="24"/>
              </w:rPr>
            </w:pPr>
            <w:r>
              <w:rPr>
                <w:sz w:val="24"/>
                <w:szCs w:val="24"/>
              </w:rPr>
              <w:t>5.25</w:t>
            </w:r>
          </w:p>
        </w:tc>
      </w:tr>
      <w:tr w:rsidR="00D475B6" w14:paraId="2B83BD7F" w14:textId="77777777" w:rsidTr="519F8C63">
        <w:trPr>
          <w:trHeight w:val="1335"/>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7B" w14:textId="77777777" w:rsidR="00D475B6" w:rsidRDefault="00F34475">
            <w:pPr>
              <w:spacing w:before="240" w:after="0" w:line="256" w:lineRule="auto"/>
              <w:rPr>
                <w:sz w:val="24"/>
                <w:szCs w:val="24"/>
              </w:rPr>
            </w:pPr>
            <w:r>
              <w:rPr>
                <w:sz w:val="24"/>
                <w:szCs w:val="24"/>
              </w:rPr>
              <w:lastRenderedPageBreak/>
              <w:t>Low</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C" w14:textId="77777777" w:rsidR="00D475B6" w:rsidRDefault="00F34475">
            <w:pPr>
              <w:rPr>
                <w:sz w:val="24"/>
                <w:szCs w:val="24"/>
              </w:rPr>
            </w:pPr>
            <w:r>
              <w:rPr>
                <w:noProof/>
                <w:sz w:val="24"/>
                <w:szCs w:val="24"/>
              </w:rPr>
              <w:drawing>
                <wp:inline distT="114300" distB="114300" distL="114300" distR="114300" wp14:anchorId="2B83BDF2" wp14:editId="2B83BDF3">
                  <wp:extent cx="933450" cy="1066800"/>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933450" cy="10668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D"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7E" w14:textId="77777777" w:rsidR="00D475B6" w:rsidRDefault="00F34475">
            <w:pPr>
              <w:spacing w:before="240" w:after="0" w:line="256" w:lineRule="auto"/>
              <w:rPr>
                <w:sz w:val="24"/>
                <w:szCs w:val="24"/>
              </w:rPr>
            </w:pPr>
            <w:r>
              <w:rPr>
                <w:sz w:val="24"/>
                <w:szCs w:val="24"/>
              </w:rPr>
              <w:t>5.04</w:t>
            </w:r>
          </w:p>
        </w:tc>
      </w:tr>
      <w:tr w:rsidR="00D475B6" w14:paraId="2B83BD84" w14:textId="77777777" w:rsidTr="519F8C63">
        <w:trPr>
          <w:trHeight w:val="126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80" w14:textId="77777777" w:rsidR="00D475B6" w:rsidRDefault="00F34475">
            <w:pPr>
              <w:spacing w:before="240" w:after="0" w:line="256" w:lineRule="auto"/>
              <w:rPr>
                <w:sz w:val="24"/>
                <w:szCs w:val="24"/>
              </w:rPr>
            </w:pPr>
            <w:r>
              <w:rPr>
                <w:sz w:val="24"/>
                <w:szCs w:val="24"/>
              </w:rPr>
              <w:t>Wind</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1" w14:textId="77777777" w:rsidR="00D475B6" w:rsidRDefault="00F34475">
            <w:pPr>
              <w:rPr>
                <w:sz w:val="24"/>
                <w:szCs w:val="24"/>
              </w:rPr>
            </w:pPr>
            <w:r>
              <w:rPr>
                <w:noProof/>
                <w:sz w:val="24"/>
                <w:szCs w:val="24"/>
              </w:rPr>
              <w:drawing>
                <wp:inline distT="114300" distB="114300" distL="114300" distR="114300" wp14:anchorId="2B83BDF4" wp14:editId="2B83BDF5">
                  <wp:extent cx="933450" cy="1016000"/>
                  <wp:effectExtent l="0" t="0" r="0" b="0"/>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933450" cy="10160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2"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3" w14:textId="77777777" w:rsidR="00D475B6" w:rsidRDefault="00F34475">
            <w:pPr>
              <w:spacing w:before="240" w:after="0" w:line="256" w:lineRule="auto"/>
              <w:rPr>
                <w:sz w:val="24"/>
                <w:szCs w:val="24"/>
              </w:rPr>
            </w:pPr>
            <w:r>
              <w:rPr>
                <w:sz w:val="24"/>
                <w:szCs w:val="24"/>
              </w:rPr>
              <w:t>5</w:t>
            </w:r>
          </w:p>
        </w:tc>
      </w:tr>
      <w:tr w:rsidR="00D475B6" w14:paraId="2B83BD89" w14:textId="77777777" w:rsidTr="519F8C63">
        <w:trPr>
          <w:trHeight w:val="120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85" w14:textId="77777777" w:rsidR="00D475B6" w:rsidRDefault="00F34475">
            <w:pPr>
              <w:spacing w:before="240" w:after="0" w:line="256" w:lineRule="auto"/>
              <w:rPr>
                <w:sz w:val="24"/>
                <w:szCs w:val="24"/>
              </w:rPr>
            </w:pPr>
            <w:r>
              <w:rPr>
                <w:sz w:val="24"/>
                <w:szCs w:val="24"/>
              </w:rPr>
              <w:t>South</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6" w14:textId="77777777" w:rsidR="00D475B6" w:rsidRDefault="00F34475">
            <w:pPr>
              <w:rPr>
                <w:sz w:val="24"/>
                <w:szCs w:val="24"/>
              </w:rPr>
            </w:pPr>
            <w:r>
              <w:rPr>
                <w:noProof/>
                <w:sz w:val="24"/>
                <w:szCs w:val="24"/>
              </w:rPr>
              <w:drawing>
                <wp:inline distT="114300" distB="114300" distL="114300" distR="114300" wp14:anchorId="2B83BDF6" wp14:editId="2B83BDF7">
                  <wp:extent cx="933450" cy="96520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933450" cy="9652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7"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8" w14:textId="77777777" w:rsidR="00D475B6" w:rsidRDefault="00F34475">
            <w:pPr>
              <w:spacing w:before="240" w:after="0" w:line="256" w:lineRule="auto"/>
              <w:rPr>
                <w:sz w:val="24"/>
                <w:szCs w:val="24"/>
              </w:rPr>
            </w:pPr>
            <w:r>
              <w:rPr>
                <w:sz w:val="24"/>
                <w:szCs w:val="24"/>
              </w:rPr>
              <w:t>4.88</w:t>
            </w:r>
          </w:p>
        </w:tc>
      </w:tr>
      <w:tr w:rsidR="00D475B6" w14:paraId="2B83BD8E" w14:textId="77777777" w:rsidTr="519F8C63">
        <w:trPr>
          <w:trHeight w:val="114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8A" w14:textId="77777777" w:rsidR="00D475B6" w:rsidRDefault="00F34475">
            <w:pPr>
              <w:spacing w:before="240" w:after="0" w:line="256" w:lineRule="auto"/>
              <w:rPr>
                <w:sz w:val="24"/>
                <w:szCs w:val="24"/>
              </w:rPr>
            </w:pPr>
            <w:r>
              <w:rPr>
                <w:sz w:val="24"/>
                <w:szCs w:val="24"/>
              </w:rPr>
              <w:t>Cloud</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B" w14:textId="77777777" w:rsidR="00D475B6" w:rsidRDefault="00F34475">
            <w:pPr>
              <w:rPr>
                <w:sz w:val="24"/>
                <w:szCs w:val="24"/>
              </w:rPr>
            </w:pPr>
            <w:r>
              <w:rPr>
                <w:noProof/>
                <w:sz w:val="24"/>
                <w:szCs w:val="24"/>
              </w:rPr>
              <w:drawing>
                <wp:inline distT="114300" distB="114300" distL="114300" distR="114300" wp14:anchorId="2B83BDF8" wp14:editId="2B83BDF9">
                  <wp:extent cx="933450" cy="914400"/>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9"/>
                          <a:srcRect/>
                          <a:stretch>
                            <a:fillRect/>
                          </a:stretch>
                        </pic:blipFill>
                        <pic:spPr>
                          <a:xfrm>
                            <a:off x="0" y="0"/>
                            <a:ext cx="933450" cy="9144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C"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8D" w14:textId="77777777" w:rsidR="00D475B6" w:rsidRDefault="00F34475">
            <w:pPr>
              <w:spacing w:before="240" w:after="0" w:line="256" w:lineRule="auto"/>
              <w:rPr>
                <w:sz w:val="24"/>
                <w:szCs w:val="24"/>
              </w:rPr>
            </w:pPr>
            <w:r>
              <w:rPr>
                <w:sz w:val="24"/>
                <w:szCs w:val="24"/>
              </w:rPr>
              <w:t>4</w:t>
            </w:r>
          </w:p>
        </w:tc>
      </w:tr>
      <w:tr w:rsidR="00D475B6" w14:paraId="2B83BD93" w14:textId="77777777" w:rsidTr="519F8C63">
        <w:trPr>
          <w:trHeight w:val="105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8F" w14:textId="77777777" w:rsidR="00D475B6" w:rsidRDefault="00F34475">
            <w:pPr>
              <w:spacing w:before="240" w:after="0" w:line="256" w:lineRule="auto"/>
              <w:rPr>
                <w:sz w:val="24"/>
                <w:szCs w:val="24"/>
              </w:rPr>
            </w:pPr>
            <w:r>
              <w:rPr>
                <w:sz w:val="24"/>
                <w:szCs w:val="24"/>
              </w:rPr>
              <w:t>Rain</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0" w14:textId="77777777" w:rsidR="00D475B6" w:rsidRDefault="00F34475">
            <w:pPr>
              <w:rPr>
                <w:sz w:val="24"/>
                <w:szCs w:val="24"/>
              </w:rPr>
            </w:pPr>
            <w:r>
              <w:rPr>
                <w:noProof/>
                <w:sz w:val="24"/>
                <w:szCs w:val="24"/>
              </w:rPr>
              <w:drawing>
                <wp:inline distT="114300" distB="114300" distL="114300" distR="114300" wp14:anchorId="2B83BDFA" wp14:editId="2B83BDFB">
                  <wp:extent cx="933450" cy="838200"/>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933450" cy="8382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1"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2" w14:textId="77777777" w:rsidR="00D475B6" w:rsidRDefault="00F34475">
            <w:pPr>
              <w:spacing w:before="240" w:after="0" w:line="256" w:lineRule="auto"/>
              <w:rPr>
                <w:sz w:val="24"/>
                <w:szCs w:val="24"/>
              </w:rPr>
            </w:pPr>
            <w:r>
              <w:rPr>
                <w:sz w:val="24"/>
                <w:szCs w:val="24"/>
              </w:rPr>
              <w:t>3.79</w:t>
            </w:r>
          </w:p>
        </w:tc>
      </w:tr>
      <w:tr w:rsidR="00D475B6" w14:paraId="2B83BD98" w14:textId="77777777" w:rsidTr="519F8C63">
        <w:trPr>
          <w:trHeight w:val="123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94" w14:textId="77777777" w:rsidR="00D475B6" w:rsidRDefault="00F34475">
            <w:pPr>
              <w:spacing w:before="240" w:after="0" w:line="256" w:lineRule="auto"/>
              <w:rPr>
                <w:sz w:val="24"/>
                <w:szCs w:val="24"/>
              </w:rPr>
            </w:pPr>
            <w:r>
              <w:rPr>
                <w:sz w:val="24"/>
                <w:szCs w:val="24"/>
              </w:rPr>
              <w:t>Maximum</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5" w14:textId="77777777" w:rsidR="00D475B6" w:rsidRDefault="00F34475">
            <w:pPr>
              <w:rPr>
                <w:sz w:val="24"/>
                <w:szCs w:val="24"/>
              </w:rPr>
            </w:pPr>
            <w:r>
              <w:rPr>
                <w:noProof/>
                <w:sz w:val="24"/>
                <w:szCs w:val="24"/>
              </w:rPr>
              <w:drawing>
                <wp:inline distT="114300" distB="114300" distL="114300" distR="114300" wp14:anchorId="2B83BDFC" wp14:editId="2B83BDFD">
                  <wp:extent cx="933450" cy="9906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933450" cy="9906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6"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7" w14:textId="77777777" w:rsidR="00D475B6" w:rsidRDefault="00F34475">
            <w:pPr>
              <w:spacing w:before="240" w:after="0" w:line="256" w:lineRule="auto"/>
              <w:rPr>
                <w:sz w:val="24"/>
                <w:szCs w:val="24"/>
              </w:rPr>
            </w:pPr>
            <w:r>
              <w:rPr>
                <w:sz w:val="24"/>
                <w:szCs w:val="24"/>
              </w:rPr>
              <w:t>3.79</w:t>
            </w:r>
          </w:p>
        </w:tc>
      </w:tr>
      <w:tr w:rsidR="00D475B6" w14:paraId="2B83BD9D" w14:textId="77777777" w:rsidTr="519F8C63">
        <w:trPr>
          <w:trHeight w:val="1335"/>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99" w14:textId="77777777" w:rsidR="00D475B6" w:rsidRDefault="00F34475">
            <w:pPr>
              <w:spacing w:before="240" w:after="0" w:line="256" w:lineRule="auto"/>
              <w:rPr>
                <w:sz w:val="24"/>
                <w:szCs w:val="24"/>
              </w:rPr>
            </w:pPr>
            <w:r>
              <w:rPr>
                <w:sz w:val="24"/>
                <w:szCs w:val="24"/>
              </w:rPr>
              <w:t>Twenty</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A" w14:textId="77777777" w:rsidR="00D475B6" w:rsidRDefault="00F34475">
            <w:pPr>
              <w:rPr>
                <w:sz w:val="24"/>
                <w:szCs w:val="24"/>
              </w:rPr>
            </w:pPr>
            <w:r>
              <w:rPr>
                <w:noProof/>
                <w:sz w:val="24"/>
                <w:szCs w:val="24"/>
              </w:rPr>
              <w:drawing>
                <wp:inline distT="114300" distB="114300" distL="114300" distR="114300" wp14:anchorId="2B83BDFE" wp14:editId="2B83BDFF">
                  <wp:extent cx="933450" cy="10668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933450" cy="10668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B"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C" w14:textId="77777777" w:rsidR="00D475B6" w:rsidRDefault="00F34475">
            <w:pPr>
              <w:spacing w:before="240" w:after="0" w:line="256" w:lineRule="auto"/>
              <w:rPr>
                <w:sz w:val="24"/>
                <w:szCs w:val="24"/>
              </w:rPr>
            </w:pPr>
            <w:r>
              <w:rPr>
                <w:sz w:val="24"/>
                <w:szCs w:val="24"/>
              </w:rPr>
              <w:t>3</w:t>
            </w:r>
          </w:p>
        </w:tc>
      </w:tr>
      <w:tr w:rsidR="00D475B6" w14:paraId="2B83BDA2" w14:textId="77777777" w:rsidTr="519F8C63">
        <w:trPr>
          <w:trHeight w:val="129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9E" w14:textId="77777777" w:rsidR="00D475B6" w:rsidRDefault="00F34475">
            <w:pPr>
              <w:spacing w:before="240" w:after="0" w:line="256" w:lineRule="auto"/>
              <w:rPr>
                <w:sz w:val="24"/>
                <w:szCs w:val="24"/>
              </w:rPr>
            </w:pPr>
            <w:r>
              <w:rPr>
                <w:sz w:val="24"/>
                <w:szCs w:val="24"/>
              </w:rPr>
              <w:lastRenderedPageBreak/>
              <w:t>Temperature</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9F" w14:textId="77777777" w:rsidR="00D475B6" w:rsidRDefault="00F34475">
            <w:pPr>
              <w:rPr>
                <w:sz w:val="24"/>
                <w:szCs w:val="24"/>
              </w:rPr>
            </w:pPr>
            <w:r>
              <w:rPr>
                <w:noProof/>
                <w:sz w:val="24"/>
                <w:szCs w:val="24"/>
              </w:rPr>
              <w:drawing>
                <wp:inline distT="114300" distB="114300" distL="114300" distR="114300" wp14:anchorId="2B83BE00" wp14:editId="2B83BE01">
                  <wp:extent cx="933450" cy="10287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933450" cy="10287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0"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1" w14:textId="77777777" w:rsidR="00D475B6" w:rsidRDefault="00F34475">
            <w:pPr>
              <w:spacing w:before="240" w:after="0" w:line="256" w:lineRule="auto"/>
              <w:rPr>
                <w:sz w:val="24"/>
                <w:szCs w:val="24"/>
              </w:rPr>
            </w:pPr>
            <w:r>
              <w:rPr>
                <w:sz w:val="24"/>
                <w:szCs w:val="24"/>
              </w:rPr>
              <w:t>2.88</w:t>
            </w:r>
          </w:p>
        </w:tc>
      </w:tr>
      <w:tr w:rsidR="00D475B6" w14:paraId="2B83BDA7" w14:textId="77777777" w:rsidTr="519F8C63">
        <w:trPr>
          <w:trHeight w:val="138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A3" w14:textId="77777777" w:rsidR="00D475B6" w:rsidRDefault="00F34475">
            <w:pPr>
              <w:spacing w:before="240" w:after="0" w:line="256" w:lineRule="auto"/>
              <w:rPr>
                <w:sz w:val="24"/>
                <w:szCs w:val="24"/>
              </w:rPr>
            </w:pPr>
            <w:r>
              <w:rPr>
                <w:sz w:val="24"/>
                <w:szCs w:val="24"/>
              </w:rPr>
              <w:t>Today</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4" w14:textId="77777777" w:rsidR="00D475B6" w:rsidRDefault="00F34475">
            <w:pPr>
              <w:rPr>
                <w:sz w:val="24"/>
                <w:szCs w:val="24"/>
              </w:rPr>
            </w:pPr>
            <w:r>
              <w:rPr>
                <w:noProof/>
                <w:sz w:val="24"/>
                <w:szCs w:val="24"/>
              </w:rPr>
              <w:drawing>
                <wp:inline distT="114300" distB="114300" distL="114300" distR="114300" wp14:anchorId="2B83BE02" wp14:editId="2B83BE03">
                  <wp:extent cx="933450" cy="11049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933450" cy="11049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5"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6" w14:textId="77777777" w:rsidR="00D475B6" w:rsidRDefault="00F34475">
            <w:pPr>
              <w:spacing w:before="240" w:after="0" w:line="256" w:lineRule="auto"/>
              <w:rPr>
                <w:sz w:val="24"/>
                <w:szCs w:val="24"/>
              </w:rPr>
            </w:pPr>
            <w:r>
              <w:rPr>
                <w:sz w:val="24"/>
                <w:szCs w:val="24"/>
              </w:rPr>
              <w:t>2.88</w:t>
            </w:r>
          </w:p>
        </w:tc>
      </w:tr>
      <w:tr w:rsidR="00D475B6" w14:paraId="2B83BDAC" w14:textId="77777777" w:rsidTr="519F8C63">
        <w:trPr>
          <w:trHeight w:val="1305"/>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A8" w14:textId="77777777" w:rsidR="00D475B6" w:rsidRDefault="00F34475">
            <w:pPr>
              <w:spacing w:before="240" w:after="0" w:line="256" w:lineRule="auto"/>
              <w:rPr>
                <w:sz w:val="24"/>
                <w:szCs w:val="24"/>
              </w:rPr>
            </w:pPr>
            <w:r>
              <w:rPr>
                <w:sz w:val="24"/>
                <w:szCs w:val="24"/>
              </w:rPr>
              <w:t>Cold</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9" w14:textId="77777777" w:rsidR="00D475B6" w:rsidRDefault="00F34475">
            <w:pPr>
              <w:rPr>
                <w:sz w:val="24"/>
                <w:szCs w:val="24"/>
              </w:rPr>
            </w:pPr>
            <w:r>
              <w:rPr>
                <w:noProof/>
                <w:sz w:val="24"/>
                <w:szCs w:val="24"/>
              </w:rPr>
              <w:drawing>
                <wp:inline distT="114300" distB="114300" distL="114300" distR="114300" wp14:anchorId="2B83BE04" wp14:editId="2B83BE05">
                  <wp:extent cx="933450" cy="1054100"/>
                  <wp:effectExtent l="0" t="0" r="0" b="0"/>
                  <wp:docPr id="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933450" cy="10541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A"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B" w14:textId="77777777" w:rsidR="00D475B6" w:rsidRDefault="00F34475">
            <w:pPr>
              <w:spacing w:before="240" w:after="0" w:line="256" w:lineRule="auto"/>
              <w:rPr>
                <w:sz w:val="24"/>
                <w:szCs w:val="24"/>
              </w:rPr>
            </w:pPr>
            <w:r>
              <w:rPr>
                <w:sz w:val="24"/>
                <w:szCs w:val="24"/>
              </w:rPr>
              <w:t>2.71</w:t>
            </w:r>
          </w:p>
        </w:tc>
      </w:tr>
      <w:tr w:rsidR="00D475B6" w14:paraId="2B83BDB1" w14:textId="77777777" w:rsidTr="519F8C63">
        <w:trPr>
          <w:trHeight w:val="108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AD" w14:textId="77777777" w:rsidR="00D475B6" w:rsidRDefault="00F34475">
            <w:pPr>
              <w:spacing w:before="240" w:after="0" w:line="256" w:lineRule="auto"/>
              <w:rPr>
                <w:sz w:val="24"/>
                <w:szCs w:val="24"/>
              </w:rPr>
            </w:pPr>
            <w:r>
              <w:rPr>
                <w:sz w:val="24"/>
                <w:szCs w:val="24"/>
              </w:rPr>
              <w:t>Night</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E" w14:textId="77777777" w:rsidR="00D475B6" w:rsidRDefault="00F34475">
            <w:pPr>
              <w:rPr>
                <w:sz w:val="24"/>
                <w:szCs w:val="24"/>
              </w:rPr>
            </w:pPr>
            <w:r>
              <w:rPr>
                <w:noProof/>
                <w:sz w:val="24"/>
                <w:szCs w:val="24"/>
              </w:rPr>
              <w:drawing>
                <wp:inline distT="114300" distB="114300" distL="114300" distR="114300" wp14:anchorId="2B83BE06" wp14:editId="2B83BE07">
                  <wp:extent cx="933450" cy="863600"/>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933450" cy="8636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AF"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0" w14:textId="77777777" w:rsidR="00D475B6" w:rsidRDefault="00F34475">
            <w:pPr>
              <w:spacing w:before="240" w:after="0" w:line="256" w:lineRule="auto"/>
              <w:rPr>
                <w:sz w:val="24"/>
                <w:szCs w:val="24"/>
              </w:rPr>
            </w:pPr>
            <w:r>
              <w:rPr>
                <w:sz w:val="24"/>
                <w:szCs w:val="24"/>
              </w:rPr>
              <w:t>2.71</w:t>
            </w:r>
          </w:p>
        </w:tc>
      </w:tr>
      <w:tr w:rsidR="00D475B6" w14:paraId="2B83BDB6" w14:textId="77777777" w:rsidTr="519F8C63">
        <w:trPr>
          <w:trHeight w:val="117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B2" w14:textId="77777777" w:rsidR="00D475B6" w:rsidRDefault="00F34475">
            <w:pPr>
              <w:spacing w:before="240" w:after="0" w:line="256" w:lineRule="auto"/>
              <w:rPr>
                <w:sz w:val="24"/>
                <w:szCs w:val="24"/>
              </w:rPr>
            </w:pPr>
            <w:r>
              <w:rPr>
                <w:sz w:val="24"/>
                <w:szCs w:val="24"/>
              </w:rPr>
              <w:t>Weather</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3" w14:textId="77777777" w:rsidR="00D475B6" w:rsidRDefault="00F34475">
            <w:pPr>
              <w:rPr>
                <w:sz w:val="24"/>
                <w:szCs w:val="24"/>
              </w:rPr>
            </w:pPr>
            <w:r>
              <w:rPr>
                <w:noProof/>
                <w:sz w:val="24"/>
                <w:szCs w:val="24"/>
              </w:rPr>
              <w:drawing>
                <wp:inline distT="114300" distB="114300" distL="114300" distR="114300" wp14:anchorId="2B83BE08" wp14:editId="2B83BE09">
                  <wp:extent cx="933450" cy="9398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933450" cy="9398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4"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5" w14:textId="77777777" w:rsidR="00D475B6" w:rsidRDefault="00F34475">
            <w:pPr>
              <w:spacing w:before="240" w:after="0" w:line="256" w:lineRule="auto"/>
              <w:rPr>
                <w:sz w:val="24"/>
                <w:szCs w:val="24"/>
              </w:rPr>
            </w:pPr>
            <w:r>
              <w:rPr>
                <w:sz w:val="24"/>
                <w:szCs w:val="24"/>
              </w:rPr>
              <w:t>2.04</w:t>
            </w:r>
          </w:p>
        </w:tc>
      </w:tr>
      <w:tr w:rsidR="00D475B6" w14:paraId="2B83BDBB" w14:textId="77777777" w:rsidTr="519F8C63">
        <w:trPr>
          <w:trHeight w:val="1335"/>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B7" w14:textId="77777777" w:rsidR="00D475B6" w:rsidRDefault="00F34475">
            <w:pPr>
              <w:spacing w:before="240" w:after="0" w:line="256" w:lineRule="auto"/>
              <w:rPr>
                <w:sz w:val="24"/>
                <w:szCs w:val="24"/>
              </w:rPr>
            </w:pPr>
            <w:r>
              <w:rPr>
                <w:sz w:val="24"/>
                <w:szCs w:val="24"/>
              </w:rPr>
              <w:t>Tomorrow</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8" w14:textId="77777777" w:rsidR="00D475B6" w:rsidRDefault="00F34475">
            <w:pPr>
              <w:rPr>
                <w:sz w:val="24"/>
                <w:szCs w:val="24"/>
              </w:rPr>
            </w:pPr>
            <w:r>
              <w:rPr>
                <w:noProof/>
                <w:sz w:val="24"/>
                <w:szCs w:val="24"/>
              </w:rPr>
              <w:drawing>
                <wp:inline distT="114300" distB="114300" distL="114300" distR="114300" wp14:anchorId="2B83BE0A" wp14:editId="2B83BE0B">
                  <wp:extent cx="933450" cy="10668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933450" cy="10668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9"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A" w14:textId="77777777" w:rsidR="00D475B6" w:rsidRDefault="00F34475">
            <w:pPr>
              <w:spacing w:before="240" w:after="0" w:line="256" w:lineRule="auto"/>
              <w:rPr>
                <w:sz w:val="24"/>
                <w:szCs w:val="24"/>
              </w:rPr>
            </w:pPr>
            <w:r>
              <w:rPr>
                <w:sz w:val="24"/>
                <w:szCs w:val="24"/>
              </w:rPr>
              <w:t>2</w:t>
            </w:r>
          </w:p>
        </w:tc>
      </w:tr>
      <w:tr w:rsidR="00D475B6" w14:paraId="2B83BDC0" w14:textId="77777777" w:rsidTr="519F8C63">
        <w:trPr>
          <w:trHeight w:val="1275"/>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BC" w14:textId="77777777" w:rsidR="00D475B6" w:rsidRDefault="00F34475">
            <w:pPr>
              <w:spacing w:before="240" w:after="0" w:line="256" w:lineRule="auto"/>
              <w:rPr>
                <w:sz w:val="24"/>
                <w:szCs w:val="24"/>
              </w:rPr>
            </w:pPr>
            <w:r>
              <w:rPr>
                <w:sz w:val="24"/>
                <w:szCs w:val="24"/>
              </w:rPr>
              <w:t>Weekend</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D" w14:textId="77777777" w:rsidR="00D475B6" w:rsidRDefault="00F34475">
            <w:pPr>
              <w:rPr>
                <w:sz w:val="24"/>
                <w:szCs w:val="24"/>
              </w:rPr>
            </w:pPr>
            <w:r>
              <w:rPr>
                <w:noProof/>
                <w:sz w:val="24"/>
                <w:szCs w:val="24"/>
              </w:rPr>
              <w:drawing>
                <wp:inline distT="114300" distB="114300" distL="114300" distR="114300" wp14:anchorId="2B83BE0C" wp14:editId="2B83BE0D">
                  <wp:extent cx="933450" cy="1016000"/>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a:stretch>
                            <a:fillRect/>
                          </a:stretch>
                        </pic:blipFill>
                        <pic:spPr>
                          <a:xfrm>
                            <a:off x="0" y="0"/>
                            <a:ext cx="933450" cy="10160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E"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BF" w14:textId="77777777" w:rsidR="00D475B6" w:rsidRDefault="00F34475">
            <w:pPr>
              <w:spacing w:before="240" w:after="0" w:line="256" w:lineRule="auto"/>
              <w:rPr>
                <w:sz w:val="24"/>
                <w:szCs w:val="24"/>
              </w:rPr>
            </w:pPr>
            <w:r>
              <w:rPr>
                <w:sz w:val="24"/>
                <w:szCs w:val="24"/>
              </w:rPr>
              <w:t>1.75</w:t>
            </w:r>
          </w:p>
        </w:tc>
      </w:tr>
      <w:tr w:rsidR="00D475B6" w14:paraId="2B83BDC5" w14:textId="77777777" w:rsidTr="519F8C63">
        <w:trPr>
          <w:trHeight w:val="120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C1" w14:textId="77777777" w:rsidR="00D475B6" w:rsidRDefault="00F34475">
            <w:pPr>
              <w:spacing w:before="240" w:after="0" w:line="256" w:lineRule="auto"/>
              <w:rPr>
                <w:sz w:val="24"/>
                <w:szCs w:val="24"/>
              </w:rPr>
            </w:pPr>
            <w:r>
              <w:rPr>
                <w:sz w:val="24"/>
                <w:szCs w:val="24"/>
              </w:rPr>
              <w:lastRenderedPageBreak/>
              <w:t>Warm</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C2" w14:textId="77777777" w:rsidR="00D475B6" w:rsidRDefault="00F34475">
            <w:pPr>
              <w:rPr>
                <w:sz w:val="24"/>
                <w:szCs w:val="24"/>
              </w:rPr>
            </w:pPr>
            <w:r>
              <w:rPr>
                <w:noProof/>
                <w:sz w:val="24"/>
                <w:szCs w:val="24"/>
              </w:rPr>
              <w:drawing>
                <wp:inline distT="114300" distB="114300" distL="114300" distR="114300" wp14:anchorId="2B83BE0E" wp14:editId="2B83BE0F">
                  <wp:extent cx="933450" cy="95250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933450" cy="9525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C3"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C4" w14:textId="77777777" w:rsidR="00D475B6" w:rsidRDefault="00F34475">
            <w:pPr>
              <w:spacing w:before="240" w:after="0" w:line="256" w:lineRule="auto"/>
              <w:rPr>
                <w:sz w:val="24"/>
                <w:szCs w:val="24"/>
              </w:rPr>
            </w:pPr>
            <w:r>
              <w:rPr>
                <w:sz w:val="24"/>
                <w:szCs w:val="24"/>
              </w:rPr>
              <w:t>1.58</w:t>
            </w:r>
          </w:p>
        </w:tc>
      </w:tr>
      <w:tr w:rsidR="00D475B6" w14:paraId="2B83BDCA" w14:textId="77777777" w:rsidTr="519F8C63">
        <w:trPr>
          <w:trHeight w:val="120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vAlign w:val="bottom"/>
          </w:tcPr>
          <w:p w14:paraId="2B83BDC6" w14:textId="77777777" w:rsidR="00D475B6" w:rsidRDefault="00F34475">
            <w:pPr>
              <w:spacing w:before="240" w:after="0" w:line="256" w:lineRule="auto"/>
              <w:rPr>
                <w:sz w:val="24"/>
                <w:szCs w:val="24"/>
              </w:rPr>
            </w:pPr>
            <w:r>
              <w:rPr>
                <w:sz w:val="24"/>
                <w:szCs w:val="24"/>
              </w:rPr>
              <w:t>Afternoon</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C7" w14:textId="77777777" w:rsidR="00D475B6" w:rsidRDefault="00F34475">
            <w:pPr>
              <w:rPr>
                <w:sz w:val="24"/>
                <w:szCs w:val="24"/>
              </w:rPr>
            </w:pPr>
            <w:r>
              <w:rPr>
                <w:noProof/>
                <w:sz w:val="24"/>
                <w:szCs w:val="24"/>
              </w:rPr>
              <w:drawing>
                <wp:inline distT="114300" distB="114300" distL="114300" distR="114300" wp14:anchorId="2B83BE10" wp14:editId="2B83BE11">
                  <wp:extent cx="933450" cy="9652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933450" cy="9652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C8" w14:textId="77777777" w:rsidR="00D475B6" w:rsidRDefault="00F34475">
            <w:pPr>
              <w:spacing w:before="240" w:after="0" w:line="256" w:lineRule="auto"/>
              <w:rPr>
                <w:sz w:val="24"/>
                <w:szCs w:val="24"/>
              </w:rPr>
            </w:pPr>
            <w:r>
              <w:rPr>
                <w:sz w:val="24"/>
                <w:szCs w:val="24"/>
              </w:rPr>
              <w:t>H</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vAlign w:val="bottom"/>
          </w:tcPr>
          <w:p w14:paraId="2B83BDC9" w14:textId="77777777" w:rsidR="00D475B6" w:rsidRDefault="00F34475">
            <w:pPr>
              <w:spacing w:before="240" w:after="0" w:line="256" w:lineRule="auto"/>
              <w:rPr>
                <w:sz w:val="24"/>
                <w:szCs w:val="24"/>
              </w:rPr>
            </w:pPr>
            <w:r>
              <w:rPr>
                <w:sz w:val="24"/>
                <w:szCs w:val="24"/>
              </w:rPr>
              <w:t>1.58</w:t>
            </w:r>
          </w:p>
        </w:tc>
      </w:tr>
      <w:tr w:rsidR="00D475B6" w14:paraId="2B83BDCF" w14:textId="77777777" w:rsidTr="519F8C63">
        <w:trPr>
          <w:trHeight w:val="1320"/>
        </w:trPr>
        <w:tc>
          <w:tcPr>
            <w:tcW w:w="1830" w:type="dxa"/>
            <w:tcBorders>
              <w:top w:val="nil"/>
              <w:left w:val="single" w:sz="6" w:space="0" w:color="000000" w:themeColor="text1"/>
              <w:bottom w:val="single" w:sz="6" w:space="0" w:color="000000" w:themeColor="text1"/>
              <w:right w:val="single" w:sz="6" w:space="0" w:color="000000" w:themeColor="text1"/>
            </w:tcBorders>
            <w:tcMar>
              <w:top w:w="0" w:type="dxa"/>
              <w:left w:w="100" w:type="dxa"/>
              <w:bottom w:w="0" w:type="dxa"/>
              <w:right w:w="100" w:type="dxa"/>
            </w:tcMar>
          </w:tcPr>
          <w:p w14:paraId="2B83BDCB" w14:textId="77777777" w:rsidR="00D475B6" w:rsidRDefault="00F34475">
            <w:pPr>
              <w:spacing w:before="240" w:after="0" w:line="256" w:lineRule="auto"/>
              <w:rPr>
                <w:sz w:val="24"/>
                <w:szCs w:val="24"/>
              </w:rPr>
            </w:pPr>
            <w:r>
              <w:rPr>
                <w:sz w:val="24"/>
                <w:szCs w:val="24"/>
              </w:rPr>
              <w:t>Mountain</w:t>
            </w:r>
          </w:p>
        </w:tc>
        <w:tc>
          <w:tcPr>
            <w:tcW w:w="168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2B83BDCC" w14:textId="77777777" w:rsidR="00D475B6" w:rsidRDefault="00F34475">
            <w:pPr>
              <w:rPr>
                <w:sz w:val="24"/>
                <w:szCs w:val="24"/>
              </w:rPr>
            </w:pPr>
            <w:r>
              <w:rPr>
                <w:noProof/>
                <w:sz w:val="24"/>
                <w:szCs w:val="24"/>
              </w:rPr>
              <w:drawing>
                <wp:inline distT="114300" distB="114300" distL="114300" distR="114300" wp14:anchorId="2B83BE12" wp14:editId="2B83BE13">
                  <wp:extent cx="933450" cy="1054100"/>
                  <wp:effectExtent l="0" t="0" r="0" b="0"/>
                  <wp:docPr id="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a:srcRect/>
                          <a:stretch>
                            <a:fillRect/>
                          </a:stretch>
                        </pic:blipFill>
                        <pic:spPr>
                          <a:xfrm>
                            <a:off x="0" y="0"/>
                            <a:ext cx="933450" cy="1054100"/>
                          </a:xfrm>
                          <a:prstGeom prst="rect">
                            <a:avLst/>
                          </a:prstGeom>
                          <a:ln/>
                        </pic:spPr>
                      </pic:pic>
                    </a:graphicData>
                  </a:graphic>
                </wp:inline>
              </w:drawing>
            </w:r>
          </w:p>
        </w:tc>
        <w:tc>
          <w:tcPr>
            <w:tcW w:w="1590"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2B83BDCD" w14:textId="77777777" w:rsidR="00D475B6" w:rsidRDefault="00F34475">
            <w:pPr>
              <w:spacing w:before="240" w:after="0" w:line="256" w:lineRule="auto"/>
              <w:rPr>
                <w:sz w:val="24"/>
                <w:szCs w:val="24"/>
              </w:rPr>
            </w:pPr>
            <w:r>
              <w:rPr>
                <w:sz w:val="24"/>
                <w:szCs w:val="24"/>
              </w:rPr>
              <w:t>L</w:t>
            </w:r>
          </w:p>
        </w:tc>
        <w:tc>
          <w:tcPr>
            <w:tcW w:w="1995" w:type="dxa"/>
            <w:tcBorders>
              <w:top w:val="nil"/>
              <w:left w:val="nil"/>
              <w:bottom w:val="single" w:sz="6" w:space="0" w:color="000000" w:themeColor="text1"/>
              <w:right w:val="single" w:sz="6" w:space="0" w:color="000000" w:themeColor="text1"/>
            </w:tcBorders>
            <w:tcMar>
              <w:top w:w="0" w:type="dxa"/>
              <w:left w:w="100" w:type="dxa"/>
              <w:bottom w:w="0" w:type="dxa"/>
              <w:right w:w="100" w:type="dxa"/>
            </w:tcMar>
          </w:tcPr>
          <w:p w14:paraId="2B83BDCE" w14:textId="77777777" w:rsidR="00D475B6" w:rsidRDefault="00F34475">
            <w:pPr>
              <w:spacing w:before="240" w:after="0" w:line="256" w:lineRule="auto"/>
              <w:rPr>
                <w:sz w:val="24"/>
                <w:szCs w:val="24"/>
              </w:rPr>
            </w:pPr>
            <w:r>
              <w:rPr>
                <w:sz w:val="24"/>
                <w:szCs w:val="24"/>
              </w:rPr>
              <w:t>1.54</w:t>
            </w:r>
          </w:p>
        </w:tc>
      </w:tr>
    </w:tbl>
    <w:p w14:paraId="2B83BDD0" w14:textId="77777777" w:rsidR="00D475B6" w:rsidRDefault="00F34475">
      <w:pPr>
        <w:spacing w:before="240" w:after="240"/>
        <w:rPr>
          <w:sz w:val="24"/>
          <w:szCs w:val="24"/>
        </w:rPr>
      </w:pPr>
      <w:r>
        <w:rPr>
          <w:sz w:val="24"/>
          <w:szCs w:val="24"/>
        </w:rPr>
        <w:t xml:space="preserve"> </w:t>
      </w:r>
    </w:p>
    <w:p w14:paraId="2B83BDD1" w14:textId="77777777" w:rsidR="00D475B6" w:rsidRDefault="00F34475">
      <w:pPr>
        <w:spacing w:before="240" w:after="240" w:line="276" w:lineRule="auto"/>
        <w:rPr>
          <w:color w:val="FF0000"/>
          <w:sz w:val="24"/>
          <w:szCs w:val="24"/>
        </w:rPr>
      </w:pPr>
      <w:r>
        <w:rPr>
          <w:color w:val="FF0000"/>
          <w:sz w:val="24"/>
          <w:szCs w:val="24"/>
        </w:rPr>
        <w:t xml:space="preserve"> </w:t>
      </w:r>
    </w:p>
    <w:p w14:paraId="2B83BDD2" w14:textId="77777777" w:rsidR="00D475B6" w:rsidRDefault="00D475B6">
      <w:pPr>
        <w:spacing w:line="256" w:lineRule="auto"/>
      </w:pPr>
    </w:p>
    <w:p w14:paraId="2B83BDD3" w14:textId="77777777" w:rsidR="00D475B6" w:rsidRDefault="00F34475">
      <w:pPr>
        <w:spacing w:before="240" w:after="240"/>
        <w:rPr>
          <w:color w:val="FF0000"/>
          <w:sz w:val="24"/>
          <w:szCs w:val="24"/>
        </w:rPr>
      </w:pPr>
      <w:r>
        <w:rPr>
          <w:color w:val="FF0000"/>
          <w:sz w:val="24"/>
          <w:szCs w:val="24"/>
        </w:rPr>
        <w:t xml:space="preserve"> </w:t>
      </w:r>
    </w:p>
    <w:p w14:paraId="2B83BDD4" w14:textId="77777777" w:rsidR="00D475B6" w:rsidRDefault="00D475B6">
      <w:pPr>
        <w:rPr>
          <w:sz w:val="24"/>
          <w:szCs w:val="24"/>
        </w:rPr>
      </w:pPr>
    </w:p>
    <w:p w14:paraId="2B83BDD5" w14:textId="77777777" w:rsidR="00D475B6" w:rsidRDefault="00D475B6">
      <w:pPr>
        <w:rPr>
          <w:sz w:val="24"/>
          <w:szCs w:val="24"/>
        </w:rPr>
      </w:pPr>
    </w:p>
    <w:p w14:paraId="2B83BDD6" w14:textId="77777777" w:rsidR="00D475B6" w:rsidRDefault="00D475B6">
      <w:pPr>
        <w:rPr>
          <w:sz w:val="24"/>
          <w:szCs w:val="24"/>
        </w:rPr>
      </w:pPr>
    </w:p>
    <w:p w14:paraId="2B83BDD7" w14:textId="77777777" w:rsidR="00D475B6" w:rsidRDefault="00D475B6">
      <w:pPr>
        <w:rPr>
          <w:sz w:val="24"/>
          <w:szCs w:val="24"/>
        </w:rPr>
      </w:pPr>
    </w:p>
    <w:sectPr w:rsidR="00D475B6">
      <w:footerReference w:type="default" r:id="rId4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F95A79" w14:textId="77777777" w:rsidR="00BB5962" w:rsidRDefault="00BB5962">
      <w:pPr>
        <w:spacing w:after="0" w:line="240" w:lineRule="auto"/>
      </w:pPr>
      <w:r>
        <w:separator/>
      </w:r>
    </w:p>
  </w:endnote>
  <w:endnote w:type="continuationSeparator" w:id="0">
    <w:p w14:paraId="1B3C7295" w14:textId="77777777" w:rsidR="00BB5962" w:rsidRDefault="00BB5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562D324-F356-4E84-A3F2-533EDA587009}"/>
  </w:font>
  <w:font w:name="Calibri">
    <w:panose1 w:val="020F0502020204030204"/>
    <w:charset w:val="00"/>
    <w:family w:val="swiss"/>
    <w:pitch w:val="variable"/>
    <w:sig w:usb0="E4002EFF" w:usb1="C200247B" w:usb2="00000009" w:usb3="00000000" w:csb0="000001FF" w:csb1="00000000"/>
    <w:embedRegular r:id="rId2" w:fontKey="{05BFF9CD-F4C8-4D0D-A12B-AA9CF5FBD2AD}"/>
    <w:embedBold r:id="rId3" w:fontKey="{416B7899-8A50-4C37-8BBD-897A3D70EEF6}"/>
    <w:embedItalic r:id="rId4" w:fontKey="{B955CD3E-3D2D-43CE-99A0-17D1E8FA6536}"/>
  </w:font>
  <w:font w:name="Calibri Light">
    <w:panose1 w:val="020F0302020204030204"/>
    <w:charset w:val="00"/>
    <w:family w:val="swiss"/>
    <w:pitch w:val="variable"/>
    <w:sig w:usb0="E4002EFF" w:usb1="C200247B" w:usb2="00000009" w:usb3="00000000" w:csb0="000001FF" w:csb1="00000000"/>
    <w:embedRegular r:id="rId5" w:fontKey="{5E73855B-501C-4116-A623-296A25083F84}"/>
    <w:embedBold r:id="rId6" w:fontKey="{25262175-DDB1-49C4-80F2-7F473D1D9042}"/>
    <w:embedItalic r:id="rId7" w:fontKey="{06B53EB7-C103-4BD1-A570-C13CD3184B95}"/>
    <w:embedBoldItalic r:id="rId8" w:fontKey="{996EFE57-E9E5-4755-BB17-3EA8534FEB1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5DFCCF09-9AB0-4118-9DF1-570FB9936DA6}"/>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3BE14" w14:textId="168637FF" w:rsidR="00D475B6" w:rsidRDefault="00F34475">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05F05">
      <w:rPr>
        <w:noProof/>
        <w:color w:val="000000"/>
      </w:rPr>
      <w:t>1</w:t>
    </w:r>
    <w:r>
      <w:rPr>
        <w:color w:val="000000"/>
      </w:rPr>
      <w:fldChar w:fldCharType="end"/>
    </w:r>
  </w:p>
  <w:p w14:paraId="2B83BE15" w14:textId="77777777" w:rsidR="00D475B6" w:rsidRDefault="00D475B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ADE7C4" w14:textId="77777777" w:rsidR="00BB5962" w:rsidRDefault="00BB5962">
      <w:pPr>
        <w:spacing w:after="0" w:line="240" w:lineRule="auto"/>
      </w:pPr>
      <w:r>
        <w:separator/>
      </w:r>
    </w:p>
  </w:footnote>
  <w:footnote w:type="continuationSeparator" w:id="0">
    <w:p w14:paraId="54F8FFC5" w14:textId="77777777" w:rsidR="00BB5962" w:rsidRDefault="00BB5962">
      <w:pPr>
        <w:spacing w:after="0" w:line="240" w:lineRule="auto"/>
      </w:pPr>
      <w:r>
        <w:continuationSeparator/>
      </w:r>
    </w:p>
  </w:footnote>
  <w:footnote w:id="1">
    <w:p w14:paraId="2B83BE16" w14:textId="77777777" w:rsidR="00D475B6" w:rsidRDefault="00F34475">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We use ‘second language learning’ to cover both second and foreign language learning, because the distinction between them does not matter for our purposes. Nor do we make a distinction in this article between ‘acquisition’ and ‘learning’.</w:t>
      </w:r>
    </w:p>
  </w:footnote>
  <w:footnote w:id="2">
    <w:p w14:paraId="5B840ECB" w14:textId="07345C4B" w:rsidR="38A5A85B" w:rsidRDefault="38A5A85B" w:rsidP="38A5A85B">
      <w:pPr>
        <w:pStyle w:val="FootnoteText"/>
        <w:rPr>
          <w:highlight w:val="yellow"/>
        </w:rPr>
      </w:pPr>
      <w:r w:rsidRPr="38A5A85B">
        <w:rPr>
          <w:rStyle w:val="FootnoteReference"/>
          <w:highlight w:val="yellow"/>
        </w:rPr>
        <w:footnoteRef/>
      </w:r>
      <w:r w:rsidRPr="38A5A85B">
        <w:rPr>
          <w:highlight w:val="yellow"/>
        </w:rPr>
        <w:t xml:space="preserve"> In Study (1), accuracy rates ranged from 53% to 64% across conditions, with 50% representing chance performance, while in Study (2) participants were only able to generate the correct meaning for 14% of signs.</w:t>
      </w:r>
      <w:r>
        <w:t xml:space="preserve"> </w:t>
      </w:r>
    </w:p>
  </w:footnote>
  <w:footnote w:id="3">
    <w:p w14:paraId="2B83BE17" w14:textId="279B9EDC" w:rsidR="00D475B6" w:rsidRDefault="00F34475">
      <w:pPr>
        <w:rPr>
          <w:shd w:val="clear" w:color="auto" w:fill="9FC5E8"/>
        </w:rPr>
      </w:pPr>
      <w:r>
        <w:rPr>
          <w:rStyle w:val="FootnoteReference"/>
        </w:rPr>
        <w:footnoteRef/>
      </w:r>
      <w:r w:rsidR="38A5A85B">
        <w:t xml:space="preserve"> </w:t>
      </w:r>
      <w:r w:rsidR="38A5A85B">
        <w:rPr>
          <w:sz w:val="20"/>
          <w:szCs w:val="20"/>
        </w:rPr>
        <w:t xml:space="preserve">The lexicon of many sign languages, including STS, has a tripartite lexicon, comprising core signs, non-core (depicting and pointing) signs and </w:t>
      </w:r>
      <w:r w:rsidR="38A5A85B" w:rsidRPr="38A5A85B">
        <w:rPr>
          <w:sz w:val="20"/>
          <w:szCs w:val="20"/>
          <w:highlight w:val="yellow"/>
        </w:rPr>
        <w:t>borrowed</w:t>
      </w:r>
      <w:r w:rsidR="38A5A85B">
        <w:rPr>
          <w:sz w:val="20"/>
          <w:szCs w:val="20"/>
        </w:rPr>
        <w:t xml:space="preserve"> (fingerspelt) signs (Johnston &amp; Schembri, 2009). Phonological constraints are most strongly attested in the core lexicon (Brentari &amp; Eccarius, 2010).</w:t>
      </w:r>
      <w:r w:rsidR="00DC0460">
        <w:rPr>
          <w:sz w:val="20"/>
          <w:szCs w:val="20"/>
        </w:rPr>
        <w:t xml:space="preserve"> Apart from the </w:t>
      </w:r>
      <w:r w:rsidR="00A40296">
        <w:rPr>
          <w:sz w:val="20"/>
          <w:szCs w:val="20"/>
        </w:rPr>
        <w:t>o</w:t>
      </w:r>
      <w:r w:rsidR="00DC0460">
        <w:rPr>
          <w:sz w:val="20"/>
          <w:szCs w:val="20"/>
        </w:rPr>
        <w:t>ccasional pointing sign (pronouns signed with the index finger, and flat-handed points to the weather map)</w:t>
      </w:r>
      <w:r w:rsidR="00A40296">
        <w:rPr>
          <w:sz w:val="20"/>
          <w:szCs w:val="20"/>
        </w:rPr>
        <w:t xml:space="preserve">, our weather forecast contains just core lexical signs. </w:t>
      </w:r>
      <w:r w:rsidR="38A5A85B">
        <w:rPr>
          <w:sz w:val="20"/>
          <w:szCs w:val="20"/>
        </w:rPr>
        <w:t xml:space="preserve"> </w:t>
      </w:r>
    </w:p>
    <w:p w14:paraId="2B83BE18" w14:textId="77777777" w:rsidR="00D475B6" w:rsidRDefault="00D475B6">
      <w:pPr>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CCD35"/>
    <w:multiLevelType w:val="multilevel"/>
    <w:tmpl w:val="E40646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47DE0216"/>
    <w:multiLevelType w:val="multilevel"/>
    <w:tmpl w:val="508EA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CBA0D7D"/>
    <w:multiLevelType w:val="multilevel"/>
    <w:tmpl w:val="D2C0CD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F0D54BB"/>
    <w:multiLevelType w:val="multilevel"/>
    <w:tmpl w:val="E1D654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79E3E6E"/>
    <w:multiLevelType w:val="multilevel"/>
    <w:tmpl w:val="6A6AC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C26E86"/>
    <w:multiLevelType w:val="multilevel"/>
    <w:tmpl w:val="58C2A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6746087">
    <w:abstractNumId w:val="5"/>
  </w:num>
  <w:num w:numId="2" w16cid:durableId="1631209230">
    <w:abstractNumId w:val="3"/>
  </w:num>
  <w:num w:numId="3" w16cid:durableId="685903877">
    <w:abstractNumId w:val="1"/>
  </w:num>
  <w:num w:numId="4" w16cid:durableId="1589774321">
    <w:abstractNumId w:val="2"/>
  </w:num>
  <w:num w:numId="5" w16cid:durableId="810290134">
    <w:abstractNumId w:val="0"/>
  </w:num>
  <w:num w:numId="6" w16cid:durableId="7797607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5B6"/>
    <w:rsid w:val="00005AEE"/>
    <w:rsid w:val="0008518B"/>
    <w:rsid w:val="0013513D"/>
    <w:rsid w:val="0015383B"/>
    <w:rsid w:val="0017480A"/>
    <w:rsid w:val="0019382E"/>
    <w:rsid w:val="002364BB"/>
    <w:rsid w:val="00240F12"/>
    <w:rsid w:val="002934E3"/>
    <w:rsid w:val="002B0440"/>
    <w:rsid w:val="002B2348"/>
    <w:rsid w:val="003019EC"/>
    <w:rsid w:val="003058E1"/>
    <w:rsid w:val="0033692E"/>
    <w:rsid w:val="00362CDF"/>
    <w:rsid w:val="00365D27"/>
    <w:rsid w:val="003808A9"/>
    <w:rsid w:val="003853E4"/>
    <w:rsid w:val="00390993"/>
    <w:rsid w:val="003F2063"/>
    <w:rsid w:val="004108A8"/>
    <w:rsid w:val="0045518C"/>
    <w:rsid w:val="005115D9"/>
    <w:rsid w:val="00556012"/>
    <w:rsid w:val="00700D7F"/>
    <w:rsid w:val="0071044F"/>
    <w:rsid w:val="00737ABB"/>
    <w:rsid w:val="00780DA2"/>
    <w:rsid w:val="00787346"/>
    <w:rsid w:val="007A4B5E"/>
    <w:rsid w:val="007B2A3A"/>
    <w:rsid w:val="00807E6E"/>
    <w:rsid w:val="00825D61"/>
    <w:rsid w:val="00900106"/>
    <w:rsid w:val="009F41E7"/>
    <w:rsid w:val="00A105DE"/>
    <w:rsid w:val="00A2495C"/>
    <w:rsid w:val="00A40296"/>
    <w:rsid w:val="00A753A0"/>
    <w:rsid w:val="00A97AAE"/>
    <w:rsid w:val="00AC7DFF"/>
    <w:rsid w:val="00AD2222"/>
    <w:rsid w:val="00B70472"/>
    <w:rsid w:val="00BB5962"/>
    <w:rsid w:val="00C36264"/>
    <w:rsid w:val="00C82CE4"/>
    <w:rsid w:val="00C9757E"/>
    <w:rsid w:val="00CD0130"/>
    <w:rsid w:val="00D475B6"/>
    <w:rsid w:val="00D51EBD"/>
    <w:rsid w:val="00D91A2B"/>
    <w:rsid w:val="00DC0460"/>
    <w:rsid w:val="00DF3C35"/>
    <w:rsid w:val="00E05F05"/>
    <w:rsid w:val="00E4A2E8"/>
    <w:rsid w:val="00EE0541"/>
    <w:rsid w:val="00EE7378"/>
    <w:rsid w:val="00F12FD4"/>
    <w:rsid w:val="00F34475"/>
    <w:rsid w:val="00FB6F63"/>
    <w:rsid w:val="04CB7DE3"/>
    <w:rsid w:val="04F315BF"/>
    <w:rsid w:val="0829EB2F"/>
    <w:rsid w:val="0D0F93FC"/>
    <w:rsid w:val="0E7A13CF"/>
    <w:rsid w:val="0EB5D3A0"/>
    <w:rsid w:val="0F7C3083"/>
    <w:rsid w:val="0FB4110F"/>
    <w:rsid w:val="115C1861"/>
    <w:rsid w:val="13235822"/>
    <w:rsid w:val="1568540C"/>
    <w:rsid w:val="15FC69CD"/>
    <w:rsid w:val="16C6F146"/>
    <w:rsid w:val="18A6796D"/>
    <w:rsid w:val="18FDA1CF"/>
    <w:rsid w:val="1B7D124A"/>
    <w:rsid w:val="1CA75235"/>
    <w:rsid w:val="210241D4"/>
    <w:rsid w:val="22B6642F"/>
    <w:rsid w:val="24F4DDE5"/>
    <w:rsid w:val="25C3972C"/>
    <w:rsid w:val="25FCAB28"/>
    <w:rsid w:val="26A041E4"/>
    <w:rsid w:val="2821D5D5"/>
    <w:rsid w:val="286C9406"/>
    <w:rsid w:val="28D9861A"/>
    <w:rsid w:val="2910830F"/>
    <w:rsid w:val="2AD8989B"/>
    <w:rsid w:val="2BB88FBD"/>
    <w:rsid w:val="2DBBE6A8"/>
    <w:rsid w:val="2F0DCE1C"/>
    <w:rsid w:val="31FE5412"/>
    <w:rsid w:val="33236F84"/>
    <w:rsid w:val="34183C7D"/>
    <w:rsid w:val="38A5A85B"/>
    <w:rsid w:val="3AA504A2"/>
    <w:rsid w:val="3C5603BD"/>
    <w:rsid w:val="3CDF6954"/>
    <w:rsid w:val="3CF3A218"/>
    <w:rsid w:val="3E6BFBDA"/>
    <w:rsid w:val="3F75A662"/>
    <w:rsid w:val="404DDC46"/>
    <w:rsid w:val="414DCA1A"/>
    <w:rsid w:val="425508BC"/>
    <w:rsid w:val="43EF2D34"/>
    <w:rsid w:val="44A26661"/>
    <w:rsid w:val="4665E410"/>
    <w:rsid w:val="473F9FDB"/>
    <w:rsid w:val="47D4EF2D"/>
    <w:rsid w:val="49F5FAAA"/>
    <w:rsid w:val="4A10A63B"/>
    <w:rsid w:val="4A87F564"/>
    <w:rsid w:val="4BD99BC6"/>
    <w:rsid w:val="4FD0B29B"/>
    <w:rsid w:val="519F8C63"/>
    <w:rsid w:val="51E2851F"/>
    <w:rsid w:val="5239EE6F"/>
    <w:rsid w:val="539EB0B4"/>
    <w:rsid w:val="568981F5"/>
    <w:rsid w:val="5AF7B059"/>
    <w:rsid w:val="5CBCCA01"/>
    <w:rsid w:val="5D5301C5"/>
    <w:rsid w:val="5E3CC861"/>
    <w:rsid w:val="5F8D35C6"/>
    <w:rsid w:val="5FBFA440"/>
    <w:rsid w:val="60CE7BFE"/>
    <w:rsid w:val="62CC4B93"/>
    <w:rsid w:val="6513885F"/>
    <w:rsid w:val="689BE527"/>
    <w:rsid w:val="6990B18A"/>
    <w:rsid w:val="6A7CEA4B"/>
    <w:rsid w:val="6AF84FCE"/>
    <w:rsid w:val="6B1CE74F"/>
    <w:rsid w:val="6C0BAB00"/>
    <w:rsid w:val="6C6D1068"/>
    <w:rsid w:val="6EC8A5F6"/>
    <w:rsid w:val="708B5034"/>
    <w:rsid w:val="73B9ED7B"/>
    <w:rsid w:val="74564AA2"/>
    <w:rsid w:val="74BD8409"/>
    <w:rsid w:val="75912DC9"/>
    <w:rsid w:val="76DB6390"/>
    <w:rsid w:val="78CE6648"/>
    <w:rsid w:val="79C78A37"/>
    <w:rsid w:val="7A2E13B6"/>
    <w:rsid w:val="7B5ADEFD"/>
    <w:rsid w:val="7C0DD6BC"/>
    <w:rsid w:val="7D3E4BD2"/>
    <w:rsid w:val="7E4E3E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3BABC"/>
  <w15:docId w15:val="{57169E77-918A-4FE4-BAD9-0510AF718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D86"/>
  </w:style>
  <w:style w:type="paragraph" w:styleId="Heading1">
    <w:name w:val="heading 1"/>
    <w:basedOn w:val="Normal"/>
    <w:next w:val="Normal"/>
    <w:link w:val="Heading1Char"/>
    <w:uiPriority w:val="9"/>
    <w:qFormat/>
    <w:rsid w:val="003B1D8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3B1D8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1D8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1D8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3B1D8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B1D8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3B1D8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3B1D8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3B1D8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1D8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3B1D8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3B1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836E2"/>
    <w:rPr>
      <w:b/>
      <w:bCs/>
    </w:rPr>
  </w:style>
  <w:style w:type="character" w:customStyle="1" w:styleId="CommentSubjectChar">
    <w:name w:val="Comment Subject Char"/>
    <w:basedOn w:val="CommentTextChar"/>
    <w:link w:val="CommentSubject"/>
    <w:uiPriority w:val="99"/>
    <w:semiHidden/>
    <w:rsid w:val="006836E2"/>
    <w:rPr>
      <w:b/>
      <w:bCs/>
      <w:sz w:val="20"/>
      <w:szCs w:val="20"/>
    </w:rPr>
  </w:style>
  <w:style w:type="character" w:customStyle="1" w:styleId="UnresolvedMention1">
    <w:name w:val="Unresolved Mention1"/>
    <w:basedOn w:val="DefaultParagraphFont"/>
    <w:uiPriority w:val="99"/>
    <w:semiHidden/>
    <w:unhideWhenUsed/>
    <w:rsid w:val="006836E2"/>
    <w:rPr>
      <w:color w:val="605E5C"/>
      <w:shd w:val="clear" w:color="auto" w:fill="E1DFDD"/>
    </w:rPr>
  </w:style>
  <w:style w:type="paragraph" w:styleId="FootnoteText">
    <w:name w:val="footnote text"/>
    <w:basedOn w:val="Normal"/>
    <w:link w:val="FootnoteTextChar"/>
    <w:uiPriority w:val="99"/>
    <w:semiHidden/>
    <w:unhideWhenUsed/>
    <w:rsid w:val="008E73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73FB"/>
    <w:rPr>
      <w:sz w:val="20"/>
      <w:szCs w:val="20"/>
    </w:rPr>
  </w:style>
  <w:style w:type="character" w:styleId="FootnoteReference">
    <w:name w:val="footnote reference"/>
    <w:basedOn w:val="DefaultParagraphFont"/>
    <w:uiPriority w:val="99"/>
    <w:semiHidden/>
    <w:unhideWhenUsed/>
    <w:rsid w:val="008E73FB"/>
    <w:rPr>
      <w:vertAlign w:val="superscript"/>
    </w:rPr>
  </w:style>
  <w:style w:type="character" w:customStyle="1" w:styleId="normaltextrun">
    <w:name w:val="normaltextrun"/>
    <w:basedOn w:val="DefaultParagraphFont"/>
    <w:rsid w:val="00E0587B"/>
  </w:style>
  <w:style w:type="character" w:customStyle="1" w:styleId="eop">
    <w:name w:val="eop"/>
    <w:basedOn w:val="DefaultParagraphFont"/>
    <w:rsid w:val="00E0587B"/>
  </w:style>
  <w:style w:type="character" w:customStyle="1" w:styleId="Heading3Char">
    <w:name w:val="Heading 3 Char"/>
    <w:basedOn w:val="DefaultParagraphFont"/>
    <w:link w:val="Heading3"/>
    <w:uiPriority w:val="9"/>
    <w:semiHidden/>
    <w:rsid w:val="003B1D86"/>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1D86"/>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3B1D86"/>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3B1D8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3B1D8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3B1D8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3B1D86"/>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unhideWhenUsed/>
    <w:qFormat/>
    <w:rsid w:val="003B1D86"/>
    <w:pPr>
      <w:spacing w:line="240" w:lineRule="auto"/>
    </w:pPr>
    <w:rPr>
      <w:b/>
      <w:bCs/>
      <w:smallCaps/>
      <w:color w:val="44546A" w:themeColor="text2"/>
    </w:rPr>
  </w:style>
  <w:style w:type="character" w:customStyle="1" w:styleId="TitleChar">
    <w:name w:val="Title Char"/>
    <w:basedOn w:val="DefaultParagraphFont"/>
    <w:link w:val="Title"/>
    <w:uiPriority w:val="10"/>
    <w:rsid w:val="003B1D86"/>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spacing w:after="240" w:line="240" w:lineRule="auto"/>
    </w:pPr>
    <w:rPr>
      <w:color w:val="4472C4"/>
      <w:sz w:val="28"/>
      <w:szCs w:val="28"/>
    </w:rPr>
  </w:style>
  <w:style w:type="character" w:customStyle="1" w:styleId="SubtitleChar">
    <w:name w:val="Subtitle Char"/>
    <w:basedOn w:val="DefaultParagraphFont"/>
    <w:link w:val="Subtitle"/>
    <w:uiPriority w:val="11"/>
    <w:rsid w:val="003B1D86"/>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3B1D86"/>
    <w:rPr>
      <w:b/>
      <w:bCs/>
    </w:rPr>
  </w:style>
  <w:style w:type="character" w:styleId="Emphasis">
    <w:name w:val="Emphasis"/>
    <w:basedOn w:val="DefaultParagraphFont"/>
    <w:uiPriority w:val="20"/>
    <w:qFormat/>
    <w:rsid w:val="003B1D86"/>
    <w:rPr>
      <w:i/>
      <w:iCs/>
    </w:rPr>
  </w:style>
  <w:style w:type="paragraph" w:styleId="NoSpacing">
    <w:name w:val="No Spacing"/>
    <w:uiPriority w:val="1"/>
    <w:qFormat/>
    <w:rsid w:val="003B1D86"/>
    <w:pPr>
      <w:spacing w:after="0" w:line="240" w:lineRule="auto"/>
    </w:pPr>
  </w:style>
  <w:style w:type="paragraph" w:styleId="Quote">
    <w:name w:val="Quote"/>
    <w:basedOn w:val="Normal"/>
    <w:next w:val="Normal"/>
    <w:link w:val="QuoteChar"/>
    <w:uiPriority w:val="29"/>
    <w:qFormat/>
    <w:rsid w:val="003B1D8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3B1D86"/>
    <w:rPr>
      <w:color w:val="44546A" w:themeColor="text2"/>
      <w:sz w:val="24"/>
      <w:szCs w:val="24"/>
    </w:rPr>
  </w:style>
  <w:style w:type="paragraph" w:styleId="IntenseQuote">
    <w:name w:val="Intense Quote"/>
    <w:basedOn w:val="Normal"/>
    <w:next w:val="Normal"/>
    <w:link w:val="IntenseQuoteChar"/>
    <w:uiPriority w:val="30"/>
    <w:qFormat/>
    <w:rsid w:val="003B1D8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3B1D8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3B1D86"/>
    <w:rPr>
      <w:i/>
      <w:iCs/>
      <w:color w:val="595959" w:themeColor="text1" w:themeTint="A6"/>
    </w:rPr>
  </w:style>
  <w:style w:type="character" w:styleId="IntenseEmphasis">
    <w:name w:val="Intense Emphasis"/>
    <w:basedOn w:val="DefaultParagraphFont"/>
    <w:uiPriority w:val="21"/>
    <w:qFormat/>
    <w:rsid w:val="003B1D86"/>
    <w:rPr>
      <w:b/>
      <w:bCs/>
      <w:i/>
      <w:iCs/>
    </w:rPr>
  </w:style>
  <w:style w:type="character" w:styleId="SubtleReference">
    <w:name w:val="Subtle Reference"/>
    <w:basedOn w:val="DefaultParagraphFont"/>
    <w:uiPriority w:val="31"/>
    <w:qFormat/>
    <w:rsid w:val="003B1D8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B1D86"/>
    <w:rPr>
      <w:b/>
      <w:bCs/>
      <w:smallCaps/>
      <w:color w:val="44546A" w:themeColor="text2"/>
      <w:u w:val="single"/>
    </w:rPr>
  </w:style>
  <w:style w:type="character" w:styleId="BookTitle">
    <w:name w:val="Book Title"/>
    <w:basedOn w:val="DefaultParagraphFont"/>
    <w:uiPriority w:val="33"/>
    <w:qFormat/>
    <w:rsid w:val="003B1D86"/>
    <w:rPr>
      <w:b/>
      <w:bCs/>
      <w:smallCaps/>
      <w:spacing w:val="10"/>
    </w:rPr>
  </w:style>
  <w:style w:type="paragraph" w:styleId="TOCHeading">
    <w:name w:val="TOC Heading"/>
    <w:basedOn w:val="Heading1"/>
    <w:next w:val="Normal"/>
    <w:uiPriority w:val="39"/>
    <w:semiHidden/>
    <w:unhideWhenUsed/>
    <w:qFormat/>
    <w:rsid w:val="003B1D86"/>
    <w:pPr>
      <w:outlineLvl w:val="9"/>
    </w:pPr>
  </w:style>
  <w:style w:type="paragraph" w:styleId="BalloonText">
    <w:name w:val="Balloon Text"/>
    <w:basedOn w:val="Normal"/>
    <w:link w:val="BalloonTextChar"/>
    <w:uiPriority w:val="99"/>
    <w:semiHidden/>
    <w:unhideWhenUsed/>
    <w:rsid w:val="00103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779"/>
    <w:rPr>
      <w:rFonts w:ascii="Segoe UI" w:hAnsi="Segoe UI" w:cs="Segoe UI"/>
      <w:sz w:val="18"/>
      <w:szCs w:val="18"/>
    </w:rPr>
  </w:style>
  <w:style w:type="table" w:styleId="TableGrid">
    <w:name w:val="Table Grid"/>
    <w:basedOn w:val="TableNormal"/>
    <w:uiPriority w:val="39"/>
    <w:rsid w:val="00E16E7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16E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rsid w:val="00E16E7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7690C"/>
    <w:rPr>
      <w:color w:val="954F72" w:themeColor="followedHyperlink"/>
      <w:u w:val="single"/>
    </w:rPr>
  </w:style>
  <w:style w:type="paragraph" w:customStyle="1" w:styleId="EndNoteBibliography">
    <w:name w:val="EndNote Bibliography"/>
    <w:basedOn w:val="Normal"/>
    <w:link w:val="EndNoteBibliographyChar"/>
    <w:rsid w:val="001F3A5D"/>
    <w:pPr>
      <w:spacing w:after="0" w:line="240" w:lineRule="auto"/>
      <w:outlineLvl w:val="0"/>
    </w:pPr>
    <w:rPr>
      <w:rFonts w:eastAsiaTheme="minorHAnsi"/>
      <w:iCs/>
      <w:sz w:val="24"/>
      <w:szCs w:val="24"/>
    </w:rPr>
  </w:style>
  <w:style w:type="character" w:customStyle="1" w:styleId="EndNoteBibliographyChar">
    <w:name w:val="EndNote Bibliography Char"/>
    <w:basedOn w:val="DefaultParagraphFont"/>
    <w:link w:val="EndNoteBibliography"/>
    <w:rsid w:val="001F3A5D"/>
    <w:rPr>
      <w:rFonts w:ascii="Calibri" w:eastAsiaTheme="minorHAnsi" w:hAnsi="Calibri" w:cs="Calibri"/>
      <w:iCs/>
      <w:sz w:val="24"/>
      <w:szCs w:val="24"/>
    </w:rPr>
  </w:style>
  <w:style w:type="character" w:customStyle="1" w:styleId="UnresolvedMention2">
    <w:name w:val="Unresolved Mention2"/>
    <w:basedOn w:val="DefaultParagraphFont"/>
    <w:uiPriority w:val="99"/>
    <w:semiHidden/>
    <w:unhideWhenUsed/>
    <w:rsid w:val="00C75314"/>
    <w:rPr>
      <w:color w:val="605E5C"/>
      <w:shd w:val="clear" w:color="auto" w:fill="E1DFDD"/>
    </w:rPr>
  </w:style>
  <w:style w:type="paragraph" w:styleId="ListParagraph">
    <w:name w:val="List Paragraph"/>
    <w:basedOn w:val="Normal"/>
    <w:uiPriority w:val="34"/>
    <w:qFormat/>
    <w:rsid w:val="003F05F6"/>
    <w:pPr>
      <w:ind w:left="720"/>
      <w:contextualSpacing/>
    </w:pPr>
  </w:style>
  <w:style w:type="paragraph" w:styleId="Revision">
    <w:name w:val="Revision"/>
    <w:hidden/>
    <w:uiPriority w:val="99"/>
    <w:semiHidden/>
    <w:rsid w:val="007B002D"/>
    <w:pPr>
      <w:spacing w:after="0" w:line="240" w:lineRule="auto"/>
    </w:pPr>
  </w:style>
  <w:style w:type="character" w:customStyle="1" w:styleId="UnresolvedMention3">
    <w:name w:val="Unresolved Mention3"/>
    <w:basedOn w:val="DefaultParagraphFont"/>
    <w:uiPriority w:val="99"/>
    <w:semiHidden/>
    <w:unhideWhenUsed/>
    <w:rsid w:val="007C3BFE"/>
    <w:rPr>
      <w:color w:val="605E5C"/>
      <w:shd w:val="clear" w:color="auto" w:fill="E1DFDD"/>
    </w:rPr>
  </w:style>
  <w:style w:type="character" w:customStyle="1" w:styleId="text">
    <w:name w:val="text"/>
    <w:basedOn w:val="DefaultParagraphFont"/>
    <w:rsid w:val="006F4A9F"/>
  </w:style>
  <w:style w:type="character" w:customStyle="1" w:styleId="anchor-text">
    <w:name w:val="anchor-text"/>
    <w:basedOn w:val="DefaultParagraphFont"/>
    <w:rsid w:val="007C1898"/>
  </w:style>
  <w:style w:type="paragraph" w:styleId="Header">
    <w:name w:val="header"/>
    <w:basedOn w:val="Normal"/>
    <w:link w:val="HeaderChar"/>
    <w:uiPriority w:val="99"/>
    <w:unhideWhenUsed/>
    <w:rsid w:val="008F0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AE8"/>
  </w:style>
  <w:style w:type="paragraph" w:styleId="Footer">
    <w:name w:val="footer"/>
    <w:basedOn w:val="Normal"/>
    <w:link w:val="FooterChar"/>
    <w:uiPriority w:val="99"/>
    <w:unhideWhenUsed/>
    <w:rsid w:val="008F0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AE8"/>
  </w:style>
  <w:style w:type="paragraph" w:styleId="HTMLPreformatted">
    <w:name w:val="HTML Preformatted"/>
    <w:basedOn w:val="Normal"/>
    <w:link w:val="HTMLPreformattedChar"/>
    <w:uiPriority w:val="99"/>
    <w:semiHidden/>
    <w:unhideWhenUsed/>
    <w:rsid w:val="007C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C5E79"/>
    <w:rPr>
      <w:rFonts w:ascii="Courier New" w:eastAsia="Times New Roman" w:hAnsi="Courier New" w:cs="Courier New"/>
      <w:sz w:val="20"/>
      <w:szCs w:val="20"/>
      <w:lang w:val="en-GB" w:eastAsia="en-GB"/>
    </w:rPr>
  </w:style>
  <w:style w:type="character" w:customStyle="1" w:styleId="gnd-iwgdh3b">
    <w:name w:val="gnd-iwgdh3b"/>
    <w:basedOn w:val="DefaultParagraphFont"/>
    <w:rsid w:val="007C5E79"/>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hyperlink" Target="about:blank" TargetMode="External"/><Relationship Id="rId41" Type="http://schemas.openxmlformats.org/officeDocument/2006/relationships/image" Target="media/image2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gWdicyUkk5wIabFTb0+K9ZFCjQ==">CgMxLjAyDmgucHdmMW1iNWN3b2NqMghoLmdqZGd4czIJaC4zMGowemxsOABqNAoUc3VnZ2VzdC5lMGVndTdveHg4MnISHG1hcmlhbm5lLmd1bGxiZXJnQGxpbmcubHUuc2VqNAoUc3VnZ2VzdC4yd2FlbTRiMWU3dXcSHG1hcmlhbm5lLmd1bGxiZXJnQGxpbmcubHUuc2VqNAoUc3VnZ2VzdC52bTRmNDk1ZTB5bGgSHG1hcmlhbm5lLmd1bGxiZXJnQGxpbmcubHUuc2VyITFpc0lzVi03cjFrSzBkVnJmNnZlbE0tVFBpTzc1TzBn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8830</Words>
  <Characters>50334</Characters>
  <Application>Microsoft Office Word</Application>
  <DocSecurity>0</DocSecurity>
  <Lines>419</Lines>
  <Paragraphs>118</Paragraphs>
  <ScaleCrop>false</ScaleCrop>
  <Company/>
  <LinksUpToDate>false</LinksUpToDate>
  <CharactersWithSpaces>59046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Chloe</dc:creator>
  <cp:lastModifiedBy>Julia Hofweber</cp:lastModifiedBy>
  <cp:revision>2</cp:revision>
  <dcterms:created xsi:type="dcterms:W3CDTF">2024-11-18T12:21:00Z</dcterms:created>
  <dcterms:modified xsi:type="dcterms:W3CDTF">2024-11-18T12:21:00Z</dcterms:modified>
</cp:coreProperties>
</file>