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A1D76" w14:textId="7DBC624A" w:rsidR="00D87CE5" w:rsidRDefault="00893527" w:rsidP="008A7331">
      <w:pPr>
        <w:jc w:val="center"/>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Bridging Normative and Market Power Europe: the EU’s Diffusion of Market-related Norms and Policies in ASEAN</w:t>
      </w:r>
    </w:p>
    <w:p w14:paraId="3F13B9B4" w14:textId="5A305375" w:rsidR="009074FB" w:rsidRDefault="009074FB" w:rsidP="008A7331">
      <w:pPr>
        <w:jc w:val="center"/>
        <w:rPr>
          <w:rFonts w:ascii="Times New Roman" w:hAnsi="Times New Roman" w:cs="Times New Roman"/>
          <w:b/>
          <w:bCs/>
          <w:color w:val="000000" w:themeColor="text1"/>
          <w:sz w:val="20"/>
          <w:szCs w:val="20"/>
        </w:rPr>
      </w:pPr>
      <w:proofErr w:type="spellStart"/>
      <w:r>
        <w:rPr>
          <w:rFonts w:ascii="Times New Roman" w:hAnsi="Times New Roman" w:cs="Times New Roman" w:hint="eastAsia"/>
          <w:b/>
          <w:bCs/>
          <w:color w:val="000000" w:themeColor="text1"/>
          <w:sz w:val="20"/>
          <w:szCs w:val="20"/>
        </w:rPr>
        <w:t>X</w:t>
      </w:r>
      <w:r>
        <w:rPr>
          <w:rFonts w:ascii="Times New Roman" w:hAnsi="Times New Roman" w:cs="Times New Roman"/>
          <w:b/>
          <w:bCs/>
          <w:color w:val="000000" w:themeColor="text1"/>
          <w:sz w:val="20"/>
          <w:szCs w:val="20"/>
        </w:rPr>
        <w:t>uechen</w:t>
      </w:r>
      <w:proofErr w:type="spellEnd"/>
      <w:r>
        <w:rPr>
          <w:rFonts w:ascii="Times New Roman" w:hAnsi="Times New Roman" w:cs="Times New Roman"/>
          <w:b/>
          <w:bCs/>
          <w:color w:val="000000" w:themeColor="text1"/>
          <w:sz w:val="20"/>
          <w:szCs w:val="20"/>
        </w:rPr>
        <w:t xml:space="preserve"> CHEN</w:t>
      </w:r>
    </w:p>
    <w:p w14:paraId="0AFEA465" w14:textId="617E2B4C" w:rsidR="009074FB" w:rsidRDefault="009074FB" w:rsidP="008A7331">
      <w:pPr>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Faculty of Politics and International Relations</w:t>
      </w:r>
    </w:p>
    <w:p w14:paraId="404FF387" w14:textId="5F97CE7D" w:rsidR="009074FB" w:rsidRPr="000E262D" w:rsidRDefault="009074FB" w:rsidP="008A7331">
      <w:pPr>
        <w:jc w:val="center"/>
        <w:rPr>
          <w:rFonts w:ascii="Times New Roman" w:hAnsi="Times New Roman" w:cs="Times New Roman"/>
          <w:b/>
          <w:bCs/>
          <w:color w:val="000000" w:themeColor="text1"/>
          <w:sz w:val="20"/>
          <w:szCs w:val="20"/>
        </w:rPr>
      </w:pPr>
      <w:r>
        <w:rPr>
          <w:rFonts w:ascii="Times New Roman" w:hAnsi="Times New Roman" w:cs="Times New Roman" w:hint="eastAsia"/>
          <w:b/>
          <w:bCs/>
          <w:color w:val="000000" w:themeColor="text1"/>
          <w:sz w:val="20"/>
          <w:szCs w:val="20"/>
        </w:rPr>
        <w:t>N</w:t>
      </w:r>
      <w:r>
        <w:rPr>
          <w:rFonts w:ascii="Times New Roman" w:hAnsi="Times New Roman" w:cs="Times New Roman"/>
          <w:b/>
          <w:bCs/>
          <w:color w:val="000000" w:themeColor="text1"/>
          <w:sz w:val="20"/>
          <w:szCs w:val="20"/>
        </w:rPr>
        <w:t xml:space="preserve">ew College of the Humanities at </w:t>
      </w:r>
      <w:proofErr w:type="spellStart"/>
      <w:r>
        <w:rPr>
          <w:rFonts w:ascii="Times New Roman" w:hAnsi="Times New Roman" w:cs="Times New Roman"/>
          <w:b/>
          <w:bCs/>
          <w:color w:val="000000" w:themeColor="text1"/>
          <w:sz w:val="20"/>
          <w:szCs w:val="20"/>
        </w:rPr>
        <w:t>Northeastern</w:t>
      </w:r>
      <w:proofErr w:type="spellEnd"/>
    </w:p>
    <w:p w14:paraId="3935EA97" w14:textId="49708C1F" w:rsidR="009074FB" w:rsidRPr="000E262D" w:rsidRDefault="009074FB" w:rsidP="00EE13CD">
      <w:pPr>
        <w:rPr>
          <w:rFonts w:ascii="Times New Roman" w:hAnsi="Times New Roman" w:cs="Times New Roman" w:hint="eastAsia"/>
          <w:b/>
          <w:bCs/>
          <w:color w:val="000000" w:themeColor="text1"/>
          <w:sz w:val="20"/>
          <w:szCs w:val="20"/>
          <w:lang w:val="en-US"/>
        </w:rPr>
      </w:pPr>
    </w:p>
    <w:p w14:paraId="4102A17A" w14:textId="77777777" w:rsidR="004A0EDA" w:rsidRPr="000E262D" w:rsidRDefault="004A0EDA" w:rsidP="008A7331">
      <w:pPr>
        <w:rPr>
          <w:rFonts w:ascii="Times New Roman" w:hAnsi="Times New Roman" w:cs="Times New Roman"/>
          <w:color w:val="000000" w:themeColor="text1"/>
          <w:sz w:val="20"/>
          <w:szCs w:val="20"/>
        </w:rPr>
      </w:pPr>
    </w:p>
    <w:p w14:paraId="42F4897C" w14:textId="77777777" w:rsidR="007F35DE" w:rsidRPr="000E262D" w:rsidRDefault="0043649C" w:rsidP="008A7331">
      <w:pPr>
        <w:rPr>
          <w:rFonts w:ascii="Times New Roman" w:hAnsi="Times New Roman" w:cs="Times New Roman"/>
          <w:color w:val="000000" w:themeColor="text1"/>
          <w:sz w:val="20"/>
          <w:szCs w:val="20"/>
        </w:rPr>
      </w:pPr>
      <w:r w:rsidRPr="000E262D">
        <w:rPr>
          <w:rFonts w:ascii="Times New Roman" w:hAnsi="Times New Roman" w:cs="Times New Roman"/>
          <w:b/>
          <w:bCs/>
          <w:color w:val="000000" w:themeColor="text1"/>
          <w:sz w:val="20"/>
          <w:szCs w:val="20"/>
        </w:rPr>
        <w:t>Abstract:</w:t>
      </w:r>
      <w:r w:rsidR="001B132B" w:rsidRPr="000E262D">
        <w:rPr>
          <w:rFonts w:ascii="Times New Roman" w:hAnsi="Times New Roman" w:cs="Times New Roman"/>
          <w:color w:val="000000" w:themeColor="text1"/>
          <w:sz w:val="20"/>
          <w:szCs w:val="20"/>
        </w:rPr>
        <w:t xml:space="preserve"> </w:t>
      </w:r>
    </w:p>
    <w:p w14:paraId="74A77F64" w14:textId="77777777" w:rsidR="007F35DE" w:rsidRPr="000E262D" w:rsidRDefault="007F35DE" w:rsidP="008A7331">
      <w:pPr>
        <w:rPr>
          <w:rFonts w:ascii="Times New Roman" w:hAnsi="Times New Roman" w:cs="Times New Roman"/>
          <w:color w:val="000000" w:themeColor="text1"/>
          <w:sz w:val="20"/>
          <w:szCs w:val="20"/>
        </w:rPr>
      </w:pPr>
    </w:p>
    <w:p w14:paraId="12E1D3B0" w14:textId="0A4F65F7" w:rsidR="001B132B" w:rsidRPr="000E262D" w:rsidRDefault="001B132B"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lang w:val="en-US"/>
        </w:rPr>
        <w:t>The past two decades have witnessed a tremendous increase in the scholarly attention paid to the E</w:t>
      </w:r>
      <w:r w:rsidR="00893527" w:rsidRPr="000E262D">
        <w:rPr>
          <w:rFonts w:ascii="Times New Roman" w:hAnsi="Times New Roman" w:cs="Times New Roman"/>
          <w:color w:val="000000" w:themeColor="text1"/>
          <w:sz w:val="20"/>
          <w:szCs w:val="20"/>
          <w:lang w:val="en-US"/>
        </w:rPr>
        <w:t xml:space="preserve">uropean </w:t>
      </w:r>
      <w:r w:rsidRPr="000E262D">
        <w:rPr>
          <w:rFonts w:ascii="Times New Roman" w:hAnsi="Times New Roman" w:cs="Times New Roman"/>
          <w:color w:val="000000" w:themeColor="text1"/>
          <w:sz w:val="20"/>
          <w:szCs w:val="20"/>
          <w:lang w:val="en-US"/>
        </w:rPr>
        <w:t>U</w:t>
      </w:r>
      <w:r w:rsidR="00893527" w:rsidRPr="000E262D">
        <w:rPr>
          <w:rFonts w:ascii="Times New Roman" w:hAnsi="Times New Roman" w:cs="Times New Roman"/>
          <w:color w:val="000000" w:themeColor="text1"/>
          <w:sz w:val="20"/>
          <w:szCs w:val="20"/>
          <w:lang w:val="en-US"/>
        </w:rPr>
        <w:t>nion (EU)</w:t>
      </w:r>
      <w:r w:rsidRPr="000E262D">
        <w:rPr>
          <w:rFonts w:ascii="Times New Roman" w:hAnsi="Times New Roman" w:cs="Times New Roman"/>
          <w:color w:val="000000" w:themeColor="text1"/>
          <w:sz w:val="20"/>
          <w:szCs w:val="20"/>
          <w:lang w:val="en-US"/>
        </w:rPr>
        <w:t xml:space="preserve">’s external relations as well as the nature of the </w:t>
      </w:r>
      <w:r w:rsidR="00893527" w:rsidRPr="000E262D">
        <w:rPr>
          <w:rFonts w:ascii="Times New Roman" w:hAnsi="Times New Roman" w:cs="Times New Roman"/>
          <w:color w:val="000000" w:themeColor="text1"/>
          <w:sz w:val="20"/>
          <w:szCs w:val="20"/>
          <w:lang w:val="en-US"/>
        </w:rPr>
        <w:t>u</w:t>
      </w:r>
      <w:r w:rsidRPr="000E262D">
        <w:rPr>
          <w:rFonts w:ascii="Times New Roman" w:hAnsi="Times New Roman" w:cs="Times New Roman"/>
          <w:color w:val="000000" w:themeColor="text1"/>
          <w:sz w:val="20"/>
          <w:szCs w:val="20"/>
          <w:lang w:val="en-US"/>
        </w:rPr>
        <w:t xml:space="preserve">nion’s role in world politics. With an aim to contribute to the EU-as-a-power debate, this research explores how EU economic and market-related norms and policies have been promoted and received by taking the </w:t>
      </w:r>
      <w:r w:rsidR="00893527" w:rsidRPr="000E262D">
        <w:rPr>
          <w:rFonts w:ascii="Times New Roman" w:hAnsi="Times New Roman" w:cs="Times New Roman"/>
          <w:color w:val="000000" w:themeColor="text1"/>
          <w:sz w:val="20"/>
          <w:szCs w:val="20"/>
          <w:lang w:val="en-US"/>
        </w:rPr>
        <w:t>EU’s relations with Association of Southeast Asian Nations (</w:t>
      </w:r>
      <w:r w:rsidRPr="000E262D">
        <w:rPr>
          <w:rFonts w:ascii="Times New Roman" w:hAnsi="Times New Roman" w:cs="Times New Roman"/>
          <w:color w:val="000000" w:themeColor="text1"/>
          <w:sz w:val="20"/>
          <w:szCs w:val="20"/>
          <w:lang w:val="en-US"/>
        </w:rPr>
        <w:t>ASEAN</w:t>
      </w:r>
      <w:r w:rsidR="00893527" w:rsidRPr="000E262D">
        <w:rPr>
          <w:rFonts w:ascii="Times New Roman" w:hAnsi="Times New Roman" w:cs="Times New Roman"/>
          <w:color w:val="000000" w:themeColor="text1"/>
          <w:sz w:val="20"/>
          <w:szCs w:val="20"/>
          <w:lang w:val="en-US"/>
        </w:rPr>
        <w:t>)</w:t>
      </w:r>
      <w:r w:rsidRPr="000E262D">
        <w:rPr>
          <w:rFonts w:ascii="Times New Roman" w:hAnsi="Times New Roman" w:cs="Times New Roman"/>
          <w:color w:val="000000" w:themeColor="text1"/>
          <w:sz w:val="20"/>
          <w:szCs w:val="20"/>
          <w:lang w:val="en-US"/>
        </w:rPr>
        <w:t xml:space="preserve"> as an empirical case study. Drawing on transnational diffusion literature, this paper seeks to bridge </w:t>
      </w:r>
      <w:r w:rsidRPr="000E262D">
        <w:rPr>
          <w:rFonts w:ascii="Times New Roman" w:hAnsi="Times New Roman" w:cs="Times New Roman"/>
          <w:color w:val="000000" w:themeColor="text1"/>
          <w:sz w:val="20"/>
          <w:szCs w:val="20"/>
        </w:rPr>
        <w:t xml:space="preserve">the existing </w:t>
      </w:r>
      <w:r w:rsidR="00207B4D" w:rsidRPr="000E262D">
        <w:rPr>
          <w:rFonts w:ascii="Times New Roman" w:hAnsi="Times New Roman" w:cs="Times New Roman"/>
          <w:color w:val="000000" w:themeColor="text1"/>
          <w:sz w:val="20"/>
          <w:szCs w:val="20"/>
        </w:rPr>
        <w:t>scholarly discussions</w:t>
      </w:r>
      <w:r w:rsidRPr="000E262D">
        <w:rPr>
          <w:rFonts w:ascii="Times New Roman" w:hAnsi="Times New Roman" w:cs="Times New Roman"/>
          <w:color w:val="000000" w:themeColor="text1"/>
          <w:sz w:val="20"/>
          <w:szCs w:val="20"/>
        </w:rPr>
        <w:t xml:space="preserve"> on the Normative Power </w:t>
      </w:r>
      <w:r w:rsidR="00893527" w:rsidRPr="000E262D">
        <w:rPr>
          <w:rFonts w:ascii="Times New Roman" w:hAnsi="Times New Roman" w:cs="Times New Roman"/>
          <w:color w:val="000000" w:themeColor="text1"/>
          <w:sz w:val="20"/>
          <w:szCs w:val="20"/>
        </w:rPr>
        <w:t xml:space="preserve">Europe </w:t>
      </w:r>
      <w:r w:rsidRPr="000E262D">
        <w:rPr>
          <w:rFonts w:ascii="Times New Roman" w:hAnsi="Times New Roman" w:cs="Times New Roman"/>
          <w:color w:val="000000" w:themeColor="text1"/>
          <w:sz w:val="20"/>
          <w:szCs w:val="20"/>
        </w:rPr>
        <w:t>and Market or Regulatory Power</w:t>
      </w:r>
      <w:r w:rsidR="00893527" w:rsidRPr="000E262D">
        <w:rPr>
          <w:rFonts w:ascii="Times New Roman" w:hAnsi="Times New Roman" w:cs="Times New Roman"/>
          <w:color w:val="000000" w:themeColor="text1"/>
          <w:sz w:val="20"/>
          <w:szCs w:val="20"/>
        </w:rPr>
        <w:t xml:space="preserve"> Europe</w:t>
      </w:r>
      <w:r w:rsidRPr="000E262D">
        <w:rPr>
          <w:rFonts w:ascii="Times New Roman" w:hAnsi="Times New Roman" w:cs="Times New Roman"/>
          <w:color w:val="000000" w:themeColor="text1"/>
          <w:sz w:val="20"/>
          <w:szCs w:val="20"/>
        </w:rPr>
        <w:t>, offering a more nuanced understanding of subjects of the EU’s externalization</w:t>
      </w:r>
      <w:r w:rsidR="00207B4D" w:rsidRPr="000E262D">
        <w:rPr>
          <w:rFonts w:ascii="Times New Roman" w:hAnsi="Times New Roman" w:cs="Times New Roman"/>
          <w:color w:val="000000" w:themeColor="text1"/>
          <w:sz w:val="20"/>
          <w:szCs w:val="20"/>
        </w:rPr>
        <w:t xml:space="preserve">, as well as </w:t>
      </w:r>
      <w:r w:rsidR="003965C1" w:rsidRPr="000E262D">
        <w:rPr>
          <w:rFonts w:ascii="Times New Roman" w:hAnsi="Times New Roman" w:cs="Times New Roman"/>
          <w:color w:val="000000" w:themeColor="text1"/>
          <w:sz w:val="20"/>
          <w:szCs w:val="20"/>
        </w:rPr>
        <w:t>the processes and effectiveness</w:t>
      </w:r>
      <w:r w:rsidRPr="000E262D">
        <w:rPr>
          <w:rFonts w:ascii="Times New Roman" w:hAnsi="Times New Roman" w:cs="Times New Roman"/>
          <w:color w:val="000000" w:themeColor="text1"/>
          <w:sz w:val="20"/>
          <w:szCs w:val="20"/>
        </w:rPr>
        <w:t xml:space="preserve"> of the EU’s </w:t>
      </w:r>
      <w:r w:rsidR="00207B4D" w:rsidRPr="000E262D">
        <w:rPr>
          <w:rFonts w:ascii="Times New Roman" w:hAnsi="Times New Roman" w:cs="Times New Roman"/>
          <w:color w:val="000000" w:themeColor="text1"/>
          <w:sz w:val="20"/>
          <w:szCs w:val="20"/>
        </w:rPr>
        <w:t>diffusion</w:t>
      </w:r>
      <w:r w:rsidRPr="000E262D">
        <w:rPr>
          <w:rFonts w:ascii="Times New Roman" w:hAnsi="Times New Roman" w:cs="Times New Roman"/>
          <w:color w:val="000000" w:themeColor="text1"/>
          <w:sz w:val="20"/>
          <w:szCs w:val="20"/>
        </w:rPr>
        <w:t xml:space="preserve"> of market-related norms and regulatory approaches. </w:t>
      </w:r>
    </w:p>
    <w:p w14:paraId="09605F6F" w14:textId="77777777" w:rsidR="001B132B" w:rsidRPr="000E262D" w:rsidRDefault="001B132B" w:rsidP="008A7331">
      <w:pPr>
        <w:rPr>
          <w:rFonts w:ascii="Times New Roman" w:hAnsi="Times New Roman" w:cs="Times New Roman"/>
          <w:color w:val="000000" w:themeColor="text1"/>
          <w:sz w:val="20"/>
          <w:szCs w:val="20"/>
        </w:rPr>
      </w:pPr>
    </w:p>
    <w:p w14:paraId="1BC43EFC" w14:textId="03D671E9" w:rsidR="0043649C" w:rsidRPr="000E262D" w:rsidRDefault="0043649C" w:rsidP="008A7331">
      <w:pPr>
        <w:rPr>
          <w:rFonts w:ascii="Times New Roman" w:hAnsi="Times New Roman" w:cs="Times New Roman"/>
          <w:color w:val="000000" w:themeColor="text1"/>
          <w:sz w:val="20"/>
          <w:szCs w:val="20"/>
        </w:rPr>
      </w:pPr>
    </w:p>
    <w:p w14:paraId="54DCA1E7" w14:textId="59C1F2A2" w:rsidR="004A0EDA" w:rsidRPr="000E262D" w:rsidRDefault="004A0EDA" w:rsidP="008A7331">
      <w:pPr>
        <w:rPr>
          <w:rFonts w:ascii="Times New Roman" w:hAnsi="Times New Roman" w:cs="Times New Roman"/>
          <w:color w:val="000000" w:themeColor="text1"/>
          <w:sz w:val="20"/>
          <w:szCs w:val="20"/>
        </w:rPr>
      </w:pPr>
      <w:r w:rsidRPr="000E262D">
        <w:rPr>
          <w:rFonts w:ascii="Times New Roman" w:hAnsi="Times New Roman" w:cs="Times New Roman"/>
          <w:b/>
          <w:bCs/>
          <w:color w:val="000000" w:themeColor="text1"/>
          <w:sz w:val="20"/>
          <w:szCs w:val="20"/>
        </w:rPr>
        <w:t>Key words</w:t>
      </w:r>
      <w:r w:rsidRPr="000E262D">
        <w:rPr>
          <w:rFonts w:ascii="Times New Roman" w:hAnsi="Times New Roman" w:cs="Times New Roman"/>
          <w:color w:val="000000" w:themeColor="text1"/>
          <w:sz w:val="20"/>
          <w:szCs w:val="20"/>
        </w:rPr>
        <w:t>:</w:t>
      </w:r>
      <w:r w:rsidR="00893527" w:rsidRPr="000E262D">
        <w:rPr>
          <w:rFonts w:ascii="Times New Roman" w:hAnsi="Times New Roman" w:cs="Times New Roman"/>
          <w:color w:val="000000" w:themeColor="text1"/>
          <w:sz w:val="20"/>
          <w:szCs w:val="20"/>
        </w:rPr>
        <w:t xml:space="preserve"> norm diffusion, policy transfer, economic liberalism, European Union, ASEAN</w:t>
      </w:r>
    </w:p>
    <w:p w14:paraId="0566F4F3" w14:textId="59CFD11D" w:rsidR="00094FF6" w:rsidRPr="000E262D" w:rsidRDefault="00094FF6" w:rsidP="008A7331">
      <w:pPr>
        <w:rPr>
          <w:rFonts w:ascii="Times New Roman" w:hAnsi="Times New Roman" w:cs="Times New Roman"/>
          <w:color w:val="000000" w:themeColor="text1"/>
          <w:sz w:val="20"/>
          <w:szCs w:val="20"/>
        </w:rPr>
      </w:pPr>
    </w:p>
    <w:p w14:paraId="2238F742" w14:textId="77777777" w:rsidR="003928E7" w:rsidRPr="000E262D" w:rsidRDefault="003928E7" w:rsidP="008A7331">
      <w:pPr>
        <w:rPr>
          <w:rFonts w:ascii="Times New Roman" w:hAnsi="Times New Roman" w:cs="Times New Roman"/>
          <w:color w:val="000000" w:themeColor="text1"/>
          <w:sz w:val="20"/>
          <w:szCs w:val="20"/>
        </w:rPr>
      </w:pPr>
    </w:p>
    <w:p w14:paraId="7E726C13" w14:textId="690A59AA" w:rsidR="00AD6B22" w:rsidRPr="000E262D" w:rsidRDefault="00AD6B22" w:rsidP="008A7331">
      <w:pPr>
        <w:pStyle w:val="a3"/>
        <w:numPr>
          <w:ilvl w:val="0"/>
          <w:numId w:val="7"/>
        </w:numPr>
        <w:ind w:firstLineChars="0"/>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Introduction:</w:t>
      </w:r>
    </w:p>
    <w:p w14:paraId="06A91196" w14:textId="77777777" w:rsidR="00DE39B8" w:rsidRPr="000E262D" w:rsidRDefault="00DE39B8" w:rsidP="008A7331">
      <w:pPr>
        <w:rPr>
          <w:rFonts w:ascii="Times New Roman" w:hAnsi="Times New Roman" w:cs="Times New Roman"/>
          <w:color w:val="000000" w:themeColor="text1"/>
          <w:sz w:val="20"/>
          <w:szCs w:val="20"/>
        </w:rPr>
      </w:pPr>
    </w:p>
    <w:p w14:paraId="1F146490" w14:textId="38362F2D" w:rsidR="004A788E" w:rsidRPr="000E262D" w:rsidRDefault="004A788E"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Since the end of the Cold War, there has been a proliferation of </w:t>
      </w:r>
      <w:r w:rsidR="007F59BE" w:rsidRPr="000E262D">
        <w:rPr>
          <w:rFonts w:ascii="Times New Roman" w:hAnsi="Times New Roman" w:cs="Times New Roman"/>
          <w:color w:val="000000" w:themeColor="text1"/>
          <w:sz w:val="20"/>
          <w:szCs w:val="20"/>
        </w:rPr>
        <w:t>conceptualizations</w:t>
      </w:r>
      <w:r w:rsidRPr="000E262D">
        <w:rPr>
          <w:rFonts w:ascii="Times New Roman" w:hAnsi="Times New Roman" w:cs="Times New Roman"/>
          <w:color w:val="000000" w:themeColor="text1"/>
          <w:sz w:val="20"/>
          <w:szCs w:val="20"/>
        </w:rPr>
        <w:t xml:space="preserve"> of the </w:t>
      </w:r>
      <w:r w:rsidR="000A64EE" w:rsidRPr="000E262D">
        <w:rPr>
          <w:rFonts w:ascii="Times New Roman" w:hAnsi="Times New Roman" w:cs="Times New Roman"/>
          <w:color w:val="000000" w:themeColor="text1"/>
          <w:sz w:val="20"/>
          <w:szCs w:val="20"/>
        </w:rPr>
        <w:t>European Union (</w:t>
      </w:r>
      <w:r w:rsidRPr="000E262D">
        <w:rPr>
          <w:rFonts w:ascii="Times New Roman" w:hAnsi="Times New Roman" w:cs="Times New Roman"/>
          <w:color w:val="000000" w:themeColor="text1"/>
          <w:sz w:val="20"/>
          <w:szCs w:val="20"/>
        </w:rPr>
        <w:t>EU</w:t>
      </w:r>
      <w:r w:rsidR="000A64EE"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as a power in international politics. Central to the contemporary EU-as-a-power debate is the idea to </w:t>
      </w:r>
      <w:r w:rsidR="000A64EE"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loosen the core assumptions of state-centred traditions of foreign policy </w:t>
      </w:r>
      <w:r w:rsidR="000A64EE" w:rsidRPr="000E262D">
        <w:rPr>
          <w:rFonts w:ascii="Times New Roman" w:hAnsi="Times New Roman" w:cs="Times New Roman"/>
          <w:color w:val="000000" w:themeColor="text1"/>
          <w:sz w:val="20"/>
          <w:szCs w:val="20"/>
        </w:rPr>
        <w:t xml:space="preserve">analysis” </w:t>
      </w:r>
      <w:r w:rsidRPr="000E262D">
        <w:rPr>
          <w:rFonts w:ascii="Times New Roman" w:hAnsi="Times New Roman" w:cs="Times New Roman"/>
          <w:color w:val="000000" w:themeColor="text1"/>
          <w:sz w:val="20"/>
          <w:szCs w:val="20"/>
        </w:rPr>
        <w:t>(Rosamond 2005</w:t>
      </w:r>
      <w:r w:rsidR="00D960D0"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469) and to identify the characteristics that distinguish the EU as an international actor (</w:t>
      </w:r>
      <w:proofErr w:type="spellStart"/>
      <w:r w:rsidR="009861A9" w:rsidRPr="000E262D">
        <w:rPr>
          <w:rFonts w:ascii="Times New Roman" w:hAnsi="Times New Roman" w:cs="Times New Roman"/>
          <w:color w:val="000000" w:themeColor="text1"/>
          <w:sz w:val="20"/>
          <w:szCs w:val="20"/>
        </w:rPr>
        <w:t>Lavenex</w:t>
      </w:r>
      <w:proofErr w:type="spellEnd"/>
      <w:r w:rsidR="009861A9" w:rsidRPr="000E262D">
        <w:rPr>
          <w:rFonts w:ascii="Times New Roman" w:hAnsi="Times New Roman" w:cs="Times New Roman"/>
          <w:color w:val="000000" w:themeColor="text1"/>
          <w:sz w:val="20"/>
          <w:szCs w:val="20"/>
        </w:rPr>
        <w:t xml:space="preserve"> 2014).</w:t>
      </w:r>
      <w:r w:rsidR="00C9089C" w:rsidRPr="000E262D">
        <w:rPr>
          <w:rFonts w:ascii="Times New Roman" w:hAnsi="Times New Roman" w:cs="Times New Roman"/>
          <w:color w:val="000000" w:themeColor="text1"/>
          <w:sz w:val="20"/>
          <w:szCs w:val="20"/>
        </w:rPr>
        <w:t xml:space="preserve"> With an aim to contribute to the vibrant EU-as-a-power debate, this research explores how EU economic and market-related norms and policies have been promoted and received by taking the EU-ASEAN relations as an empirical case study. In doing so, this</w:t>
      </w:r>
      <w:r w:rsidR="00780B22" w:rsidRPr="000E262D">
        <w:rPr>
          <w:rFonts w:ascii="Times New Roman" w:hAnsi="Times New Roman" w:cs="Times New Roman"/>
          <w:color w:val="000000" w:themeColor="text1"/>
          <w:sz w:val="20"/>
          <w:szCs w:val="20"/>
        </w:rPr>
        <w:t xml:space="preserve"> research’s objective is </w:t>
      </w:r>
      <w:r w:rsidR="00C5763A" w:rsidRPr="000E262D">
        <w:rPr>
          <w:rFonts w:ascii="Times New Roman" w:hAnsi="Times New Roman" w:cs="Times New Roman"/>
          <w:color w:val="000000" w:themeColor="text1"/>
          <w:sz w:val="20"/>
          <w:szCs w:val="20"/>
        </w:rPr>
        <w:t>three</w:t>
      </w:r>
      <w:r w:rsidR="00780B22" w:rsidRPr="000E262D">
        <w:rPr>
          <w:rFonts w:ascii="Times New Roman" w:hAnsi="Times New Roman" w:cs="Times New Roman"/>
          <w:color w:val="000000" w:themeColor="text1"/>
          <w:sz w:val="20"/>
          <w:szCs w:val="20"/>
        </w:rPr>
        <w:t>-fold</w:t>
      </w:r>
      <w:r w:rsidR="00C9089C" w:rsidRPr="000E262D">
        <w:rPr>
          <w:rFonts w:ascii="Times New Roman" w:hAnsi="Times New Roman" w:cs="Times New Roman"/>
          <w:color w:val="000000" w:themeColor="text1"/>
          <w:sz w:val="20"/>
          <w:szCs w:val="20"/>
        </w:rPr>
        <w:t xml:space="preserve">: first, drawing on analytical tools from transnational diffusion literature, it </w:t>
      </w:r>
      <w:r w:rsidR="00C5763A" w:rsidRPr="000E262D">
        <w:rPr>
          <w:rFonts w:ascii="Times New Roman" w:hAnsi="Times New Roman" w:cs="Times New Roman"/>
          <w:color w:val="000000" w:themeColor="text1"/>
          <w:sz w:val="20"/>
          <w:szCs w:val="20"/>
        </w:rPr>
        <w:t>critically reflects on</w:t>
      </w:r>
      <w:r w:rsidR="00C9089C" w:rsidRPr="000E262D">
        <w:rPr>
          <w:rFonts w:ascii="Times New Roman" w:hAnsi="Times New Roman" w:cs="Times New Roman"/>
          <w:color w:val="000000" w:themeColor="text1"/>
          <w:sz w:val="20"/>
          <w:szCs w:val="20"/>
        </w:rPr>
        <w:t xml:space="preserve"> the </w:t>
      </w:r>
      <w:r w:rsidR="00C5763A" w:rsidRPr="000E262D">
        <w:rPr>
          <w:rFonts w:ascii="Times New Roman" w:hAnsi="Times New Roman" w:cs="Times New Roman"/>
          <w:color w:val="000000" w:themeColor="text1"/>
          <w:sz w:val="20"/>
          <w:szCs w:val="20"/>
        </w:rPr>
        <w:t>engagement</w:t>
      </w:r>
      <w:r w:rsidR="00C9089C" w:rsidRPr="000E262D">
        <w:rPr>
          <w:rFonts w:ascii="Times New Roman" w:hAnsi="Times New Roman" w:cs="Times New Roman"/>
          <w:color w:val="000000" w:themeColor="text1"/>
          <w:sz w:val="20"/>
          <w:szCs w:val="20"/>
        </w:rPr>
        <w:t xml:space="preserve"> between Normative Power Europe (Manners</w:t>
      </w:r>
      <w:r w:rsidR="00CC4D03" w:rsidRPr="000E262D">
        <w:rPr>
          <w:rFonts w:ascii="Times New Roman" w:hAnsi="Times New Roman" w:cs="Times New Roman"/>
          <w:color w:val="000000" w:themeColor="text1"/>
          <w:sz w:val="20"/>
          <w:szCs w:val="20"/>
        </w:rPr>
        <w:t>,</w:t>
      </w:r>
      <w:r w:rsidR="00C9089C" w:rsidRPr="000E262D">
        <w:rPr>
          <w:rFonts w:ascii="Times New Roman" w:hAnsi="Times New Roman" w:cs="Times New Roman"/>
          <w:color w:val="000000" w:themeColor="text1"/>
          <w:sz w:val="20"/>
          <w:szCs w:val="20"/>
        </w:rPr>
        <w:t xml:space="preserve"> 2002) and Market</w:t>
      </w:r>
      <w:r w:rsidR="00446CFF" w:rsidRPr="000E262D">
        <w:rPr>
          <w:rFonts w:ascii="Times New Roman" w:hAnsi="Times New Roman" w:cs="Times New Roman"/>
          <w:color w:val="000000" w:themeColor="text1"/>
          <w:sz w:val="20"/>
          <w:szCs w:val="20"/>
        </w:rPr>
        <w:t xml:space="preserve"> or </w:t>
      </w:r>
      <w:r w:rsidR="00C9089C" w:rsidRPr="000E262D">
        <w:rPr>
          <w:rFonts w:ascii="Times New Roman" w:hAnsi="Times New Roman" w:cs="Times New Roman"/>
          <w:color w:val="000000" w:themeColor="text1"/>
          <w:sz w:val="20"/>
          <w:szCs w:val="20"/>
        </w:rPr>
        <w:t>Regulatory Power Europe (</w:t>
      </w:r>
      <w:proofErr w:type="spellStart"/>
      <w:r w:rsidR="00C9089C" w:rsidRPr="000E262D">
        <w:rPr>
          <w:rFonts w:ascii="Times New Roman" w:hAnsi="Times New Roman" w:cs="Times New Roman"/>
          <w:color w:val="000000" w:themeColor="text1"/>
          <w:sz w:val="20"/>
          <w:szCs w:val="20"/>
        </w:rPr>
        <w:t>Damro</w:t>
      </w:r>
      <w:proofErr w:type="spellEnd"/>
      <w:r w:rsidR="00C9089C" w:rsidRPr="000E262D">
        <w:rPr>
          <w:rFonts w:ascii="Times New Roman" w:hAnsi="Times New Roman" w:cs="Times New Roman"/>
          <w:color w:val="000000" w:themeColor="text1"/>
          <w:sz w:val="20"/>
          <w:szCs w:val="20"/>
        </w:rPr>
        <w:t xml:space="preserve"> 2015; Young 2015)</w:t>
      </w:r>
      <w:r w:rsidR="00C5763A" w:rsidRPr="000E262D">
        <w:rPr>
          <w:rFonts w:ascii="Times New Roman" w:hAnsi="Times New Roman" w:cs="Times New Roman"/>
          <w:color w:val="000000" w:themeColor="text1"/>
          <w:sz w:val="20"/>
          <w:szCs w:val="20"/>
        </w:rPr>
        <w:t xml:space="preserve">. It argues that the EU’s diffusion of market-related norms and policies in ASEAN serves as a telling example </w:t>
      </w:r>
      <w:r w:rsidR="004679D9" w:rsidRPr="000E262D">
        <w:rPr>
          <w:rFonts w:ascii="Times New Roman" w:hAnsi="Times New Roman" w:cs="Times New Roman"/>
          <w:color w:val="000000" w:themeColor="text1"/>
          <w:sz w:val="20"/>
          <w:szCs w:val="20"/>
        </w:rPr>
        <w:t xml:space="preserve">of the </w:t>
      </w:r>
      <w:r w:rsidR="00C9089C" w:rsidRPr="000E262D">
        <w:rPr>
          <w:rFonts w:ascii="Times New Roman" w:hAnsi="Times New Roman" w:cs="Times New Roman"/>
          <w:color w:val="000000" w:themeColor="text1"/>
          <w:sz w:val="20"/>
          <w:szCs w:val="20"/>
        </w:rPr>
        <w:t>EU’s</w:t>
      </w:r>
      <w:r w:rsidR="004679D9" w:rsidRPr="000E262D">
        <w:rPr>
          <w:rFonts w:ascii="Times New Roman" w:hAnsi="Times New Roman" w:cs="Times New Roman"/>
          <w:color w:val="000000" w:themeColor="text1"/>
          <w:sz w:val="20"/>
          <w:szCs w:val="20"/>
        </w:rPr>
        <w:t xml:space="preserve"> projection of</w:t>
      </w:r>
      <w:r w:rsidR="00C9089C" w:rsidRPr="000E262D">
        <w:rPr>
          <w:rFonts w:ascii="Times New Roman" w:hAnsi="Times New Roman" w:cs="Times New Roman"/>
          <w:color w:val="000000" w:themeColor="text1"/>
          <w:sz w:val="20"/>
          <w:szCs w:val="20"/>
        </w:rPr>
        <w:t xml:space="preserve"> normative and market</w:t>
      </w:r>
      <w:r w:rsidR="004679D9" w:rsidRPr="000E262D">
        <w:rPr>
          <w:rFonts w:ascii="Times New Roman" w:hAnsi="Times New Roman" w:cs="Times New Roman"/>
          <w:color w:val="000000" w:themeColor="text1"/>
          <w:sz w:val="20"/>
          <w:szCs w:val="20"/>
        </w:rPr>
        <w:t>/</w:t>
      </w:r>
      <w:r w:rsidR="00C9089C" w:rsidRPr="000E262D">
        <w:rPr>
          <w:rFonts w:ascii="Times New Roman" w:hAnsi="Times New Roman" w:cs="Times New Roman"/>
          <w:color w:val="000000" w:themeColor="text1"/>
          <w:sz w:val="20"/>
          <w:szCs w:val="20"/>
        </w:rPr>
        <w:t xml:space="preserve">regulatory power in external relations. Second, the paper </w:t>
      </w:r>
      <w:r w:rsidR="004679D9" w:rsidRPr="000E262D">
        <w:rPr>
          <w:rFonts w:ascii="Times New Roman" w:hAnsi="Times New Roman" w:cs="Times New Roman"/>
          <w:color w:val="000000" w:themeColor="text1"/>
          <w:sz w:val="20"/>
          <w:szCs w:val="20"/>
        </w:rPr>
        <w:t>responds to an increasing volume of empirical research on the EU’s norm diffusion in ASEAN (Allison 2015; Murray 2015). Drawing on a wide range of primary data, this research advances our understanding of the processes and mechanisms of EU diffusion of market-related norms and policy-settings</w:t>
      </w:r>
      <w:r w:rsidR="0016776F" w:rsidRPr="000E262D">
        <w:rPr>
          <w:rFonts w:ascii="Times New Roman" w:hAnsi="Times New Roman" w:cs="Times New Roman"/>
          <w:color w:val="000000" w:themeColor="text1"/>
          <w:sz w:val="20"/>
          <w:szCs w:val="20"/>
        </w:rPr>
        <w:t xml:space="preserve"> </w:t>
      </w:r>
      <w:r w:rsidR="0016776F" w:rsidRPr="000E262D">
        <w:rPr>
          <w:rFonts w:ascii="Times New Roman" w:hAnsi="Times New Roman" w:cs="Times New Roman"/>
          <w:color w:val="000000" w:themeColor="text1"/>
          <w:sz w:val="20"/>
          <w:szCs w:val="20"/>
          <w:lang w:val="en-US"/>
        </w:rPr>
        <w:t>in ASEAN</w:t>
      </w:r>
      <w:r w:rsidR="004679D9" w:rsidRPr="000E262D">
        <w:rPr>
          <w:rFonts w:ascii="Times New Roman" w:hAnsi="Times New Roman" w:cs="Times New Roman"/>
          <w:color w:val="000000" w:themeColor="text1"/>
          <w:sz w:val="20"/>
          <w:szCs w:val="20"/>
        </w:rPr>
        <w:t xml:space="preserve">. </w:t>
      </w:r>
      <w:r w:rsidR="00C5763A" w:rsidRPr="000E262D">
        <w:rPr>
          <w:rFonts w:ascii="Times New Roman" w:hAnsi="Times New Roman" w:cs="Times New Roman"/>
          <w:color w:val="000000" w:themeColor="text1"/>
          <w:sz w:val="20"/>
          <w:szCs w:val="20"/>
        </w:rPr>
        <w:t>Third, this study</w:t>
      </w:r>
      <w:r w:rsidR="003709CE" w:rsidRPr="000E262D">
        <w:rPr>
          <w:rFonts w:ascii="Times New Roman" w:hAnsi="Times New Roman" w:cs="Times New Roman"/>
          <w:color w:val="000000" w:themeColor="text1"/>
          <w:sz w:val="20"/>
          <w:szCs w:val="20"/>
        </w:rPr>
        <w:t xml:space="preserve"> seeks to measure the effectiveness of EU </w:t>
      </w:r>
      <w:r w:rsidR="00FC39F1" w:rsidRPr="000E262D">
        <w:rPr>
          <w:rFonts w:ascii="Times New Roman" w:hAnsi="Times New Roman" w:cs="Times New Roman"/>
          <w:color w:val="000000" w:themeColor="text1"/>
          <w:sz w:val="20"/>
          <w:szCs w:val="20"/>
        </w:rPr>
        <w:t>externalization</w:t>
      </w:r>
      <w:r w:rsidR="003709CE" w:rsidRPr="000E262D">
        <w:rPr>
          <w:rFonts w:ascii="Times New Roman" w:hAnsi="Times New Roman" w:cs="Times New Roman"/>
          <w:color w:val="000000" w:themeColor="text1"/>
          <w:sz w:val="20"/>
          <w:szCs w:val="20"/>
        </w:rPr>
        <w:t xml:space="preserve"> – a factor that remains underexplored in the mainstream literature on the EU’s normative or market power. </w:t>
      </w:r>
    </w:p>
    <w:p w14:paraId="6C629D36" w14:textId="77777777" w:rsidR="00D020BD" w:rsidRPr="000E262D" w:rsidRDefault="00D020BD" w:rsidP="008A7331">
      <w:pPr>
        <w:rPr>
          <w:rFonts w:ascii="Times New Roman" w:hAnsi="Times New Roman" w:cs="Times New Roman"/>
          <w:color w:val="000000" w:themeColor="text1"/>
          <w:sz w:val="20"/>
          <w:szCs w:val="20"/>
        </w:rPr>
      </w:pPr>
    </w:p>
    <w:p w14:paraId="1E36039A" w14:textId="1465A36A" w:rsidR="002B2D3F" w:rsidRPr="000E262D" w:rsidRDefault="00D020BD"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Among a rich </w:t>
      </w:r>
      <w:r w:rsidR="00F72F89" w:rsidRPr="000E262D">
        <w:rPr>
          <w:rFonts w:ascii="Times New Roman" w:hAnsi="Times New Roman" w:cs="Times New Roman"/>
          <w:color w:val="000000" w:themeColor="text1"/>
          <w:sz w:val="20"/>
          <w:szCs w:val="20"/>
        </w:rPr>
        <w:t xml:space="preserve">diversity of scholarly contributions, the concept of Normative Power Europe </w:t>
      </w:r>
      <w:r w:rsidR="007F59BE" w:rsidRPr="000E262D">
        <w:rPr>
          <w:rFonts w:ascii="Times New Roman" w:hAnsi="Times New Roman" w:cs="Times New Roman"/>
          <w:color w:val="000000" w:themeColor="text1"/>
          <w:sz w:val="20"/>
          <w:szCs w:val="20"/>
        </w:rPr>
        <w:t xml:space="preserve">(NPE) </w:t>
      </w:r>
      <w:r w:rsidR="00F72F89" w:rsidRPr="000E262D">
        <w:rPr>
          <w:rFonts w:ascii="Times New Roman" w:hAnsi="Times New Roman" w:cs="Times New Roman"/>
          <w:color w:val="000000" w:themeColor="text1"/>
          <w:sz w:val="20"/>
          <w:szCs w:val="20"/>
        </w:rPr>
        <w:t xml:space="preserve">stands </w:t>
      </w:r>
      <w:r w:rsidR="00F72F89" w:rsidRPr="000E262D">
        <w:rPr>
          <w:rFonts w:ascii="Times New Roman" w:hAnsi="Times New Roman" w:cs="Times New Roman"/>
          <w:color w:val="000000" w:themeColor="text1"/>
          <w:sz w:val="20"/>
          <w:szCs w:val="20"/>
        </w:rPr>
        <w:lastRenderedPageBreak/>
        <w:t>out as one of the most influential approaches to understand the EU’s global power</w:t>
      </w:r>
      <w:r w:rsidR="0083193F" w:rsidRPr="000E262D">
        <w:rPr>
          <w:rFonts w:ascii="Times New Roman" w:hAnsi="Times New Roman" w:cs="Times New Roman"/>
          <w:color w:val="000000" w:themeColor="text1"/>
          <w:sz w:val="20"/>
          <w:szCs w:val="20"/>
        </w:rPr>
        <w:t xml:space="preserve"> (Manners 2002; Pace 20</w:t>
      </w:r>
      <w:r w:rsidR="008A7331" w:rsidRPr="000E262D">
        <w:rPr>
          <w:rFonts w:ascii="Times New Roman" w:hAnsi="Times New Roman" w:cs="Times New Roman"/>
          <w:color w:val="000000" w:themeColor="text1"/>
          <w:sz w:val="20"/>
          <w:szCs w:val="20"/>
        </w:rPr>
        <w:t>13</w:t>
      </w:r>
      <w:r w:rsidR="0083193F" w:rsidRPr="000E262D">
        <w:rPr>
          <w:rFonts w:ascii="Times New Roman" w:hAnsi="Times New Roman" w:cs="Times New Roman"/>
          <w:color w:val="000000" w:themeColor="text1"/>
          <w:sz w:val="20"/>
          <w:szCs w:val="20"/>
        </w:rPr>
        <w:t>; Larsen 2014)</w:t>
      </w:r>
      <w:r w:rsidR="00F72F89" w:rsidRPr="000E262D">
        <w:rPr>
          <w:rFonts w:ascii="Times New Roman" w:hAnsi="Times New Roman" w:cs="Times New Roman"/>
          <w:color w:val="000000" w:themeColor="text1"/>
          <w:sz w:val="20"/>
          <w:szCs w:val="20"/>
        </w:rPr>
        <w:t xml:space="preserve">. </w:t>
      </w:r>
      <w:r w:rsidR="007B0537" w:rsidRPr="000E262D">
        <w:rPr>
          <w:rFonts w:ascii="Times New Roman" w:hAnsi="Times New Roman" w:cs="Times New Roman"/>
          <w:color w:val="000000" w:themeColor="text1"/>
          <w:sz w:val="20"/>
          <w:szCs w:val="20"/>
        </w:rPr>
        <w:t xml:space="preserve">In his </w:t>
      </w:r>
      <w:r w:rsidR="007F59BE" w:rsidRPr="000E262D">
        <w:rPr>
          <w:rFonts w:ascii="Times New Roman" w:hAnsi="Times New Roman" w:cs="Times New Roman"/>
          <w:color w:val="000000" w:themeColor="text1"/>
          <w:sz w:val="20"/>
          <w:szCs w:val="20"/>
        </w:rPr>
        <w:t>original formulation of</w:t>
      </w:r>
      <w:r w:rsidR="008F0961" w:rsidRPr="000E262D">
        <w:rPr>
          <w:rFonts w:ascii="Times New Roman" w:hAnsi="Times New Roman" w:cs="Times New Roman"/>
          <w:color w:val="000000" w:themeColor="text1"/>
          <w:sz w:val="20"/>
          <w:szCs w:val="20"/>
        </w:rPr>
        <w:t xml:space="preserve"> NPE</w:t>
      </w:r>
      <w:r w:rsidR="007B0537" w:rsidRPr="000E262D">
        <w:rPr>
          <w:rFonts w:ascii="Times New Roman" w:hAnsi="Times New Roman" w:cs="Times New Roman"/>
          <w:color w:val="000000" w:themeColor="text1"/>
          <w:sz w:val="20"/>
          <w:szCs w:val="20"/>
        </w:rPr>
        <w:t>, Manners</w:t>
      </w:r>
      <w:r w:rsidR="00087505" w:rsidRPr="000E262D">
        <w:rPr>
          <w:rFonts w:ascii="Times New Roman" w:hAnsi="Times New Roman" w:cs="Times New Roman"/>
          <w:color w:val="000000" w:themeColor="text1"/>
          <w:sz w:val="20"/>
          <w:szCs w:val="20"/>
        </w:rPr>
        <w:t xml:space="preserve"> </w:t>
      </w:r>
      <w:r w:rsidR="008F0961" w:rsidRPr="000E262D">
        <w:rPr>
          <w:rFonts w:ascii="Times New Roman" w:hAnsi="Times New Roman" w:cs="Times New Roman"/>
          <w:color w:val="000000" w:themeColor="text1"/>
          <w:sz w:val="20"/>
          <w:szCs w:val="20"/>
        </w:rPr>
        <w:t xml:space="preserve">refutes the realist and </w:t>
      </w:r>
      <w:r w:rsidR="00F72F89" w:rsidRPr="000E262D">
        <w:rPr>
          <w:rFonts w:ascii="Times New Roman" w:hAnsi="Times New Roman" w:cs="Times New Roman"/>
          <w:color w:val="000000" w:themeColor="text1"/>
          <w:sz w:val="20"/>
          <w:szCs w:val="20"/>
        </w:rPr>
        <w:t xml:space="preserve">agency-based approaches to EU external relations and </w:t>
      </w:r>
      <w:r w:rsidR="007B0537" w:rsidRPr="000E262D">
        <w:rPr>
          <w:rFonts w:ascii="Times New Roman" w:hAnsi="Times New Roman" w:cs="Times New Roman"/>
          <w:color w:val="000000" w:themeColor="text1"/>
          <w:sz w:val="20"/>
          <w:szCs w:val="20"/>
        </w:rPr>
        <w:t xml:space="preserve">contends that the uniqueness of the EU’s global role lies in the </w:t>
      </w:r>
      <w:r w:rsidR="00087505" w:rsidRPr="000E262D">
        <w:rPr>
          <w:rFonts w:ascii="Times New Roman" w:hAnsi="Times New Roman" w:cs="Times New Roman"/>
          <w:color w:val="000000" w:themeColor="text1"/>
          <w:sz w:val="20"/>
          <w:szCs w:val="20"/>
        </w:rPr>
        <w:t>u</w:t>
      </w:r>
      <w:r w:rsidR="007B0537" w:rsidRPr="000E262D">
        <w:rPr>
          <w:rFonts w:ascii="Times New Roman" w:hAnsi="Times New Roman" w:cs="Times New Roman"/>
          <w:color w:val="000000" w:themeColor="text1"/>
          <w:sz w:val="20"/>
          <w:szCs w:val="20"/>
        </w:rPr>
        <w:t xml:space="preserve">nion’s ideational power–namely its </w:t>
      </w:r>
      <w:r w:rsidR="000A64EE" w:rsidRPr="000E262D">
        <w:rPr>
          <w:rFonts w:ascii="Times New Roman" w:hAnsi="Times New Roman" w:cs="Times New Roman"/>
          <w:color w:val="000000" w:themeColor="text1"/>
          <w:sz w:val="20"/>
          <w:szCs w:val="20"/>
        </w:rPr>
        <w:t>“</w:t>
      </w:r>
      <w:r w:rsidR="007B0537" w:rsidRPr="000E262D">
        <w:rPr>
          <w:rFonts w:ascii="Times New Roman" w:hAnsi="Times New Roman" w:cs="Times New Roman"/>
          <w:color w:val="000000" w:themeColor="text1"/>
          <w:sz w:val="20"/>
          <w:szCs w:val="20"/>
        </w:rPr>
        <w:t xml:space="preserve">ability to shape conceptions of </w:t>
      </w:r>
      <w:r w:rsidR="000A64EE" w:rsidRPr="000E262D">
        <w:rPr>
          <w:rFonts w:ascii="Times New Roman" w:hAnsi="Times New Roman" w:cs="Times New Roman"/>
          <w:color w:val="000000" w:themeColor="text1"/>
          <w:sz w:val="20"/>
          <w:szCs w:val="20"/>
        </w:rPr>
        <w:t>‘</w:t>
      </w:r>
      <w:r w:rsidR="007B0537" w:rsidRPr="000E262D">
        <w:rPr>
          <w:rFonts w:ascii="Times New Roman" w:hAnsi="Times New Roman" w:cs="Times New Roman"/>
          <w:color w:val="000000" w:themeColor="text1"/>
          <w:sz w:val="20"/>
          <w:szCs w:val="20"/>
        </w:rPr>
        <w:t>normal</w:t>
      </w:r>
      <w:r w:rsidR="000A64EE" w:rsidRPr="000E262D">
        <w:rPr>
          <w:rFonts w:ascii="Times New Roman" w:hAnsi="Times New Roman" w:cs="Times New Roman"/>
          <w:color w:val="000000" w:themeColor="text1"/>
          <w:sz w:val="20"/>
          <w:szCs w:val="20"/>
        </w:rPr>
        <w:t xml:space="preserve">’ </w:t>
      </w:r>
      <w:r w:rsidR="007B0537" w:rsidRPr="000E262D">
        <w:rPr>
          <w:rFonts w:ascii="Times New Roman" w:hAnsi="Times New Roman" w:cs="Times New Roman"/>
          <w:color w:val="000000" w:themeColor="text1"/>
          <w:sz w:val="20"/>
          <w:szCs w:val="20"/>
        </w:rPr>
        <w:t xml:space="preserve">in international </w:t>
      </w:r>
      <w:r w:rsidR="000A64EE" w:rsidRPr="000E262D">
        <w:rPr>
          <w:rFonts w:ascii="Times New Roman" w:hAnsi="Times New Roman" w:cs="Times New Roman"/>
          <w:color w:val="000000" w:themeColor="text1"/>
          <w:sz w:val="20"/>
          <w:szCs w:val="20"/>
        </w:rPr>
        <w:t>relations”</w:t>
      </w:r>
      <w:r w:rsidR="00F36A2A" w:rsidRPr="000E262D">
        <w:rPr>
          <w:rFonts w:ascii="Times New Roman" w:hAnsi="Times New Roman" w:cs="Times New Roman"/>
          <w:color w:val="000000" w:themeColor="text1"/>
          <w:sz w:val="20"/>
          <w:szCs w:val="20"/>
        </w:rPr>
        <w:t xml:space="preserve"> (2002:239)</w:t>
      </w:r>
      <w:r w:rsidR="007B0537" w:rsidRPr="000E262D">
        <w:rPr>
          <w:rFonts w:ascii="Times New Roman" w:hAnsi="Times New Roman" w:cs="Times New Roman"/>
          <w:color w:val="000000" w:themeColor="text1"/>
          <w:sz w:val="20"/>
          <w:szCs w:val="20"/>
        </w:rPr>
        <w:t xml:space="preserve">. </w:t>
      </w:r>
      <w:r w:rsidR="007F59BE" w:rsidRPr="000E262D">
        <w:rPr>
          <w:rFonts w:ascii="Times New Roman" w:hAnsi="Times New Roman" w:cs="Times New Roman"/>
          <w:color w:val="000000" w:themeColor="text1"/>
          <w:sz w:val="20"/>
          <w:szCs w:val="20"/>
        </w:rPr>
        <w:t xml:space="preserve">According to </w:t>
      </w:r>
      <w:proofErr w:type="spellStart"/>
      <w:r w:rsidR="007F59BE" w:rsidRPr="000E262D">
        <w:rPr>
          <w:rFonts w:ascii="Times New Roman" w:hAnsi="Times New Roman" w:cs="Times New Roman"/>
          <w:color w:val="000000" w:themeColor="text1"/>
          <w:sz w:val="20"/>
          <w:szCs w:val="20"/>
        </w:rPr>
        <w:t>Manners</w:t>
      </w:r>
      <w:r w:rsidR="003709CE" w:rsidRPr="000E262D">
        <w:rPr>
          <w:rFonts w:ascii="Times New Roman" w:hAnsi="Times New Roman" w:cs="Times New Roman"/>
          <w:color w:val="000000" w:themeColor="text1"/>
          <w:sz w:val="20"/>
          <w:szCs w:val="20"/>
        </w:rPr>
        <w:t>’s</w:t>
      </w:r>
      <w:proofErr w:type="spellEnd"/>
      <w:r w:rsidR="003709CE" w:rsidRPr="000E262D">
        <w:rPr>
          <w:rFonts w:ascii="Times New Roman" w:hAnsi="Times New Roman" w:cs="Times New Roman"/>
          <w:color w:val="000000" w:themeColor="text1"/>
          <w:sz w:val="20"/>
          <w:szCs w:val="20"/>
        </w:rPr>
        <w:t xml:space="preserve"> initial definition of NPE</w:t>
      </w:r>
      <w:r w:rsidR="00275CEC" w:rsidRPr="000E262D">
        <w:rPr>
          <w:rFonts w:ascii="Times New Roman" w:hAnsi="Times New Roman" w:cs="Times New Roman"/>
          <w:color w:val="000000" w:themeColor="text1"/>
          <w:sz w:val="20"/>
          <w:szCs w:val="20"/>
        </w:rPr>
        <w:t xml:space="preserve">, </w:t>
      </w:r>
      <w:r w:rsidR="003709CE" w:rsidRPr="000E262D">
        <w:rPr>
          <w:rFonts w:ascii="Times New Roman" w:hAnsi="Times New Roman" w:cs="Times New Roman"/>
          <w:color w:val="000000" w:themeColor="text1"/>
          <w:sz w:val="20"/>
          <w:szCs w:val="20"/>
        </w:rPr>
        <w:t>the source of the Union’s normative power</w:t>
      </w:r>
      <w:r w:rsidR="00275CEC" w:rsidRPr="000E262D">
        <w:rPr>
          <w:rFonts w:ascii="Times New Roman" w:hAnsi="Times New Roman" w:cs="Times New Roman"/>
          <w:color w:val="000000" w:themeColor="text1"/>
          <w:sz w:val="20"/>
          <w:szCs w:val="20"/>
        </w:rPr>
        <w:t xml:space="preserve"> derives from the </w:t>
      </w:r>
      <w:r w:rsidR="003709CE" w:rsidRPr="000E262D">
        <w:rPr>
          <w:rFonts w:ascii="Times New Roman" w:hAnsi="Times New Roman" w:cs="Times New Roman"/>
          <w:color w:val="000000" w:themeColor="text1"/>
          <w:sz w:val="20"/>
          <w:szCs w:val="20"/>
        </w:rPr>
        <w:t>EU’s</w:t>
      </w:r>
      <w:r w:rsidR="00275CEC" w:rsidRPr="000E262D">
        <w:rPr>
          <w:rFonts w:ascii="Times New Roman" w:hAnsi="Times New Roman" w:cs="Times New Roman"/>
          <w:color w:val="000000" w:themeColor="text1"/>
          <w:sz w:val="20"/>
          <w:szCs w:val="20"/>
        </w:rPr>
        <w:t xml:space="preserve"> embracement of </w:t>
      </w:r>
      <w:r w:rsidR="00223AB3" w:rsidRPr="000E262D">
        <w:rPr>
          <w:rFonts w:ascii="Times New Roman" w:hAnsi="Times New Roman" w:cs="Times New Roman"/>
          <w:color w:val="000000" w:themeColor="text1"/>
          <w:sz w:val="20"/>
          <w:szCs w:val="20"/>
        </w:rPr>
        <w:t xml:space="preserve">a set of universal values </w:t>
      </w:r>
      <w:r w:rsidR="003709CE" w:rsidRPr="000E262D">
        <w:rPr>
          <w:rFonts w:ascii="Times New Roman" w:hAnsi="Times New Roman" w:cs="Times New Roman"/>
          <w:color w:val="000000" w:themeColor="text1"/>
          <w:sz w:val="20"/>
          <w:szCs w:val="20"/>
        </w:rPr>
        <w:t xml:space="preserve">including five ‘core’ norms (peace, liberty, </w:t>
      </w:r>
      <w:r w:rsidR="00457232" w:rsidRPr="000E262D">
        <w:rPr>
          <w:rFonts w:ascii="Times New Roman" w:hAnsi="Times New Roman" w:cs="Times New Roman"/>
          <w:color w:val="000000" w:themeColor="text1"/>
          <w:sz w:val="20"/>
          <w:szCs w:val="20"/>
        </w:rPr>
        <w:t xml:space="preserve">democracy, rule of law, human rights) and four ‘minor’ norms (social solidarity, anti-discrimination, sustainable development, good governance) (Manners 2002:242-3). Interestingly, </w:t>
      </w:r>
      <w:proofErr w:type="spellStart"/>
      <w:r w:rsidR="00457232" w:rsidRPr="000E262D">
        <w:rPr>
          <w:rFonts w:ascii="Times New Roman" w:hAnsi="Times New Roman" w:cs="Times New Roman"/>
          <w:color w:val="000000" w:themeColor="text1"/>
          <w:sz w:val="20"/>
          <w:szCs w:val="20"/>
        </w:rPr>
        <w:t>Manners’s</w:t>
      </w:r>
      <w:proofErr w:type="spellEnd"/>
      <w:r w:rsidR="00457232" w:rsidRPr="000E262D">
        <w:rPr>
          <w:rFonts w:ascii="Times New Roman" w:hAnsi="Times New Roman" w:cs="Times New Roman"/>
          <w:color w:val="000000" w:themeColor="text1"/>
          <w:sz w:val="20"/>
          <w:szCs w:val="20"/>
        </w:rPr>
        <w:t xml:space="preserve"> early definition of normative power did not explicitly include the discussion on the Union’s externalisation of market-related norms. </w:t>
      </w:r>
    </w:p>
    <w:p w14:paraId="1934DC7A" w14:textId="77777777" w:rsidR="00455145" w:rsidRPr="000E262D" w:rsidRDefault="00455145" w:rsidP="008A7331">
      <w:pPr>
        <w:rPr>
          <w:rFonts w:ascii="Times New Roman" w:hAnsi="Times New Roman" w:cs="Times New Roman"/>
          <w:color w:val="000000" w:themeColor="text1"/>
          <w:sz w:val="20"/>
          <w:szCs w:val="20"/>
        </w:rPr>
      </w:pPr>
    </w:p>
    <w:p w14:paraId="1BFAEA45" w14:textId="0AF2454A" w:rsidR="00455145" w:rsidRPr="000E262D" w:rsidRDefault="00DF6D17"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Whereas</w:t>
      </w:r>
      <w:r w:rsidR="000E5517" w:rsidRPr="000E262D">
        <w:rPr>
          <w:rFonts w:ascii="Times New Roman" w:hAnsi="Times New Roman" w:cs="Times New Roman"/>
          <w:color w:val="000000" w:themeColor="text1"/>
          <w:sz w:val="20"/>
          <w:szCs w:val="20"/>
        </w:rPr>
        <w:t xml:space="preserve"> NPE</w:t>
      </w:r>
      <w:r w:rsidR="00457232" w:rsidRPr="000E262D">
        <w:rPr>
          <w:rFonts w:ascii="Times New Roman" w:hAnsi="Times New Roman" w:cs="Times New Roman"/>
          <w:color w:val="000000" w:themeColor="text1"/>
          <w:sz w:val="20"/>
          <w:szCs w:val="20"/>
        </w:rPr>
        <w:t xml:space="preserve"> literature as prioritised the EU’s promotion of “universal legal cosmopolitan values” (Parker and Rosamond 2013:232)</w:t>
      </w:r>
      <w:r w:rsidR="00457232" w:rsidRPr="000E262D">
        <w:rPr>
          <w:rStyle w:val="a7"/>
          <w:rFonts w:ascii="Times New Roman" w:hAnsi="Times New Roman" w:cs="Times New Roman"/>
          <w:color w:val="000000" w:themeColor="text1"/>
          <w:sz w:val="20"/>
          <w:szCs w:val="20"/>
        </w:rPr>
        <w:footnoteReference w:id="1"/>
      </w:r>
      <w:r w:rsidR="000E5517" w:rsidRPr="000E262D">
        <w:rPr>
          <w:rFonts w:ascii="Times New Roman" w:hAnsi="Times New Roman" w:cs="Times New Roman"/>
          <w:color w:val="000000" w:themeColor="text1"/>
          <w:sz w:val="20"/>
          <w:szCs w:val="20"/>
        </w:rPr>
        <w:t>, the concept of Market Power Europe</w:t>
      </w:r>
      <w:r w:rsidR="00295B4C" w:rsidRPr="000E262D">
        <w:rPr>
          <w:rFonts w:ascii="Times New Roman" w:hAnsi="Times New Roman" w:cs="Times New Roman"/>
          <w:color w:val="000000" w:themeColor="text1"/>
          <w:sz w:val="20"/>
          <w:szCs w:val="20"/>
        </w:rPr>
        <w:t xml:space="preserve"> (MPE)</w:t>
      </w:r>
      <w:r w:rsidR="000E5517" w:rsidRPr="000E262D">
        <w:rPr>
          <w:rFonts w:ascii="Times New Roman" w:hAnsi="Times New Roman" w:cs="Times New Roman"/>
          <w:color w:val="000000" w:themeColor="text1"/>
          <w:sz w:val="20"/>
          <w:szCs w:val="20"/>
        </w:rPr>
        <w:t xml:space="preserve"> proposed by </w:t>
      </w:r>
      <w:proofErr w:type="spellStart"/>
      <w:r w:rsidR="000E5517" w:rsidRPr="000E262D">
        <w:rPr>
          <w:rFonts w:ascii="Times New Roman" w:hAnsi="Times New Roman" w:cs="Times New Roman"/>
          <w:color w:val="000000" w:themeColor="text1"/>
          <w:sz w:val="20"/>
          <w:szCs w:val="20"/>
        </w:rPr>
        <w:t>Damro</w:t>
      </w:r>
      <w:proofErr w:type="spellEnd"/>
      <w:r w:rsidR="000E5517" w:rsidRPr="000E262D">
        <w:rPr>
          <w:rFonts w:ascii="Times New Roman" w:hAnsi="Times New Roman" w:cs="Times New Roman"/>
          <w:color w:val="000000" w:themeColor="text1"/>
          <w:sz w:val="20"/>
          <w:szCs w:val="20"/>
        </w:rPr>
        <w:t xml:space="preserve"> (201</w:t>
      </w:r>
      <w:r w:rsidR="00510908" w:rsidRPr="000E262D">
        <w:rPr>
          <w:rFonts w:ascii="Times New Roman" w:hAnsi="Times New Roman" w:cs="Times New Roman"/>
          <w:color w:val="000000" w:themeColor="text1"/>
          <w:sz w:val="20"/>
          <w:szCs w:val="20"/>
        </w:rPr>
        <w:t>5</w:t>
      </w:r>
      <w:r w:rsidR="000E5517" w:rsidRPr="000E262D">
        <w:rPr>
          <w:rFonts w:ascii="Times New Roman" w:hAnsi="Times New Roman" w:cs="Times New Roman"/>
          <w:color w:val="000000" w:themeColor="text1"/>
          <w:sz w:val="20"/>
          <w:szCs w:val="20"/>
        </w:rPr>
        <w:t xml:space="preserve">) suggests that the EU’s identity and international actorness are based on the material existence of </w:t>
      </w:r>
      <w:r w:rsidR="00295B4C" w:rsidRPr="000E262D">
        <w:rPr>
          <w:rFonts w:ascii="Times New Roman" w:hAnsi="Times New Roman" w:cs="Times New Roman"/>
          <w:color w:val="000000" w:themeColor="text1"/>
          <w:sz w:val="20"/>
          <w:szCs w:val="20"/>
        </w:rPr>
        <w:t xml:space="preserve">the </w:t>
      </w:r>
      <w:r w:rsidR="000E5517" w:rsidRPr="000E262D">
        <w:rPr>
          <w:rFonts w:ascii="Times New Roman" w:hAnsi="Times New Roman" w:cs="Times New Roman"/>
          <w:color w:val="000000" w:themeColor="text1"/>
          <w:sz w:val="20"/>
          <w:szCs w:val="20"/>
        </w:rPr>
        <w:t xml:space="preserve">EU single market as well as </w:t>
      </w:r>
      <w:r w:rsidR="009439FB" w:rsidRPr="000E262D">
        <w:rPr>
          <w:rFonts w:ascii="Times New Roman" w:hAnsi="Times New Roman" w:cs="Times New Roman"/>
          <w:color w:val="000000" w:themeColor="text1"/>
          <w:sz w:val="20"/>
          <w:szCs w:val="20"/>
        </w:rPr>
        <w:t xml:space="preserve">the </w:t>
      </w:r>
      <w:r w:rsidR="005B598A" w:rsidRPr="000E262D">
        <w:rPr>
          <w:rFonts w:ascii="Times New Roman" w:hAnsi="Times New Roman" w:cs="Times New Roman"/>
          <w:color w:val="000000" w:themeColor="text1"/>
          <w:sz w:val="20"/>
          <w:szCs w:val="20"/>
        </w:rPr>
        <w:t>u</w:t>
      </w:r>
      <w:r w:rsidR="009439FB" w:rsidRPr="000E262D">
        <w:rPr>
          <w:rFonts w:ascii="Times New Roman" w:hAnsi="Times New Roman" w:cs="Times New Roman"/>
          <w:color w:val="000000" w:themeColor="text1"/>
          <w:sz w:val="20"/>
          <w:szCs w:val="20"/>
        </w:rPr>
        <w:t>nion’s</w:t>
      </w:r>
      <w:r w:rsidR="000E5517" w:rsidRPr="000E262D">
        <w:rPr>
          <w:rFonts w:ascii="Times New Roman" w:hAnsi="Times New Roman" w:cs="Times New Roman"/>
          <w:color w:val="000000" w:themeColor="text1"/>
          <w:sz w:val="20"/>
          <w:szCs w:val="20"/>
        </w:rPr>
        <w:t xml:space="preserve"> ability to externalize its economic and market-related policies and regulatory measures (</w:t>
      </w:r>
      <w:proofErr w:type="spellStart"/>
      <w:r w:rsidR="000E5517" w:rsidRPr="000E262D">
        <w:rPr>
          <w:rFonts w:ascii="Times New Roman" w:hAnsi="Times New Roman" w:cs="Times New Roman"/>
          <w:color w:val="000000" w:themeColor="text1"/>
          <w:sz w:val="20"/>
          <w:szCs w:val="20"/>
        </w:rPr>
        <w:t>Damro</w:t>
      </w:r>
      <w:proofErr w:type="spellEnd"/>
      <w:r w:rsidR="000E5517" w:rsidRPr="000E262D">
        <w:rPr>
          <w:rFonts w:ascii="Times New Roman" w:hAnsi="Times New Roman" w:cs="Times New Roman"/>
          <w:color w:val="000000" w:themeColor="text1"/>
          <w:sz w:val="20"/>
          <w:szCs w:val="20"/>
        </w:rPr>
        <w:t xml:space="preserve"> 2015).</w:t>
      </w:r>
      <w:r w:rsidR="002F1969" w:rsidRPr="000E262D">
        <w:rPr>
          <w:rFonts w:ascii="Times New Roman" w:hAnsi="Times New Roman" w:cs="Times New Roman"/>
          <w:color w:val="000000" w:themeColor="text1"/>
          <w:sz w:val="20"/>
          <w:szCs w:val="20"/>
        </w:rPr>
        <w:t xml:space="preserve"> </w:t>
      </w:r>
      <w:r w:rsidR="006D117B" w:rsidRPr="000E262D">
        <w:rPr>
          <w:rFonts w:ascii="Times New Roman" w:hAnsi="Times New Roman" w:cs="Times New Roman"/>
          <w:color w:val="000000" w:themeColor="text1"/>
          <w:sz w:val="20"/>
          <w:szCs w:val="20"/>
        </w:rPr>
        <w:t xml:space="preserve">The major distinction between Manners’ NPE and the concept of MPE lies in the fact that these two approaches conceptualise the source of the EU’s power and identity differently. As </w:t>
      </w:r>
      <w:proofErr w:type="spellStart"/>
      <w:r w:rsidR="006D117B" w:rsidRPr="000E262D">
        <w:rPr>
          <w:rFonts w:ascii="Times New Roman" w:hAnsi="Times New Roman" w:cs="Times New Roman"/>
          <w:color w:val="000000" w:themeColor="text1"/>
          <w:sz w:val="20"/>
          <w:szCs w:val="20"/>
        </w:rPr>
        <w:t>Damro</w:t>
      </w:r>
      <w:proofErr w:type="spellEnd"/>
      <w:r w:rsidR="006D117B" w:rsidRPr="000E262D">
        <w:rPr>
          <w:rFonts w:ascii="Times New Roman" w:hAnsi="Times New Roman" w:cs="Times New Roman"/>
          <w:color w:val="000000" w:themeColor="text1"/>
          <w:sz w:val="20"/>
          <w:szCs w:val="20"/>
        </w:rPr>
        <w:t xml:space="preserve"> (2012:682) points out, MPE approach does not consider the EU as having ‘a particular or different normative identity in order to understand it as a power’. Rather, a</w:t>
      </w:r>
      <w:r w:rsidR="002F1969" w:rsidRPr="000E262D">
        <w:rPr>
          <w:rFonts w:ascii="Times New Roman" w:hAnsi="Times New Roman" w:cs="Times New Roman"/>
          <w:color w:val="000000" w:themeColor="text1"/>
          <w:sz w:val="20"/>
          <w:szCs w:val="20"/>
        </w:rPr>
        <w:t>ccording to</w:t>
      </w:r>
      <w:r w:rsidR="00295B4C" w:rsidRPr="000E262D">
        <w:rPr>
          <w:rFonts w:ascii="Times New Roman" w:hAnsi="Times New Roman" w:cs="Times New Roman"/>
          <w:color w:val="000000" w:themeColor="text1"/>
          <w:sz w:val="20"/>
          <w:szCs w:val="20"/>
        </w:rPr>
        <w:t xml:space="preserve"> </w:t>
      </w:r>
      <w:r w:rsidR="002F1969" w:rsidRPr="000E262D">
        <w:rPr>
          <w:rFonts w:ascii="Times New Roman" w:hAnsi="Times New Roman" w:cs="Times New Roman"/>
          <w:color w:val="000000" w:themeColor="text1"/>
          <w:sz w:val="20"/>
          <w:szCs w:val="20"/>
        </w:rPr>
        <w:t>MPE, the size of the internal market, the EU’s institutional features</w:t>
      </w:r>
      <w:r w:rsidR="00295B4C" w:rsidRPr="000E262D">
        <w:rPr>
          <w:rFonts w:ascii="Times New Roman" w:hAnsi="Times New Roman" w:cs="Times New Roman"/>
          <w:color w:val="000000" w:themeColor="text1"/>
          <w:sz w:val="20"/>
          <w:szCs w:val="20"/>
        </w:rPr>
        <w:t>,</w:t>
      </w:r>
      <w:r w:rsidR="002F1969" w:rsidRPr="000E262D">
        <w:rPr>
          <w:rFonts w:ascii="Times New Roman" w:hAnsi="Times New Roman" w:cs="Times New Roman"/>
          <w:color w:val="000000" w:themeColor="text1"/>
          <w:sz w:val="20"/>
          <w:szCs w:val="20"/>
        </w:rPr>
        <w:t xml:space="preserve"> which equip the </w:t>
      </w:r>
      <w:r w:rsidR="00BC558A" w:rsidRPr="000E262D">
        <w:rPr>
          <w:rFonts w:ascii="Times New Roman" w:hAnsi="Times New Roman" w:cs="Times New Roman"/>
          <w:color w:val="000000" w:themeColor="text1"/>
          <w:sz w:val="20"/>
          <w:szCs w:val="20"/>
        </w:rPr>
        <w:t>u</w:t>
      </w:r>
      <w:r w:rsidR="002F1969" w:rsidRPr="000E262D">
        <w:rPr>
          <w:rFonts w:ascii="Times New Roman" w:hAnsi="Times New Roman" w:cs="Times New Roman"/>
          <w:color w:val="000000" w:themeColor="text1"/>
          <w:sz w:val="20"/>
          <w:szCs w:val="20"/>
        </w:rPr>
        <w:t>nion with sufficient regulatory capacity (</w:t>
      </w:r>
      <w:r w:rsidR="002857A5" w:rsidRPr="000E262D">
        <w:rPr>
          <w:rFonts w:ascii="Times New Roman" w:hAnsi="Times New Roman" w:cs="Times New Roman"/>
          <w:color w:val="000000" w:themeColor="text1"/>
          <w:sz w:val="20"/>
          <w:szCs w:val="20"/>
        </w:rPr>
        <w:t>see also Bach and Newman 2007)</w:t>
      </w:r>
      <w:r w:rsidR="002F1969" w:rsidRPr="000E262D">
        <w:rPr>
          <w:rFonts w:ascii="Times New Roman" w:hAnsi="Times New Roman" w:cs="Times New Roman"/>
          <w:color w:val="000000" w:themeColor="text1"/>
          <w:sz w:val="20"/>
          <w:szCs w:val="20"/>
        </w:rPr>
        <w:t xml:space="preserve">, </w:t>
      </w:r>
      <w:r w:rsidR="002857A5" w:rsidRPr="000E262D">
        <w:rPr>
          <w:rFonts w:ascii="Times New Roman" w:hAnsi="Times New Roman" w:cs="Times New Roman"/>
          <w:color w:val="000000" w:themeColor="text1"/>
          <w:sz w:val="20"/>
          <w:szCs w:val="20"/>
        </w:rPr>
        <w:t>as well as</w:t>
      </w:r>
      <w:r w:rsidR="002F1969" w:rsidRPr="000E262D">
        <w:rPr>
          <w:rFonts w:ascii="Times New Roman" w:hAnsi="Times New Roman" w:cs="Times New Roman"/>
          <w:color w:val="000000" w:themeColor="text1"/>
          <w:sz w:val="20"/>
          <w:szCs w:val="20"/>
        </w:rPr>
        <w:t xml:space="preserve"> </w:t>
      </w:r>
      <w:r w:rsidR="002857A5" w:rsidRPr="000E262D">
        <w:rPr>
          <w:rFonts w:ascii="Times New Roman" w:hAnsi="Times New Roman" w:cs="Times New Roman"/>
          <w:color w:val="000000" w:themeColor="text1"/>
          <w:sz w:val="20"/>
          <w:szCs w:val="20"/>
        </w:rPr>
        <w:t>interest contestation related to interest groups and societal pressures should be considered as</w:t>
      </w:r>
      <w:r w:rsidR="00295B4C" w:rsidRPr="000E262D">
        <w:rPr>
          <w:rFonts w:ascii="Times New Roman" w:hAnsi="Times New Roman" w:cs="Times New Roman"/>
          <w:color w:val="000000" w:themeColor="text1"/>
          <w:sz w:val="20"/>
          <w:szCs w:val="20"/>
        </w:rPr>
        <w:t xml:space="preserve"> </w:t>
      </w:r>
      <w:r w:rsidR="002857A5" w:rsidRPr="000E262D">
        <w:rPr>
          <w:rFonts w:ascii="Times New Roman" w:hAnsi="Times New Roman" w:cs="Times New Roman"/>
          <w:color w:val="000000" w:themeColor="text1"/>
          <w:sz w:val="20"/>
          <w:szCs w:val="20"/>
        </w:rPr>
        <w:t>crucial determinants of the EU’s power (</w:t>
      </w:r>
      <w:proofErr w:type="spellStart"/>
      <w:r w:rsidR="002857A5" w:rsidRPr="000E262D">
        <w:rPr>
          <w:rFonts w:ascii="Times New Roman" w:hAnsi="Times New Roman" w:cs="Times New Roman"/>
          <w:color w:val="000000" w:themeColor="text1"/>
          <w:sz w:val="20"/>
          <w:szCs w:val="20"/>
        </w:rPr>
        <w:t>Damro</w:t>
      </w:r>
      <w:proofErr w:type="spellEnd"/>
      <w:r w:rsidR="002857A5" w:rsidRPr="000E262D">
        <w:rPr>
          <w:rFonts w:ascii="Times New Roman" w:hAnsi="Times New Roman" w:cs="Times New Roman"/>
          <w:color w:val="000000" w:themeColor="text1"/>
          <w:sz w:val="20"/>
          <w:szCs w:val="20"/>
        </w:rPr>
        <w:t xml:space="preserve"> 2015</w:t>
      </w:r>
      <w:r w:rsidR="00A22EFC" w:rsidRPr="000E262D">
        <w:rPr>
          <w:rFonts w:ascii="Times New Roman" w:hAnsi="Times New Roman" w:cs="Times New Roman"/>
          <w:color w:val="000000" w:themeColor="text1"/>
          <w:sz w:val="20"/>
          <w:szCs w:val="20"/>
        </w:rPr>
        <w:t>;</w:t>
      </w:r>
      <w:r w:rsidR="002857A5" w:rsidRPr="000E262D">
        <w:rPr>
          <w:rFonts w:ascii="Times New Roman" w:hAnsi="Times New Roman" w:cs="Times New Roman"/>
          <w:color w:val="000000" w:themeColor="text1"/>
          <w:sz w:val="20"/>
          <w:szCs w:val="20"/>
        </w:rPr>
        <w:t xml:space="preserve"> </w:t>
      </w:r>
      <w:proofErr w:type="spellStart"/>
      <w:r w:rsidR="002857A5" w:rsidRPr="000E262D">
        <w:rPr>
          <w:rFonts w:ascii="Times New Roman" w:hAnsi="Times New Roman" w:cs="Times New Roman"/>
          <w:color w:val="000000" w:themeColor="text1"/>
          <w:sz w:val="20"/>
          <w:szCs w:val="20"/>
        </w:rPr>
        <w:t>Lavenex</w:t>
      </w:r>
      <w:proofErr w:type="spellEnd"/>
      <w:r w:rsidR="002857A5" w:rsidRPr="000E262D">
        <w:rPr>
          <w:rFonts w:ascii="Times New Roman" w:hAnsi="Times New Roman" w:cs="Times New Roman"/>
          <w:color w:val="000000" w:themeColor="text1"/>
          <w:sz w:val="20"/>
          <w:szCs w:val="20"/>
        </w:rPr>
        <w:t xml:space="preserve"> 2014).</w:t>
      </w:r>
      <w:r w:rsidR="007F59BE" w:rsidRPr="000E262D">
        <w:rPr>
          <w:rFonts w:ascii="Times New Roman" w:hAnsi="Times New Roman" w:cs="Times New Roman"/>
          <w:color w:val="000000" w:themeColor="text1"/>
          <w:sz w:val="20"/>
          <w:szCs w:val="20"/>
        </w:rPr>
        <w:t xml:space="preserve"> </w:t>
      </w:r>
      <w:r w:rsidR="00510908" w:rsidRPr="000E262D">
        <w:rPr>
          <w:rFonts w:ascii="Times New Roman" w:hAnsi="Times New Roman" w:cs="Times New Roman"/>
          <w:color w:val="000000" w:themeColor="text1"/>
          <w:sz w:val="20"/>
          <w:szCs w:val="20"/>
        </w:rPr>
        <w:t>Similar to the concept of market power</w:t>
      </w:r>
      <w:r w:rsidR="00B36416" w:rsidRPr="000E262D">
        <w:rPr>
          <w:rFonts w:ascii="Times New Roman" w:hAnsi="Times New Roman" w:cs="Times New Roman"/>
          <w:color w:val="000000" w:themeColor="text1"/>
          <w:sz w:val="20"/>
          <w:szCs w:val="20"/>
        </w:rPr>
        <w:t xml:space="preserve">, some existing literature </w:t>
      </w:r>
      <w:r w:rsidR="00510908" w:rsidRPr="000E262D">
        <w:rPr>
          <w:rFonts w:ascii="Times New Roman" w:hAnsi="Times New Roman" w:cs="Times New Roman"/>
          <w:color w:val="000000" w:themeColor="text1"/>
          <w:sz w:val="20"/>
          <w:szCs w:val="20"/>
        </w:rPr>
        <w:t>sees</w:t>
      </w:r>
      <w:r w:rsidR="00B36416" w:rsidRPr="000E262D">
        <w:rPr>
          <w:rFonts w:ascii="Times New Roman" w:hAnsi="Times New Roman" w:cs="Times New Roman"/>
          <w:color w:val="000000" w:themeColor="text1"/>
          <w:sz w:val="20"/>
          <w:szCs w:val="20"/>
        </w:rPr>
        <w:t xml:space="preserve"> the EU as a global </w:t>
      </w:r>
      <w:r w:rsidR="00295B4C" w:rsidRPr="000E262D">
        <w:rPr>
          <w:rFonts w:ascii="Times New Roman" w:hAnsi="Times New Roman" w:cs="Times New Roman"/>
          <w:color w:val="000000" w:themeColor="text1"/>
          <w:sz w:val="20"/>
          <w:szCs w:val="20"/>
        </w:rPr>
        <w:t>“</w:t>
      </w:r>
      <w:r w:rsidR="00B36416" w:rsidRPr="000E262D">
        <w:rPr>
          <w:rFonts w:ascii="Times New Roman" w:hAnsi="Times New Roman" w:cs="Times New Roman"/>
          <w:color w:val="000000" w:themeColor="text1"/>
          <w:sz w:val="20"/>
          <w:szCs w:val="20"/>
        </w:rPr>
        <w:t xml:space="preserve">regulatory </w:t>
      </w:r>
      <w:r w:rsidR="00295B4C" w:rsidRPr="000E262D">
        <w:rPr>
          <w:rFonts w:ascii="Times New Roman" w:hAnsi="Times New Roman" w:cs="Times New Roman"/>
          <w:color w:val="000000" w:themeColor="text1"/>
          <w:sz w:val="20"/>
          <w:szCs w:val="20"/>
        </w:rPr>
        <w:t xml:space="preserve">power” </w:t>
      </w:r>
      <w:r w:rsidR="00B36416" w:rsidRPr="000E262D">
        <w:rPr>
          <w:rFonts w:ascii="Times New Roman" w:hAnsi="Times New Roman" w:cs="Times New Roman"/>
          <w:color w:val="000000" w:themeColor="text1"/>
          <w:sz w:val="20"/>
          <w:szCs w:val="20"/>
        </w:rPr>
        <w:t xml:space="preserve">with a strong ability to influence the regulations of other states as a result of the </w:t>
      </w:r>
      <w:r w:rsidR="00BC558A" w:rsidRPr="000E262D">
        <w:rPr>
          <w:rFonts w:ascii="Times New Roman" w:hAnsi="Times New Roman" w:cs="Times New Roman"/>
          <w:color w:val="000000" w:themeColor="text1"/>
          <w:sz w:val="20"/>
          <w:szCs w:val="20"/>
        </w:rPr>
        <w:t>u</w:t>
      </w:r>
      <w:r w:rsidR="00B36416" w:rsidRPr="000E262D">
        <w:rPr>
          <w:rFonts w:ascii="Times New Roman" w:hAnsi="Times New Roman" w:cs="Times New Roman"/>
          <w:color w:val="000000" w:themeColor="text1"/>
          <w:sz w:val="20"/>
          <w:szCs w:val="20"/>
        </w:rPr>
        <w:t>nion’s large market and sophisticated regulatory capability (Young 2015)</w:t>
      </w:r>
      <w:r w:rsidR="00295B4C" w:rsidRPr="000E262D">
        <w:rPr>
          <w:rFonts w:ascii="Times New Roman" w:hAnsi="Times New Roman" w:cs="Times New Roman"/>
          <w:color w:val="000000" w:themeColor="text1"/>
          <w:sz w:val="20"/>
          <w:szCs w:val="20"/>
        </w:rPr>
        <w:t>.</w:t>
      </w:r>
      <w:r w:rsidR="006873FD" w:rsidRPr="000E262D">
        <w:rPr>
          <w:rFonts w:ascii="Times New Roman" w:hAnsi="Times New Roman" w:cs="Times New Roman"/>
          <w:color w:val="000000" w:themeColor="text1"/>
          <w:sz w:val="20"/>
          <w:szCs w:val="20"/>
        </w:rPr>
        <w:t xml:space="preserve"> </w:t>
      </w:r>
    </w:p>
    <w:p w14:paraId="0BB67233" w14:textId="77777777" w:rsidR="00FC39F1" w:rsidRPr="000E262D" w:rsidRDefault="00FC39F1" w:rsidP="008A7331">
      <w:pPr>
        <w:rPr>
          <w:rFonts w:ascii="Times New Roman" w:hAnsi="Times New Roman" w:cs="Times New Roman"/>
          <w:color w:val="000000" w:themeColor="text1"/>
          <w:sz w:val="20"/>
          <w:szCs w:val="20"/>
        </w:rPr>
      </w:pPr>
    </w:p>
    <w:p w14:paraId="2F3DCE70" w14:textId="09A36E4B" w:rsidR="00630616" w:rsidRPr="000E262D" w:rsidRDefault="00F66461"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Both n</w:t>
      </w:r>
      <w:r w:rsidR="00EC7ABA" w:rsidRPr="000E262D">
        <w:rPr>
          <w:rFonts w:ascii="Times New Roman" w:hAnsi="Times New Roman" w:cs="Times New Roman"/>
          <w:color w:val="000000" w:themeColor="text1"/>
          <w:sz w:val="20"/>
          <w:szCs w:val="20"/>
        </w:rPr>
        <w:t>ormative and market</w:t>
      </w:r>
      <w:r w:rsidR="00F00FB5" w:rsidRPr="000E262D">
        <w:rPr>
          <w:rFonts w:ascii="Times New Roman" w:hAnsi="Times New Roman" w:cs="Times New Roman"/>
          <w:color w:val="000000" w:themeColor="text1"/>
          <w:sz w:val="20"/>
          <w:szCs w:val="20"/>
        </w:rPr>
        <w:t xml:space="preserve"> or </w:t>
      </w:r>
      <w:r w:rsidR="00B36416" w:rsidRPr="000E262D">
        <w:rPr>
          <w:rFonts w:ascii="Times New Roman" w:hAnsi="Times New Roman" w:cs="Times New Roman"/>
          <w:color w:val="000000" w:themeColor="text1"/>
          <w:sz w:val="20"/>
          <w:szCs w:val="20"/>
        </w:rPr>
        <w:t>regulatory</w:t>
      </w:r>
      <w:r w:rsidR="00EC7ABA" w:rsidRPr="000E262D">
        <w:rPr>
          <w:rFonts w:ascii="Times New Roman" w:hAnsi="Times New Roman" w:cs="Times New Roman"/>
          <w:color w:val="000000" w:themeColor="text1"/>
          <w:sz w:val="20"/>
          <w:szCs w:val="20"/>
        </w:rPr>
        <w:t xml:space="preserve"> power</w:t>
      </w:r>
      <w:r w:rsidR="007E6965" w:rsidRPr="000E262D">
        <w:rPr>
          <w:rFonts w:ascii="Times New Roman" w:hAnsi="Times New Roman" w:cs="Times New Roman"/>
          <w:color w:val="000000" w:themeColor="text1"/>
          <w:sz w:val="20"/>
          <w:szCs w:val="20"/>
        </w:rPr>
        <w:t xml:space="preserve"> approaches</w:t>
      </w:r>
      <w:r w:rsidR="00EC7ABA"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can be seen as significant contributions to the wider EU-as-a-power debate</w:t>
      </w:r>
      <w:r w:rsidR="00560D7B" w:rsidRPr="000E262D">
        <w:rPr>
          <w:rFonts w:ascii="Times New Roman" w:hAnsi="Times New Roman" w:cs="Times New Roman"/>
          <w:color w:val="000000" w:themeColor="text1"/>
          <w:sz w:val="20"/>
          <w:szCs w:val="20"/>
        </w:rPr>
        <w:t xml:space="preserve"> in the sense that these two </w:t>
      </w:r>
      <w:r w:rsidR="00B36416" w:rsidRPr="000E262D">
        <w:rPr>
          <w:rFonts w:ascii="Times New Roman" w:hAnsi="Times New Roman" w:cs="Times New Roman"/>
          <w:color w:val="000000" w:themeColor="text1"/>
          <w:sz w:val="20"/>
          <w:szCs w:val="20"/>
        </w:rPr>
        <w:t>scholarly camps</w:t>
      </w:r>
      <w:r w:rsidR="00560D7B" w:rsidRPr="000E262D">
        <w:rPr>
          <w:rFonts w:ascii="Times New Roman" w:hAnsi="Times New Roman" w:cs="Times New Roman"/>
          <w:color w:val="000000" w:themeColor="text1"/>
          <w:sz w:val="20"/>
          <w:szCs w:val="20"/>
        </w:rPr>
        <w:t xml:space="preserve"> </w:t>
      </w:r>
      <w:r w:rsidR="00EC7ABA" w:rsidRPr="000E262D">
        <w:rPr>
          <w:rFonts w:ascii="Times New Roman" w:hAnsi="Times New Roman" w:cs="Times New Roman"/>
          <w:color w:val="000000" w:themeColor="text1"/>
          <w:sz w:val="20"/>
          <w:szCs w:val="20"/>
        </w:rPr>
        <w:t xml:space="preserve">prioritise different dimensions of the EU’s international </w:t>
      </w:r>
      <w:r w:rsidR="007E6965" w:rsidRPr="000E262D">
        <w:rPr>
          <w:rFonts w:ascii="Times New Roman" w:hAnsi="Times New Roman" w:cs="Times New Roman"/>
          <w:color w:val="000000" w:themeColor="text1"/>
          <w:sz w:val="20"/>
          <w:szCs w:val="20"/>
        </w:rPr>
        <w:t xml:space="preserve">identity and privilege different mechanisms through which the </w:t>
      </w:r>
      <w:r w:rsidR="00BC558A" w:rsidRPr="000E262D">
        <w:rPr>
          <w:rFonts w:ascii="Times New Roman" w:hAnsi="Times New Roman" w:cs="Times New Roman"/>
          <w:color w:val="000000" w:themeColor="text1"/>
          <w:sz w:val="20"/>
          <w:szCs w:val="20"/>
        </w:rPr>
        <w:t>u</w:t>
      </w:r>
      <w:r w:rsidR="007E6965" w:rsidRPr="000E262D">
        <w:rPr>
          <w:rFonts w:ascii="Times New Roman" w:hAnsi="Times New Roman" w:cs="Times New Roman"/>
          <w:color w:val="000000" w:themeColor="text1"/>
          <w:sz w:val="20"/>
          <w:szCs w:val="20"/>
        </w:rPr>
        <w:t xml:space="preserve">nion exerts its influence in world politics. However, </w:t>
      </w:r>
      <w:r w:rsidR="00560D7B" w:rsidRPr="000E262D">
        <w:rPr>
          <w:rFonts w:ascii="Times New Roman" w:hAnsi="Times New Roman" w:cs="Times New Roman"/>
          <w:color w:val="000000" w:themeColor="text1"/>
          <w:sz w:val="20"/>
          <w:szCs w:val="20"/>
        </w:rPr>
        <w:t xml:space="preserve">these </w:t>
      </w:r>
      <w:r w:rsidR="00B36416" w:rsidRPr="000E262D">
        <w:rPr>
          <w:rFonts w:ascii="Times New Roman" w:hAnsi="Times New Roman" w:cs="Times New Roman"/>
          <w:color w:val="000000" w:themeColor="text1"/>
          <w:sz w:val="20"/>
          <w:szCs w:val="20"/>
        </w:rPr>
        <w:t>academic</w:t>
      </w:r>
      <w:r w:rsidR="00560D7B" w:rsidRPr="000E262D">
        <w:rPr>
          <w:rFonts w:ascii="Times New Roman" w:hAnsi="Times New Roman" w:cs="Times New Roman"/>
          <w:color w:val="000000" w:themeColor="text1"/>
          <w:sz w:val="20"/>
          <w:szCs w:val="20"/>
        </w:rPr>
        <w:t xml:space="preserve"> discussions have overlooked, or at least underestimated, two important issues. </w:t>
      </w:r>
    </w:p>
    <w:p w14:paraId="71257946" w14:textId="77777777" w:rsidR="00630616" w:rsidRPr="000E262D" w:rsidRDefault="00630616" w:rsidP="008A7331">
      <w:pPr>
        <w:rPr>
          <w:rFonts w:ascii="Times New Roman" w:hAnsi="Times New Roman" w:cs="Times New Roman"/>
          <w:color w:val="000000" w:themeColor="text1"/>
          <w:sz w:val="20"/>
          <w:szCs w:val="20"/>
        </w:rPr>
      </w:pPr>
    </w:p>
    <w:p w14:paraId="45AA636C" w14:textId="39BF1A4E" w:rsidR="005602A9" w:rsidRPr="000E262D" w:rsidRDefault="004723FB"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The first issue,</w:t>
      </w:r>
      <w:r w:rsidR="00560D7B" w:rsidRPr="000E262D">
        <w:rPr>
          <w:rFonts w:ascii="Times New Roman" w:hAnsi="Times New Roman" w:cs="Times New Roman"/>
          <w:color w:val="000000" w:themeColor="text1"/>
          <w:sz w:val="20"/>
          <w:szCs w:val="20"/>
        </w:rPr>
        <w:t xml:space="preserve"> as Parker and Rosamond (2013</w:t>
      </w:r>
      <w:r w:rsidR="00D960D0" w:rsidRPr="000E262D">
        <w:rPr>
          <w:rFonts w:ascii="Times New Roman" w:hAnsi="Times New Roman" w:cs="Times New Roman"/>
          <w:color w:val="000000" w:themeColor="text1"/>
          <w:sz w:val="20"/>
          <w:szCs w:val="20"/>
        </w:rPr>
        <w:t>:</w:t>
      </w:r>
      <w:r w:rsidR="00B36416" w:rsidRPr="000E262D">
        <w:rPr>
          <w:rFonts w:ascii="Times New Roman" w:hAnsi="Times New Roman" w:cs="Times New Roman"/>
          <w:color w:val="000000" w:themeColor="text1"/>
          <w:sz w:val="20"/>
          <w:szCs w:val="20"/>
        </w:rPr>
        <w:t>231</w:t>
      </w:r>
      <w:r w:rsidR="00560D7B" w:rsidRPr="000E262D">
        <w:rPr>
          <w:rFonts w:ascii="Times New Roman" w:hAnsi="Times New Roman" w:cs="Times New Roman"/>
          <w:color w:val="000000" w:themeColor="text1"/>
          <w:sz w:val="20"/>
          <w:szCs w:val="20"/>
        </w:rPr>
        <w:t>)</w:t>
      </w:r>
      <w:r w:rsidR="00503A34" w:rsidRPr="000E262D">
        <w:rPr>
          <w:rFonts w:ascii="Times New Roman" w:hAnsi="Times New Roman" w:cs="Times New Roman"/>
          <w:color w:val="000000" w:themeColor="text1"/>
          <w:sz w:val="20"/>
          <w:szCs w:val="20"/>
        </w:rPr>
        <w:t xml:space="preserve"> </w:t>
      </w:r>
      <w:r w:rsidR="00560D7B" w:rsidRPr="000E262D">
        <w:rPr>
          <w:rFonts w:ascii="Times New Roman" w:hAnsi="Times New Roman" w:cs="Times New Roman"/>
          <w:color w:val="000000" w:themeColor="text1"/>
          <w:sz w:val="20"/>
          <w:szCs w:val="20"/>
        </w:rPr>
        <w:t xml:space="preserve">pointed out, </w:t>
      </w:r>
      <w:r w:rsidR="004D79FE" w:rsidRPr="000E262D">
        <w:rPr>
          <w:rFonts w:ascii="Times New Roman" w:hAnsi="Times New Roman" w:cs="Times New Roman"/>
          <w:color w:val="000000" w:themeColor="text1"/>
          <w:sz w:val="20"/>
          <w:szCs w:val="20"/>
        </w:rPr>
        <w:t>is</w:t>
      </w:r>
      <w:r w:rsidR="00560D7B" w:rsidRPr="000E262D">
        <w:rPr>
          <w:rFonts w:ascii="Times New Roman" w:hAnsi="Times New Roman" w:cs="Times New Roman"/>
          <w:color w:val="000000" w:themeColor="text1"/>
          <w:sz w:val="20"/>
          <w:szCs w:val="20"/>
        </w:rPr>
        <w:t xml:space="preserve"> a lack of investigation into the normative dimension of the</w:t>
      </w:r>
      <w:r w:rsidR="00D57A37" w:rsidRPr="000E262D">
        <w:rPr>
          <w:rFonts w:ascii="Times New Roman" w:hAnsi="Times New Roman" w:cs="Times New Roman"/>
          <w:color w:val="000000" w:themeColor="text1"/>
          <w:sz w:val="20"/>
          <w:szCs w:val="20"/>
        </w:rPr>
        <w:t xml:space="preserve"> EU’s</w:t>
      </w:r>
      <w:r w:rsidR="00560D7B" w:rsidRPr="000E262D">
        <w:rPr>
          <w:rFonts w:ascii="Times New Roman" w:hAnsi="Times New Roman" w:cs="Times New Roman"/>
          <w:color w:val="000000" w:themeColor="text1"/>
          <w:sz w:val="20"/>
          <w:szCs w:val="20"/>
        </w:rPr>
        <w:t xml:space="preserve"> </w:t>
      </w:r>
      <w:r w:rsidR="00297894" w:rsidRPr="000E262D">
        <w:rPr>
          <w:rFonts w:ascii="Times New Roman" w:hAnsi="Times New Roman" w:cs="Times New Roman"/>
          <w:color w:val="000000" w:themeColor="text1"/>
          <w:sz w:val="20"/>
          <w:szCs w:val="20"/>
        </w:rPr>
        <w:t xml:space="preserve">promotion of </w:t>
      </w:r>
      <w:r w:rsidR="00295B4C" w:rsidRPr="000E262D">
        <w:rPr>
          <w:rFonts w:ascii="Times New Roman" w:hAnsi="Times New Roman" w:cs="Times New Roman"/>
          <w:color w:val="000000" w:themeColor="text1"/>
          <w:sz w:val="20"/>
          <w:szCs w:val="20"/>
        </w:rPr>
        <w:t>“</w:t>
      </w:r>
      <w:r w:rsidR="00560D7B" w:rsidRPr="000E262D">
        <w:rPr>
          <w:rFonts w:ascii="Times New Roman" w:hAnsi="Times New Roman" w:cs="Times New Roman"/>
          <w:color w:val="000000" w:themeColor="text1"/>
          <w:sz w:val="20"/>
          <w:szCs w:val="20"/>
        </w:rPr>
        <w:t>economic</w:t>
      </w:r>
      <w:r w:rsidR="00297894" w:rsidRPr="000E262D">
        <w:rPr>
          <w:rFonts w:ascii="Times New Roman" w:hAnsi="Times New Roman" w:cs="Times New Roman"/>
          <w:color w:val="000000" w:themeColor="text1"/>
          <w:sz w:val="20"/>
          <w:szCs w:val="20"/>
        </w:rPr>
        <w:t xml:space="preserve"> </w:t>
      </w:r>
      <w:r w:rsidR="00295B4C" w:rsidRPr="000E262D">
        <w:rPr>
          <w:rFonts w:ascii="Times New Roman" w:hAnsi="Times New Roman" w:cs="Times New Roman"/>
          <w:color w:val="000000" w:themeColor="text1"/>
          <w:sz w:val="20"/>
          <w:szCs w:val="20"/>
        </w:rPr>
        <w:t xml:space="preserve">liberalism” </w:t>
      </w:r>
      <w:r w:rsidR="00B36416" w:rsidRPr="000E262D">
        <w:rPr>
          <w:rFonts w:ascii="Times New Roman" w:hAnsi="Times New Roman" w:cs="Times New Roman"/>
          <w:color w:val="000000" w:themeColor="text1"/>
          <w:sz w:val="20"/>
          <w:szCs w:val="20"/>
        </w:rPr>
        <w:t xml:space="preserve">or </w:t>
      </w:r>
      <w:r w:rsidR="00295B4C" w:rsidRPr="000E262D">
        <w:rPr>
          <w:rFonts w:ascii="Times New Roman" w:hAnsi="Times New Roman" w:cs="Times New Roman"/>
          <w:color w:val="000000" w:themeColor="text1"/>
          <w:sz w:val="20"/>
          <w:szCs w:val="20"/>
        </w:rPr>
        <w:t>“</w:t>
      </w:r>
      <w:r w:rsidR="00B36416" w:rsidRPr="000E262D">
        <w:rPr>
          <w:rFonts w:ascii="Times New Roman" w:hAnsi="Times New Roman" w:cs="Times New Roman"/>
          <w:color w:val="000000" w:themeColor="text1"/>
          <w:sz w:val="20"/>
          <w:szCs w:val="20"/>
        </w:rPr>
        <w:t xml:space="preserve">market </w:t>
      </w:r>
      <w:r w:rsidR="00295B4C" w:rsidRPr="000E262D">
        <w:rPr>
          <w:rFonts w:ascii="Times New Roman" w:hAnsi="Times New Roman" w:cs="Times New Roman"/>
          <w:color w:val="000000" w:themeColor="text1"/>
          <w:sz w:val="20"/>
          <w:szCs w:val="20"/>
        </w:rPr>
        <w:t xml:space="preserve">cosmopolitanism” </w:t>
      </w:r>
      <w:r w:rsidR="00D57A37" w:rsidRPr="000E262D">
        <w:rPr>
          <w:rFonts w:ascii="Times New Roman" w:hAnsi="Times New Roman" w:cs="Times New Roman"/>
          <w:color w:val="000000" w:themeColor="text1"/>
          <w:sz w:val="20"/>
          <w:szCs w:val="20"/>
        </w:rPr>
        <w:t xml:space="preserve">in the </w:t>
      </w:r>
      <w:r w:rsidR="005B598A" w:rsidRPr="000E262D">
        <w:rPr>
          <w:rFonts w:ascii="Times New Roman" w:hAnsi="Times New Roman" w:cs="Times New Roman"/>
          <w:color w:val="000000" w:themeColor="text1"/>
          <w:sz w:val="20"/>
          <w:szCs w:val="20"/>
        </w:rPr>
        <w:t>u</w:t>
      </w:r>
      <w:r w:rsidR="00D57A37" w:rsidRPr="000E262D">
        <w:rPr>
          <w:rFonts w:ascii="Times New Roman" w:hAnsi="Times New Roman" w:cs="Times New Roman"/>
          <w:color w:val="000000" w:themeColor="text1"/>
          <w:sz w:val="20"/>
          <w:szCs w:val="20"/>
        </w:rPr>
        <w:t>nion’s external relations</w:t>
      </w:r>
      <w:r w:rsidR="00560D7B" w:rsidRPr="000E262D">
        <w:rPr>
          <w:rFonts w:ascii="Times New Roman" w:hAnsi="Times New Roman" w:cs="Times New Roman"/>
          <w:color w:val="000000" w:themeColor="text1"/>
          <w:sz w:val="20"/>
          <w:szCs w:val="20"/>
        </w:rPr>
        <w:t xml:space="preserve">. </w:t>
      </w:r>
      <w:r w:rsidR="004D79FE" w:rsidRPr="000E262D">
        <w:rPr>
          <w:rFonts w:ascii="Times New Roman" w:hAnsi="Times New Roman" w:cs="Times New Roman"/>
          <w:color w:val="000000" w:themeColor="text1"/>
          <w:sz w:val="20"/>
          <w:szCs w:val="20"/>
        </w:rPr>
        <w:t>Given that</w:t>
      </w:r>
      <w:r w:rsidR="00560D7B" w:rsidRPr="000E262D">
        <w:rPr>
          <w:rFonts w:ascii="Times New Roman" w:hAnsi="Times New Roman" w:cs="Times New Roman"/>
          <w:color w:val="000000" w:themeColor="text1"/>
          <w:sz w:val="20"/>
          <w:szCs w:val="20"/>
        </w:rPr>
        <w:t xml:space="preserve"> NPE focuses primarily on the EU’s</w:t>
      </w:r>
      <w:r w:rsidR="004D79FE" w:rsidRPr="000E262D">
        <w:rPr>
          <w:rFonts w:ascii="Times New Roman" w:hAnsi="Times New Roman" w:cs="Times New Roman"/>
          <w:color w:val="000000" w:themeColor="text1"/>
          <w:sz w:val="20"/>
          <w:szCs w:val="20"/>
        </w:rPr>
        <w:t xml:space="preserve"> promotion of </w:t>
      </w:r>
      <w:r w:rsidR="00C50B8D" w:rsidRPr="000E262D">
        <w:rPr>
          <w:rFonts w:ascii="Times New Roman" w:hAnsi="Times New Roman" w:cs="Times New Roman"/>
          <w:color w:val="000000" w:themeColor="text1"/>
          <w:sz w:val="20"/>
          <w:szCs w:val="20"/>
        </w:rPr>
        <w:t>socio-political norms</w:t>
      </w:r>
      <w:r w:rsidR="00560D7B" w:rsidRPr="000E262D">
        <w:rPr>
          <w:rFonts w:ascii="Times New Roman" w:hAnsi="Times New Roman" w:cs="Times New Roman"/>
          <w:color w:val="000000" w:themeColor="text1"/>
          <w:sz w:val="20"/>
          <w:szCs w:val="20"/>
        </w:rPr>
        <w:t xml:space="preserve">, it attaches limited importance to the EU’s </w:t>
      </w:r>
      <w:r w:rsidR="004D79FE" w:rsidRPr="000E262D">
        <w:rPr>
          <w:rFonts w:ascii="Times New Roman" w:hAnsi="Times New Roman" w:cs="Times New Roman"/>
          <w:color w:val="000000" w:themeColor="text1"/>
          <w:sz w:val="20"/>
          <w:szCs w:val="20"/>
        </w:rPr>
        <w:t>externalization</w:t>
      </w:r>
      <w:r w:rsidR="00560D7B" w:rsidRPr="000E262D">
        <w:rPr>
          <w:rFonts w:ascii="Times New Roman" w:hAnsi="Times New Roman" w:cs="Times New Roman"/>
          <w:color w:val="000000" w:themeColor="text1"/>
          <w:sz w:val="20"/>
          <w:szCs w:val="20"/>
        </w:rPr>
        <w:t xml:space="preserve"> of market-related principle</w:t>
      </w:r>
      <w:r w:rsidR="007625C0" w:rsidRPr="000E262D">
        <w:rPr>
          <w:rFonts w:ascii="Times New Roman" w:hAnsi="Times New Roman" w:cs="Times New Roman"/>
          <w:color w:val="000000" w:themeColor="text1"/>
          <w:sz w:val="20"/>
          <w:szCs w:val="20"/>
        </w:rPr>
        <w:t>s</w:t>
      </w:r>
      <w:r w:rsidR="002B115C" w:rsidRPr="000E262D">
        <w:rPr>
          <w:rFonts w:ascii="Times New Roman" w:hAnsi="Times New Roman" w:cs="Times New Roman"/>
          <w:color w:val="000000" w:themeColor="text1"/>
          <w:sz w:val="20"/>
          <w:szCs w:val="20"/>
        </w:rPr>
        <w:t xml:space="preserve"> and practices</w:t>
      </w:r>
      <w:r w:rsidR="007625C0" w:rsidRPr="000E262D">
        <w:rPr>
          <w:rFonts w:ascii="Times New Roman" w:hAnsi="Times New Roman" w:cs="Times New Roman"/>
          <w:color w:val="000000" w:themeColor="text1"/>
          <w:sz w:val="20"/>
          <w:szCs w:val="20"/>
        </w:rPr>
        <w:t xml:space="preserve"> (Parker and Rosamond 2013</w:t>
      </w:r>
      <w:r w:rsidR="00D960D0" w:rsidRPr="000E262D">
        <w:rPr>
          <w:rFonts w:ascii="Times New Roman" w:hAnsi="Times New Roman" w:cs="Times New Roman"/>
          <w:color w:val="000000" w:themeColor="text1"/>
          <w:sz w:val="20"/>
          <w:szCs w:val="20"/>
        </w:rPr>
        <w:t>:</w:t>
      </w:r>
      <w:r w:rsidR="004D79FE" w:rsidRPr="000E262D">
        <w:rPr>
          <w:rFonts w:ascii="Times New Roman" w:hAnsi="Times New Roman" w:cs="Times New Roman"/>
          <w:color w:val="000000" w:themeColor="text1"/>
          <w:sz w:val="20"/>
          <w:szCs w:val="20"/>
        </w:rPr>
        <w:t>233</w:t>
      </w:r>
      <w:r w:rsidR="007625C0" w:rsidRPr="000E262D">
        <w:rPr>
          <w:rFonts w:ascii="Times New Roman" w:hAnsi="Times New Roman" w:cs="Times New Roman"/>
          <w:color w:val="000000" w:themeColor="text1"/>
          <w:sz w:val="20"/>
          <w:szCs w:val="20"/>
        </w:rPr>
        <w:t xml:space="preserve">; </w:t>
      </w:r>
      <w:proofErr w:type="spellStart"/>
      <w:r w:rsidR="007625C0" w:rsidRPr="000E262D">
        <w:rPr>
          <w:rFonts w:ascii="Times New Roman" w:hAnsi="Times New Roman" w:cs="Times New Roman"/>
          <w:color w:val="000000" w:themeColor="text1"/>
          <w:sz w:val="20"/>
          <w:szCs w:val="20"/>
        </w:rPr>
        <w:t>Orbie</w:t>
      </w:r>
      <w:proofErr w:type="spellEnd"/>
      <w:r w:rsidR="007625C0" w:rsidRPr="000E262D">
        <w:rPr>
          <w:rFonts w:ascii="Times New Roman" w:hAnsi="Times New Roman" w:cs="Times New Roman"/>
          <w:color w:val="000000" w:themeColor="text1"/>
          <w:sz w:val="20"/>
          <w:szCs w:val="20"/>
        </w:rPr>
        <w:t xml:space="preserve"> and Khorana 2015). </w:t>
      </w:r>
      <w:r w:rsidR="008C70E7" w:rsidRPr="000E262D">
        <w:rPr>
          <w:rFonts w:ascii="Times New Roman" w:hAnsi="Times New Roman" w:cs="Times New Roman"/>
          <w:color w:val="000000" w:themeColor="text1"/>
          <w:sz w:val="20"/>
          <w:szCs w:val="20"/>
        </w:rPr>
        <w:t xml:space="preserve">On </w:t>
      </w:r>
      <w:r w:rsidR="007E0BAE" w:rsidRPr="000E262D">
        <w:rPr>
          <w:rFonts w:ascii="Times New Roman" w:hAnsi="Times New Roman" w:cs="Times New Roman"/>
          <w:color w:val="000000" w:themeColor="text1"/>
          <w:sz w:val="20"/>
          <w:szCs w:val="20"/>
        </w:rPr>
        <w:t>the contrary, discussions o</w:t>
      </w:r>
      <w:r w:rsidR="008C70E7" w:rsidRPr="000E262D">
        <w:rPr>
          <w:rFonts w:ascii="Times New Roman" w:hAnsi="Times New Roman" w:cs="Times New Roman"/>
          <w:color w:val="000000" w:themeColor="text1"/>
          <w:sz w:val="20"/>
          <w:szCs w:val="20"/>
        </w:rPr>
        <w:t>f</w:t>
      </w:r>
      <w:r w:rsidR="007E0BAE" w:rsidRPr="000E262D">
        <w:rPr>
          <w:rFonts w:ascii="Times New Roman" w:hAnsi="Times New Roman" w:cs="Times New Roman"/>
          <w:color w:val="000000" w:themeColor="text1"/>
          <w:sz w:val="20"/>
          <w:szCs w:val="20"/>
        </w:rPr>
        <w:t xml:space="preserve"> the EU’s market or regulatory power tend to privilege the analysis of </w:t>
      </w:r>
      <w:r w:rsidR="00121328" w:rsidRPr="000E262D">
        <w:rPr>
          <w:rFonts w:ascii="Times New Roman" w:hAnsi="Times New Roman" w:cs="Times New Roman"/>
          <w:color w:val="000000" w:themeColor="text1"/>
          <w:sz w:val="20"/>
          <w:szCs w:val="20"/>
        </w:rPr>
        <w:t xml:space="preserve">material, interest-based and institutional factors, paying insufficient attention to ideational elements underlying the EU’s </w:t>
      </w:r>
      <w:r w:rsidR="0083193F" w:rsidRPr="000E262D">
        <w:rPr>
          <w:rFonts w:ascii="Times New Roman" w:hAnsi="Times New Roman" w:cs="Times New Roman"/>
          <w:color w:val="000000" w:themeColor="text1"/>
          <w:sz w:val="20"/>
          <w:szCs w:val="20"/>
        </w:rPr>
        <w:t xml:space="preserve">market and regulatory </w:t>
      </w:r>
      <w:r w:rsidR="00121328" w:rsidRPr="000E262D">
        <w:rPr>
          <w:rFonts w:ascii="Times New Roman" w:hAnsi="Times New Roman" w:cs="Times New Roman"/>
          <w:color w:val="000000" w:themeColor="text1"/>
          <w:sz w:val="20"/>
          <w:szCs w:val="20"/>
        </w:rPr>
        <w:t>power (</w:t>
      </w:r>
      <w:proofErr w:type="spellStart"/>
      <w:r w:rsidR="00121328" w:rsidRPr="000E262D">
        <w:rPr>
          <w:rFonts w:ascii="Times New Roman" w:hAnsi="Times New Roman" w:cs="Times New Roman"/>
          <w:color w:val="000000" w:themeColor="text1"/>
          <w:sz w:val="20"/>
          <w:szCs w:val="20"/>
        </w:rPr>
        <w:t>Orbie</w:t>
      </w:r>
      <w:proofErr w:type="spellEnd"/>
      <w:r w:rsidR="00121328" w:rsidRPr="000E262D">
        <w:rPr>
          <w:rFonts w:ascii="Times New Roman" w:hAnsi="Times New Roman" w:cs="Times New Roman"/>
          <w:color w:val="000000" w:themeColor="text1"/>
          <w:sz w:val="20"/>
          <w:szCs w:val="20"/>
        </w:rPr>
        <w:t xml:space="preserve"> and Khorana 2015). </w:t>
      </w:r>
    </w:p>
    <w:p w14:paraId="34B4FCC7" w14:textId="77777777" w:rsidR="005602A9" w:rsidRPr="000E262D" w:rsidRDefault="005602A9" w:rsidP="008A7331">
      <w:pPr>
        <w:rPr>
          <w:rFonts w:ascii="Times New Roman" w:hAnsi="Times New Roman" w:cs="Times New Roman"/>
          <w:color w:val="000000" w:themeColor="text1"/>
          <w:sz w:val="20"/>
          <w:szCs w:val="20"/>
        </w:rPr>
      </w:pPr>
    </w:p>
    <w:p w14:paraId="6D65DB68" w14:textId="6E996A5B" w:rsidR="00C50B8D" w:rsidRPr="000E262D" w:rsidRDefault="003B6426" w:rsidP="008A7331">
      <w:pPr>
        <w:pStyle w:val="aa"/>
        <w:rPr>
          <w:rFonts w:ascii="Times New Roman" w:hAnsi="Times New Roman" w:cs="Times New Roman"/>
          <w:color w:val="000000" w:themeColor="text1"/>
        </w:rPr>
      </w:pPr>
      <w:r w:rsidRPr="000E262D">
        <w:rPr>
          <w:rFonts w:ascii="Times New Roman" w:hAnsi="Times New Roman" w:cs="Times New Roman"/>
          <w:color w:val="000000" w:themeColor="text1"/>
        </w:rPr>
        <w:lastRenderedPageBreak/>
        <w:t xml:space="preserve">As a result, </w:t>
      </w:r>
      <w:r w:rsidR="0097433B" w:rsidRPr="000E262D">
        <w:rPr>
          <w:rFonts w:ascii="Times New Roman" w:hAnsi="Times New Roman" w:cs="Times New Roman"/>
          <w:color w:val="000000" w:themeColor="text1"/>
        </w:rPr>
        <w:t xml:space="preserve">within the EU-as-a-power debate, the norm-driven and interest-driven factors have been </w:t>
      </w:r>
      <w:r w:rsidR="004C7291" w:rsidRPr="000E262D">
        <w:rPr>
          <w:rFonts w:ascii="Times New Roman" w:hAnsi="Times New Roman" w:cs="Times New Roman"/>
          <w:color w:val="000000" w:themeColor="text1"/>
        </w:rPr>
        <w:t>analysed</w:t>
      </w:r>
      <w:r w:rsidR="0097433B" w:rsidRPr="000E262D">
        <w:rPr>
          <w:rFonts w:ascii="Times New Roman" w:hAnsi="Times New Roman" w:cs="Times New Roman"/>
          <w:color w:val="000000" w:themeColor="text1"/>
        </w:rPr>
        <w:t xml:space="preserve"> as mutually exclusive elements, resulting in a longstanding </w:t>
      </w:r>
      <w:r w:rsidR="00CC4D03" w:rsidRPr="000E262D">
        <w:rPr>
          <w:rFonts w:ascii="Times New Roman" w:hAnsi="Times New Roman" w:cs="Times New Roman"/>
          <w:color w:val="000000" w:themeColor="text1"/>
        </w:rPr>
        <w:t>“</w:t>
      </w:r>
      <w:r w:rsidR="0097433B" w:rsidRPr="000E262D">
        <w:rPr>
          <w:rFonts w:ascii="Times New Roman" w:hAnsi="Times New Roman" w:cs="Times New Roman"/>
          <w:color w:val="000000" w:themeColor="text1"/>
        </w:rPr>
        <w:t xml:space="preserve">interests versus </w:t>
      </w:r>
      <w:r w:rsidR="00CC4D03" w:rsidRPr="000E262D">
        <w:rPr>
          <w:rFonts w:ascii="Times New Roman" w:hAnsi="Times New Roman" w:cs="Times New Roman"/>
          <w:color w:val="000000" w:themeColor="text1"/>
        </w:rPr>
        <w:t xml:space="preserve">values” </w:t>
      </w:r>
      <w:r w:rsidR="0097433B" w:rsidRPr="000E262D">
        <w:rPr>
          <w:rFonts w:ascii="Times New Roman" w:hAnsi="Times New Roman" w:cs="Times New Roman"/>
          <w:color w:val="000000" w:themeColor="text1"/>
        </w:rPr>
        <w:t>dualism in the study of EU external policy.</w:t>
      </w:r>
      <w:r w:rsidR="00A65B11" w:rsidRPr="000E262D">
        <w:rPr>
          <w:rFonts w:ascii="Times New Roman" w:hAnsi="Times New Roman" w:cs="Times New Roman"/>
          <w:color w:val="000000" w:themeColor="text1"/>
        </w:rPr>
        <w:t xml:space="preserve"> </w:t>
      </w:r>
      <w:r w:rsidR="005078ED" w:rsidRPr="000E262D">
        <w:rPr>
          <w:rFonts w:ascii="Times New Roman" w:hAnsi="Times New Roman" w:cs="Times New Roman"/>
          <w:color w:val="000000" w:themeColor="text1"/>
        </w:rPr>
        <w:t>More importantly, due to the distinction between the ideational and material, there is a lack of interrogation into the normative, ideational</w:t>
      </w:r>
      <w:r w:rsidR="00CC4D03" w:rsidRPr="000E262D">
        <w:rPr>
          <w:rFonts w:ascii="Times New Roman" w:hAnsi="Times New Roman" w:cs="Times New Roman"/>
          <w:color w:val="000000" w:themeColor="text1"/>
        </w:rPr>
        <w:t>,</w:t>
      </w:r>
      <w:r w:rsidR="005078ED" w:rsidRPr="000E262D">
        <w:rPr>
          <w:rFonts w:ascii="Times New Roman" w:hAnsi="Times New Roman" w:cs="Times New Roman"/>
          <w:color w:val="000000" w:themeColor="text1"/>
        </w:rPr>
        <w:t xml:space="preserve"> and ethical dimension</w:t>
      </w:r>
      <w:r w:rsidR="00D83304" w:rsidRPr="000E262D">
        <w:rPr>
          <w:rFonts w:ascii="Times New Roman" w:hAnsi="Times New Roman" w:cs="Times New Roman"/>
          <w:color w:val="000000" w:themeColor="text1"/>
        </w:rPr>
        <w:t>s</w:t>
      </w:r>
      <w:r w:rsidR="005078ED" w:rsidRPr="000E262D">
        <w:rPr>
          <w:rFonts w:ascii="Times New Roman" w:hAnsi="Times New Roman" w:cs="Times New Roman"/>
          <w:color w:val="000000" w:themeColor="text1"/>
        </w:rPr>
        <w:t xml:space="preserve"> of the EU’s economic liberalism (Parker and Rosamond 2013</w:t>
      </w:r>
      <w:r w:rsidR="00D960D0" w:rsidRPr="000E262D">
        <w:rPr>
          <w:rFonts w:ascii="Times New Roman" w:hAnsi="Times New Roman" w:cs="Times New Roman"/>
          <w:color w:val="000000" w:themeColor="text1"/>
        </w:rPr>
        <w:t>:</w:t>
      </w:r>
      <w:r w:rsidR="005078ED" w:rsidRPr="000E262D">
        <w:rPr>
          <w:rFonts w:ascii="Times New Roman" w:hAnsi="Times New Roman" w:cs="Times New Roman"/>
          <w:color w:val="000000" w:themeColor="text1"/>
        </w:rPr>
        <w:t>232).</w:t>
      </w:r>
      <w:r w:rsidR="0012574C" w:rsidRPr="000E262D">
        <w:rPr>
          <w:rFonts w:ascii="Times New Roman" w:hAnsi="Times New Roman" w:cs="Times New Roman"/>
          <w:color w:val="000000" w:themeColor="text1"/>
        </w:rPr>
        <w:t xml:space="preserve"> To address this limitation, this research intends to bridge the existing literature on NPE and MPE, offering a more nuanced understanding of the dynamic interactions between different forms of EU power. This echoes the belief that focusing on one power does not negate the other (</w:t>
      </w:r>
      <w:proofErr w:type="spellStart"/>
      <w:r w:rsidR="0012574C" w:rsidRPr="000E262D">
        <w:rPr>
          <w:rFonts w:ascii="Times New Roman" w:hAnsi="Times New Roman" w:cs="Times New Roman"/>
          <w:color w:val="000000" w:themeColor="text1"/>
        </w:rPr>
        <w:t>Orbie</w:t>
      </w:r>
      <w:proofErr w:type="spellEnd"/>
      <w:r w:rsidR="0012574C" w:rsidRPr="000E262D">
        <w:rPr>
          <w:rFonts w:ascii="Times New Roman" w:hAnsi="Times New Roman" w:cs="Times New Roman"/>
          <w:color w:val="000000" w:themeColor="text1"/>
        </w:rPr>
        <w:t xml:space="preserve"> and Khorana 2015). </w:t>
      </w:r>
      <w:r w:rsidR="007C59D9" w:rsidRPr="000E262D">
        <w:rPr>
          <w:rFonts w:ascii="Times New Roman" w:hAnsi="Times New Roman" w:cs="Times New Roman"/>
          <w:color w:val="000000" w:themeColor="text1"/>
        </w:rPr>
        <w:t xml:space="preserve">The second issue </w:t>
      </w:r>
      <w:r w:rsidR="00D96909" w:rsidRPr="000E262D">
        <w:rPr>
          <w:rFonts w:ascii="Times New Roman" w:hAnsi="Times New Roman" w:cs="Times New Roman"/>
          <w:color w:val="000000" w:themeColor="text1"/>
        </w:rPr>
        <w:t>neglected</w:t>
      </w:r>
      <w:r w:rsidR="007C59D9" w:rsidRPr="000E262D">
        <w:rPr>
          <w:rFonts w:ascii="Times New Roman" w:hAnsi="Times New Roman" w:cs="Times New Roman"/>
          <w:color w:val="000000" w:themeColor="text1"/>
        </w:rPr>
        <w:t xml:space="preserve"> by the existing literature</w:t>
      </w:r>
      <w:r w:rsidR="001A2D83" w:rsidRPr="000E262D">
        <w:rPr>
          <w:rFonts w:ascii="Times New Roman" w:hAnsi="Times New Roman" w:cs="Times New Roman"/>
          <w:color w:val="000000" w:themeColor="text1"/>
        </w:rPr>
        <w:t xml:space="preserve"> </w:t>
      </w:r>
      <w:r w:rsidR="006A083C" w:rsidRPr="000E262D">
        <w:rPr>
          <w:rFonts w:ascii="Times New Roman" w:hAnsi="Times New Roman" w:cs="Times New Roman"/>
          <w:color w:val="000000" w:themeColor="text1"/>
        </w:rPr>
        <w:t>relates to the</w:t>
      </w:r>
      <w:r w:rsidR="001A2D83" w:rsidRPr="000E262D">
        <w:rPr>
          <w:rFonts w:ascii="Times New Roman" w:hAnsi="Times New Roman" w:cs="Times New Roman"/>
          <w:color w:val="000000" w:themeColor="text1"/>
        </w:rPr>
        <w:t xml:space="preserve"> </w:t>
      </w:r>
      <w:r w:rsidR="00C50B8D" w:rsidRPr="000E262D">
        <w:rPr>
          <w:rFonts w:ascii="Times New Roman" w:hAnsi="Times New Roman" w:cs="Times New Roman"/>
          <w:color w:val="000000" w:themeColor="text1"/>
        </w:rPr>
        <w:t>effectiveness</w:t>
      </w:r>
      <w:r w:rsidR="001A2D83" w:rsidRPr="000E262D">
        <w:rPr>
          <w:rFonts w:ascii="Times New Roman" w:hAnsi="Times New Roman" w:cs="Times New Roman"/>
          <w:color w:val="000000" w:themeColor="text1"/>
        </w:rPr>
        <w:t xml:space="preserve"> of the EU’s external influence</w:t>
      </w:r>
      <w:r w:rsidR="002D3F1A" w:rsidRPr="000E262D">
        <w:rPr>
          <w:rFonts w:ascii="Times New Roman" w:hAnsi="Times New Roman" w:cs="Times New Roman"/>
          <w:color w:val="000000" w:themeColor="text1"/>
        </w:rPr>
        <w:t xml:space="preserve">. </w:t>
      </w:r>
      <w:r w:rsidR="00C50B8D" w:rsidRPr="000E262D">
        <w:rPr>
          <w:rFonts w:ascii="Times New Roman" w:hAnsi="Times New Roman" w:cs="Times New Roman"/>
          <w:color w:val="000000" w:themeColor="text1"/>
        </w:rPr>
        <w:t xml:space="preserve">In particular, within the </w:t>
      </w:r>
      <w:r w:rsidR="00791926" w:rsidRPr="000E262D">
        <w:rPr>
          <w:rFonts w:ascii="Times New Roman" w:hAnsi="Times New Roman" w:cs="Times New Roman"/>
          <w:color w:val="000000" w:themeColor="text1"/>
        </w:rPr>
        <w:t>existing literature</w:t>
      </w:r>
      <w:r w:rsidR="00C50B8D" w:rsidRPr="000E262D">
        <w:rPr>
          <w:rFonts w:ascii="Times New Roman" w:hAnsi="Times New Roman" w:cs="Times New Roman"/>
          <w:color w:val="000000" w:themeColor="text1"/>
        </w:rPr>
        <w:t xml:space="preserve">, the effectiveness of the </w:t>
      </w:r>
      <w:r w:rsidR="00791926" w:rsidRPr="000E262D">
        <w:rPr>
          <w:rFonts w:ascii="Times New Roman" w:hAnsi="Times New Roman" w:cs="Times New Roman"/>
          <w:color w:val="000000" w:themeColor="text1"/>
        </w:rPr>
        <w:t xml:space="preserve">EU’s normative and market power – namely the outcome of norm and policy </w:t>
      </w:r>
      <w:r w:rsidR="00C50B8D" w:rsidRPr="000E262D">
        <w:rPr>
          <w:rFonts w:ascii="Times New Roman" w:hAnsi="Times New Roman" w:cs="Times New Roman"/>
          <w:color w:val="000000" w:themeColor="text1"/>
        </w:rPr>
        <w:t xml:space="preserve">externalization </w:t>
      </w:r>
      <w:r w:rsidR="00791926" w:rsidRPr="000E262D">
        <w:rPr>
          <w:rFonts w:ascii="Times New Roman" w:hAnsi="Times New Roman" w:cs="Times New Roman"/>
          <w:color w:val="000000" w:themeColor="text1"/>
        </w:rPr>
        <w:t xml:space="preserve">– </w:t>
      </w:r>
      <w:r w:rsidR="00C50B8D" w:rsidRPr="000E262D">
        <w:rPr>
          <w:rFonts w:ascii="Times New Roman" w:hAnsi="Times New Roman" w:cs="Times New Roman"/>
          <w:color w:val="000000" w:themeColor="text1"/>
        </w:rPr>
        <w:t xml:space="preserve">remains underexplored at empirical level. </w:t>
      </w:r>
    </w:p>
    <w:p w14:paraId="52126F9A" w14:textId="77777777" w:rsidR="005E36CE" w:rsidRPr="000E262D" w:rsidRDefault="005E36CE" w:rsidP="008A7331">
      <w:pPr>
        <w:rPr>
          <w:rFonts w:ascii="Times New Roman" w:hAnsi="Times New Roman" w:cs="Times New Roman"/>
          <w:color w:val="000000" w:themeColor="text1"/>
          <w:sz w:val="20"/>
          <w:szCs w:val="20"/>
        </w:rPr>
      </w:pPr>
    </w:p>
    <w:p w14:paraId="3AEEE6D2" w14:textId="0E921036" w:rsidR="0021188F" w:rsidRPr="000E262D" w:rsidRDefault="007D2DD0"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In order to address these shortcomings</w:t>
      </w:r>
      <w:r w:rsidR="009B5507" w:rsidRPr="000E262D">
        <w:rPr>
          <w:rFonts w:ascii="Times New Roman" w:hAnsi="Times New Roman" w:cs="Times New Roman"/>
          <w:color w:val="000000" w:themeColor="text1"/>
          <w:sz w:val="20"/>
          <w:szCs w:val="20"/>
        </w:rPr>
        <w:t xml:space="preserve"> </w:t>
      </w:r>
      <w:r w:rsidR="001236E5" w:rsidRPr="000E262D">
        <w:rPr>
          <w:rFonts w:ascii="Times New Roman" w:hAnsi="Times New Roman" w:cs="Times New Roman"/>
          <w:color w:val="000000" w:themeColor="text1"/>
          <w:sz w:val="20"/>
          <w:szCs w:val="20"/>
        </w:rPr>
        <w:t>in</w:t>
      </w:r>
      <w:r w:rsidR="009B5507" w:rsidRPr="000E262D">
        <w:rPr>
          <w:rFonts w:ascii="Times New Roman" w:hAnsi="Times New Roman" w:cs="Times New Roman"/>
          <w:color w:val="000000" w:themeColor="text1"/>
          <w:sz w:val="20"/>
          <w:szCs w:val="20"/>
        </w:rPr>
        <w:t xml:space="preserve"> the existing debates</w:t>
      </w:r>
      <w:r w:rsidRPr="000E262D">
        <w:rPr>
          <w:rFonts w:ascii="Times New Roman" w:hAnsi="Times New Roman" w:cs="Times New Roman"/>
          <w:color w:val="000000" w:themeColor="text1"/>
          <w:sz w:val="20"/>
          <w:szCs w:val="20"/>
        </w:rPr>
        <w:t xml:space="preserve">, </w:t>
      </w:r>
      <w:r w:rsidR="00BB7166" w:rsidRPr="000E262D">
        <w:rPr>
          <w:rFonts w:ascii="Times New Roman" w:hAnsi="Times New Roman" w:cs="Times New Roman"/>
          <w:color w:val="000000" w:themeColor="text1"/>
          <w:sz w:val="20"/>
          <w:szCs w:val="20"/>
        </w:rPr>
        <w:t>this</w:t>
      </w:r>
      <w:r w:rsidR="007D1B18" w:rsidRPr="000E262D">
        <w:rPr>
          <w:rFonts w:ascii="Times New Roman" w:hAnsi="Times New Roman" w:cs="Times New Roman"/>
          <w:color w:val="000000" w:themeColor="text1"/>
          <w:sz w:val="20"/>
          <w:szCs w:val="20"/>
        </w:rPr>
        <w:t xml:space="preserve"> research</w:t>
      </w:r>
      <w:r w:rsidRPr="000E262D">
        <w:rPr>
          <w:rFonts w:ascii="Times New Roman" w:hAnsi="Times New Roman" w:cs="Times New Roman"/>
          <w:color w:val="000000" w:themeColor="text1"/>
          <w:sz w:val="20"/>
          <w:szCs w:val="20"/>
        </w:rPr>
        <w:t xml:space="preserve"> provides a</w:t>
      </w:r>
      <w:r w:rsidR="00BB7166" w:rsidRPr="000E262D">
        <w:rPr>
          <w:rFonts w:ascii="Times New Roman" w:hAnsi="Times New Roman" w:cs="Times New Roman"/>
          <w:color w:val="000000" w:themeColor="text1"/>
          <w:sz w:val="20"/>
          <w:szCs w:val="20"/>
        </w:rPr>
        <w:t xml:space="preserve">n empirically grounded analysis </w:t>
      </w:r>
      <w:r w:rsidRPr="000E262D">
        <w:rPr>
          <w:rFonts w:ascii="Times New Roman" w:hAnsi="Times New Roman" w:cs="Times New Roman"/>
          <w:color w:val="000000" w:themeColor="text1"/>
          <w:sz w:val="20"/>
          <w:szCs w:val="20"/>
        </w:rPr>
        <w:t xml:space="preserve">of </w:t>
      </w:r>
      <w:r w:rsidR="00297894" w:rsidRPr="000E262D">
        <w:rPr>
          <w:rFonts w:ascii="Times New Roman" w:hAnsi="Times New Roman" w:cs="Times New Roman"/>
          <w:color w:val="000000" w:themeColor="text1"/>
          <w:sz w:val="20"/>
          <w:szCs w:val="20"/>
        </w:rPr>
        <w:t xml:space="preserve">the EU’s </w:t>
      </w:r>
      <w:r w:rsidR="007D1B18" w:rsidRPr="000E262D">
        <w:rPr>
          <w:rFonts w:ascii="Times New Roman" w:hAnsi="Times New Roman" w:cs="Times New Roman"/>
          <w:color w:val="000000" w:themeColor="text1"/>
          <w:sz w:val="20"/>
          <w:szCs w:val="20"/>
        </w:rPr>
        <w:t>externalization</w:t>
      </w:r>
      <w:r w:rsidR="00297894" w:rsidRPr="000E262D">
        <w:rPr>
          <w:rFonts w:ascii="Times New Roman" w:hAnsi="Times New Roman" w:cs="Times New Roman"/>
          <w:color w:val="000000" w:themeColor="text1"/>
          <w:sz w:val="20"/>
          <w:szCs w:val="20"/>
        </w:rPr>
        <w:t xml:space="preserve"> of market-related norms and policies</w:t>
      </w:r>
      <w:r w:rsidR="00BB7166" w:rsidRPr="000E262D">
        <w:rPr>
          <w:rFonts w:ascii="Times New Roman" w:hAnsi="Times New Roman" w:cs="Times New Roman"/>
          <w:color w:val="000000" w:themeColor="text1"/>
          <w:sz w:val="20"/>
          <w:szCs w:val="20"/>
        </w:rPr>
        <w:t xml:space="preserve"> in ASEAN</w:t>
      </w:r>
      <w:r w:rsidRPr="000E262D">
        <w:rPr>
          <w:rFonts w:ascii="Times New Roman" w:hAnsi="Times New Roman" w:cs="Times New Roman"/>
          <w:color w:val="000000" w:themeColor="text1"/>
          <w:sz w:val="20"/>
          <w:szCs w:val="20"/>
        </w:rPr>
        <w:t xml:space="preserve"> drawing on analytical tools from transnational diffusion literature. </w:t>
      </w:r>
      <w:r w:rsidR="0096627A" w:rsidRPr="000E262D">
        <w:rPr>
          <w:rFonts w:ascii="Times New Roman" w:hAnsi="Times New Roman" w:cs="Times New Roman"/>
          <w:color w:val="000000" w:themeColor="text1"/>
          <w:sz w:val="20"/>
          <w:szCs w:val="20"/>
        </w:rPr>
        <w:t xml:space="preserve">The EU–ASEAN relationship, which can be traced back to 1972, constitutes one of the oldest interregional and group-to-group relationships. Evaluating the EU’s normative power by analyzing the norm diffusion between the EU and ASEAN will be useful because of the relationship’s comparatively long-time span, the continuously evolving norm diffusion strategy, and the particularity of ASEAN’s geopolitical, institutional and ideational context. </w:t>
      </w:r>
      <w:r w:rsidR="001A317B" w:rsidRPr="000E262D">
        <w:rPr>
          <w:rFonts w:ascii="Times New Roman" w:hAnsi="Times New Roman" w:cs="Times New Roman"/>
          <w:color w:val="000000" w:themeColor="text1"/>
          <w:sz w:val="20"/>
          <w:szCs w:val="20"/>
        </w:rPr>
        <w:t>Furthermore, building on an increasing volume of literature on EU-ASEAN interregional relationship and the EU’s norm diffusion vis-à-vis ASEAN (see for example Allison 2015;</w:t>
      </w:r>
      <w:r w:rsidR="00FD5DB8" w:rsidRPr="000E262D">
        <w:rPr>
          <w:rFonts w:ascii="Times New Roman" w:hAnsi="Times New Roman" w:cs="Times New Roman"/>
          <w:color w:val="000000" w:themeColor="text1"/>
          <w:sz w:val="20"/>
          <w:szCs w:val="20"/>
        </w:rPr>
        <w:t xml:space="preserve"> </w:t>
      </w:r>
      <w:proofErr w:type="spellStart"/>
      <w:r w:rsidR="00FD5DB8" w:rsidRPr="000E262D">
        <w:rPr>
          <w:rFonts w:ascii="Times New Roman" w:hAnsi="Times New Roman" w:cs="Times New Roman"/>
          <w:color w:val="000000" w:themeColor="text1"/>
          <w:sz w:val="20"/>
          <w:szCs w:val="20"/>
        </w:rPr>
        <w:t>Jetschke</w:t>
      </w:r>
      <w:proofErr w:type="spellEnd"/>
      <w:r w:rsidR="00FD5DB8" w:rsidRPr="000E262D">
        <w:rPr>
          <w:rFonts w:ascii="Times New Roman" w:hAnsi="Times New Roman" w:cs="Times New Roman"/>
          <w:color w:val="000000" w:themeColor="text1"/>
          <w:sz w:val="20"/>
          <w:szCs w:val="20"/>
        </w:rPr>
        <w:t xml:space="preserve"> 2010; </w:t>
      </w:r>
      <w:proofErr w:type="spellStart"/>
      <w:r w:rsidR="00FD5DB8" w:rsidRPr="000E262D">
        <w:rPr>
          <w:rFonts w:ascii="Times New Roman" w:hAnsi="Times New Roman" w:cs="Times New Roman"/>
          <w:color w:val="000000" w:themeColor="text1"/>
          <w:sz w:val="20"/>
          <w:szCs w:val="20"/>
        </w:rPr>
        <w:t>Jetschke</w:t>
      </w:r>
      <w:proofErr w:type="spellEnd"/>
      <w:r w:rsidR="00FD5DB8" w:rsidRPr="000E262D">
        <w:rPr>
          <w:rFonts w:ascii="Times New Roman" w:hAnsi="Times New Roman" w:cs="Times New Roman"/>
          <w:color w:val="000000" w:themeColor="text1"/>
          <w:sz w:val="20"/>
          <w:szCs w:val="20"/>
        </w:rPr>
        <w:t xml:space="preserve"> and Murray 2012; Murray 2015), this research </w:t>
      </w:r>
      <w:r w:rsidR="005A00C0" w:rsidRPr="000E262D">
        <w:rPr>
          <w:rFonts w:ascii="Times New Roman" w:hAnsi="Times New Roman" w:cs="Times New Roman"/>
          <w:color w:val="000000" w:themeColor="text1"/>
          <w:sz w:val="20"/>
          <w:szCs w:val="20"/>
        </w:rPr>
        <w:t xml:space="preserve">aims to contributes to this debate by adding new empirical observations concerning the EU’s diffusion of market-related norms and policies, which had previously received scant attention. </w:t>
      </w:r>
    </w:p>
    <w:p w14:paraId="6C14DC62" w14:textId="77777777" w:rsidR="0016776F" w:rsidRPr="000E262D" w:rsidRDefault="0016776F" w:rsidP="008A7331">
      <w:pPr>
        <w:rPr>
          <w:rFonts w:ascii="Times New Roman" w:hAnsi="Times New Roman" w:cs="Times New Roman"/>
          <w:color w:val="000000" w:themeColor="text1"/>
          <w:sz w:val="20"/>
          <w:szCs w:val="20"/>
        </w:rPr>
      </w:pPr>
    </w:p>
    <w:p w14:paraId="28504B0D" w14:textId="3A544571" w:rsidR="005561ED" w:rsidRPr="000E262D" w:rsidRDefault="00BB7166"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The remaining paper proceeds in the following matter. The next section develops an analytical framework </w:t>
      </w:r>
      <w:r w:rsidR="005561ED" w:rsidRPr="000E262D">
        <w:rPr>
          <w:rFonts w:ascii="Times New Roman" w:hAnsi="Times New Roman" w:cs="Times New Roman"/>
          <w:color w:val="000000" w:themeColor="text1"/>
          <w:sz w:val="20"/>
          <w:szCs w:val="20"/>
        </w:rPr>
        <w:t>which shows that diffusion theory not only offers a more nuanced approach to uncover how EU market-related norms and policies are promoted and received, but also effectively transcends the conventional distinction between the material and ideational, which has been central to discussions of EU foreign policy. The paper then examines the empirical case study of the EU’s promotion of market-related norms and policies in ASEAN. It not only disentangles the subjects of the EU’s externalization, but also identifies the key mechanisms</w:t>
      </w:r>
      <w:r w:rsidR="001E1182" w:rsidRPr="000E262D">
        <w:rPr>
          <w:rFonts w:ascii="Times New Roman" w:hAnsi="Times New Roman" w:cs="Times New Roman"/>
          <w:color w:val="000000" w:themeColor="text1"/>
          <w:sz w:val="20"/>
          <w:szCs w:val="20"/>
        </w:rPr>
        <w:t xml:space="preserve"> and </w:t>
      </w:r>
      <w:r w:rsidR="00340187" w:rsidRPr="000E262D">
        <w:rPr>
          <w:rFonts w:ascii="Times New Roman" w:hAnsi="Times New Roman" w:cs="Times New Roman"/>
          <w:color w:val="000000" w:themeColor="text1"/>
          <w:sz w:val="20"/>
          <w:szCs w:val="20"/>
        </w:rPr>
        <w:t>effectiveness</w:t>
      </w:r>
      <w:r w:rsidR="005561ED" w:rsidRPr="000E262D">
        <w:rPr>
          <w:rFonts w:ascii="Times New Roman" w:hAnsi="Times New Roman" w:cs="Times New Roman"/>
          <w:color w:val="000000" w:themeColor="text1"/>
          <w:sz w:val="20"/>
          <w:szCs w:val="20"/>
        </w:rPr>
        <w:t xml:space="preserve"> of the EU’s externalization of market-related norms and regulatory approaches. The paper then concludes with a summary of the research findings.</w:t>
      </w:r>
    </w:p>
    <w:p w14:paraId="2B5BFEFA" w14:textId="77777777" w:rsidR="00521BFB" w:rsidRPr="000E262D" w:rsidRDefault="00521BFB" w:rsidP="008A7331">
      <w:pPr>
        <w:rPr>
          <w:rFonts w:ascii="Times New Roman" w:hAnsi="Times New Roman" w:cs="Times New Roman"/>
          <w:color w:val="000000" w:themeColor="text1"/>
          <w:sz w:val="20"/>
          <w:szCs w:val="20"/>
        </w:rPr>
      </w:pPr>
    </w:p>
    <w:p w14:paraId="03517AB7" w14:textId="7EB86186" w:rsidR="00970767" w:rsidRPr="000E262D" w:rsidRDefault="00A773A8" w:rsidP="008A7331">
      <w:pPr>
        <w:pStyle w:val="a3"/>
        <w:numPr>
          <w:ilvl w:val="0"/>
          <w:numId w:val="7"/>
        </w:numPr>
        <w:ind w:firstLineChars="0"/>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Transnational diffusion literature</w:t>
      </w:r>
      <w:r w:rsidR="00780B22" w:rsidRPr="000E262D">
        <w:rPr>
          <w:rFonts w:ascii="Times New Roman" w:hAnsi="Times New Roman" w:cs="Times New Roman"/>
          <w:b/>
          <w:bCs/>
          <w:color w:val="000000" w:themeColor="text1"/>
          <w:sz w:val="20"/>
          <w:szCs w:val="20"/>
        </w:rPr>
        <w:t>: bridging the research on the EU’s normative and market</w:t>
      </w:r>
      <w:r w:rsidR="00353492" w:rsidRPr="000E262D">
        <w:rPr>
          <w:rFonts w:ascii="Times New Roman" w:hAnsi="Times New Roman" w:cs="Times New Roman"/>
          <w:b/>
          <w:bCs/>
          <w:color w:val="000000" w:themeColor="text1"/>
          <w:sz w:val="20"/>
          <w:szCs w:val="20"/>
        </w:rPr>
        <w:t xml:space="preserve"> </w:t>
      </w:r>
      <w:r w:rsidR="00780B22" w:rsidRPr="000E262D">
        <w:rPr>
          <w:rFonts w:ascii="Times New Roman" w:hAnsi="Times New Roman" w:cs="Times New Roman"/>
          <w:b/>
          <w:bCs/>
          <w:color w:val="000000" w:themeColor="text1"/>
          <w:sz w:val="20"/>
          <w:szCs w:val="20"/>
        </w:rPr>
        <w:t>power</w:t>
      </w:r>
    </w:p>
    <w:p w14:paraId="67DD734E" w14:textId="77777777" w:rsidR="00970767" w:rsidRPr="000E262D" w:rsidRDefault="00970767" w:rsidP="008A7331">
      <w:pPr>
        <w:rPr>
          <w:rFonts w:ascii="Times New Roman" w:hAnsi="Times New Roman" w:cs="Times New Roman"/>
          <w:color w:val="000000" w:themeColor="text1"/>
          <w:sz w:val="20"/>
          <w:szCs w:val="20"/>
        </w:rPr>
      </w:pPr>
    </w:p>
    <w:p w14:paraId="359D535A" w14:textId="77578C84" w:rsidR="00493D50" w:rsidRPr="000E262D" w:rsidRDefault="00493D50"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Diffusion is </w:t>
      </w:r>
      <w:r w:rsidR="00136D74" w:rsidRPr="000E262D">
        <w:rPr>
          <w:rFonts w:ascii="Times New Roman" w:hAnsi="Times New Roman" w:cs="Times New Roman"/>
          <w:color w:val="000000" w:themeColor="text1"/>
          <w:sz w:val="20"/>
          <w:szCs w:val="20"/>
        </w:rPr>
        <w:t>commonly</w:t>
      </w:r>
      <w:r w:rsidRPr="000E262D">
        <w:rPr>
          <w:rFonts w:ascii="Times New Roman" w:hAnsi="Times New Roman" w:cs="Times New Roman"/>
          <w:color w:val="000000" w:themeColor="text1"/>
          <w:sz w:val="20"/>
          <w:szCs w:val="20"/>
        </w:rPr>
        <w:t xml:space="preserve"> defined as a consequence of interdependent decision-making </w:t>
      </w:r>
      <w:r w:rsidRPr="000E262D">
        <w:rPr>
          <w:rFonts w:ascii="Times New Roman" w:hAnsi="Times New Roman" w:cs="Times New Roman"/>
          <w:color w:val="000000" w:themeColor="text1"/>
          <w:sz w:val="20"/>
          <w:szCs w:val="20"/>
        </w:rPr>
        <w:fldChar w:fldCharType="begin" w:fldLock="1"/>
      </w:r>
      <w:r w:rsidRPr="000E262D">
        <w:rPr>
          <w:rFonts w:ascii="Times New Roman" w:hAnsi="Times New Roman" w:cs="Times New Roman"/>
          <w:color w:val="000000" w:themeColor="text1"/>
          <w:sz w:val="20"/>
          <w:szCs w:val="20"/>
        </w:rPr>
        <w:instrText>ADDIN CSL_CITATION { "citationItems" : [ { "id" : "ITEM-1", "itemData" : { "DOI" : "http://dx.doi.org/10.4135/9781446247587.n18", "ISBN" : "9781849201506", "ISSN" : "1849201501", "abstract" : "** HAVE PDF IN ARTICLES BUT CRASHES MENDELEY **", "author" : [ { "dropping-particle" : "", "family" : "Gilardi", "given" : "Fabrizio", "non-dropping-particle" : "", "parse-names" : false, "suffix" : "" } ], "container-title" : "Handbook of International Relations", "id" : "ITEM-1", "issued" : { "date-parts" : [ [ "2012" ] ] }, "page" : "453-477", "title" : "Transnational Diffusion: Norms, Ideas, and Policies", "type" : "article-journal", "volume" : "1954" }, "uris" : [ "http://www.mendeley.com/documents/?uuid=36461587-d52c-49d0-9295-fe88794d6092" ] }, { "id" : "ITEM-2", "itemData" : { "author" : [ { "dropping-particle" : "", "family" : "Jahn", "given" : "D", "non-dropping-particle" : "", "parse-names" : false, "suffix" : "" } ], "container-title" : "International Organization", "id" : "ITEM-2", "issued" : { "date-parts" : [ [ "2006" ] ] }, "title" : "Globalization as 'Galton's problem': The missing link in the analysis of diffusion patterns in welfare state development", "type" : "article-journal" }, "uris" : [ "http://www.mendeley.com/documents/?uuid=7e11c7bd-3f28-3405-a348-38e6a04be346" ] }, { "id" : "ITEM-3", "itemData" : { "DOI" : "10.1111/isqu.12034", "ISSN" : "00208833", "author" : [ { "dropping-particle" : "", "family" : "Solingen", "given" : "Etel", "non-dropping-particle" : "", "parse-names" : false, "suffix" : "" } ], "container-title" : "International Studies Quarterly", "id" : "ITEM-3", "issue" : "4", "issued" : { "date-parts" : [ [ "2012", "12" ] ] }, "page" : "631-644", "title" : "Of Dominoes and Firewalls: The Domestic, Regional, and Global Politics of International Diffusion &lt;sup&gt;1&lt;/sup&gt;", "type" : "article-journal", "volume" : "56" }, "uris" : [ "http://www.mendeley.com/documents/?uuid=bf906bcf-3057-3182-86af-77942d433c8b" ] } ], "mendeley" : { "formattedCitation" : "(Gilardi 2012; Jahn 2006; Solingen 2012)", "manualFormatting" : "(Gilardi 2012, pp.454; Jahn 2006; Solingen 2012)", "plainTextFormattedCitation" : "(Gilardi 2012; Jahn 2006; Solingen 2012)", "previouslyFormattedCitation" : "(Gilardi 2012; Jahn 2006; Solingen 2012)" }, "properties" : { "noteIndex" : 0 }, "schema" : "https://github.com/citation-style-language/schema/raw/master/csl-citation.json" }</w:instrText>
      </w:r>
      <w:r w:rsidRPr="000E262D">
        <w:rPr>
          <w:rFonts w:ascii="Times New Roman" w:hAnsi="Times New Roman" w:cs="Times New Roman"/>
          <w:color w:val="000000" w:themeColor="text1"/>
          <w:sz w:val="20"/>
          <w:szCs w:val="20"/>
        </w:rPr>
        <w:fldChar w:fldCharType="separate"/>
      </w:r>
      <w:r w:rsidRPr="000E262D">
        <w:rPr>
          <w:rFonts w:ascii="Times New Roman" w:hAnsi="Times New Roman" w:cs="Times New Roman"/>
          <w:color w:val="000000" w:themeColor="text1"/>
          <w:sz w:val="20"/>
          <w:szCs w:val="20"/>
        </w:rPr>
        <w:t>(Gilardi 2012)</w:t>
      </w:r>
      <w:r w:rsidRPr="000E262D">
        <w:rPr>
          <w:rFonts w:ascii="Times New Roman" w:hAnsi="Times New Roman" w:cs="Times New Roman"/>
          <w:color w:val="000000" w:themeColor="text1"/>
          <w:sz w:val="20"/>
          <w:szCs w:val="20"/>
        </w:rPr>
        <w:fldChar w:fldCharType="end"/>
      </w:r>
      <w:r w:rsidRPr="000E262D">
        <w:rPr>
          <w:rFonts w:ascii="Times New Roman" w:hAnsi="Times New Roman" w:cs="Times New Roman"/>
          <w:color w:val="000000" w:themeColor="text1"/>
          <w:sz w:val="20"/>
          <w:szCs w:val="20"/>
        </w:rPr>
        <w:t xml:space="preserve">. Specifically, it examines how prior adoption of a trait or practice in a population alters the probability of adoption for </w:t>
      </w:r>
      <w:r w:rsidR="003D3E3C" w:rsidRPr="000E262D">
        <w:rPr>
          <w:rFonts w:ascii="Times New Roman" w:hAnsi="Times New Roman" w:cs="Times New Roman"/>
          <w:color w:val="000000" w:themeColor="text1"/>
          <w:sz w:val="20"/>
          <w:szCs w:val="20"/>
        </w:rPr>
        <w:t xml:space="preserve">the </w:t>
      </w:r>
      <w:r w:rsidRPr="000E262D">
        <w:rPr>
          <w:rFonts w:ascii="Times New Roman" w:hAnsi="Times New Roman" w:cs="Times New Roman"/>
          <w:color w:val="000000" w:themeColor="text1"/>
          <w:sz w:val="20"/>
          <w:szCs w:val="20"/>
        </w:rPr>
        <w:t xml:space="preserve">remaining non-adopters </w:t>
      </w:r>
      <w:r w:rsidRPr="000E262D">
        <w:rPr>
          <w:rFonts w:ascii="Times New Roman" w:hAnsi="Times New Roman" w:cs="Times New Roman"/>
          <w:color w:val="000000" w:themeColor="text1"/>
          <w:sz w:val="20"/>
          <w:szCs w:val="20"/>
        </w:rPr>
        <w:fldChar w:fldCharType="begin" w:fldLock="1"/>
      </w:r>
      <w:r w:rsidRPr="000E262D">
        <w:rPr>
          <w:rFonts w:ascii="Times New Roman" w:hAnsi="Times New Roman" w:cs="Times New Roman"/>
          <w:color w:val="000000" w:themeColor="text1"/>
          <w:sz w:val="20"/>
          <w:szCs w:val="20"/>
        </w:rPr>
        <w:instrText>ADDIN CSL_CITATION { "citationItems" : [ { "id" : "ITEM-1", "itemData" : { "author" : [ { "dropping-particle" : "", "family" : "Strang", "given" : "D", "non-dropping-particle" : "", "parse-names" : false, "suffix" : "" } ], "container-title" : "Sociological Methods &amp; Research", "id" : "ITEM-1", "issued" : { "date-parts" : [ [ "1991" ] ] }, "title" : "Adding Social Structure to Diffusion Models An Event History Framework", "type" : "article-journal" }, "uris" : [ "http://www.mendeley.com/documents/?uuid=df5de5a9-aae7-312b-87ff-65c11a315fe1" ] }, { "id" : "ITEM-2", "itemData" : { "author" : [ { "dropping-particle" : "", "family" : "Strang", "given" : "D", "non-dropping-particle" : "", "parse-names" : false, "suffix" : "" }, { "dropping-particle" : "", "family" : "Meyer", "given" : "JW", "non-dropping-particle" : "", "parse-names" : false, "suffix" : "" } ], "container-title" : "Theory and society", "id" : "ITEM-2", "issued" : { "date-parts" : [ [ "1993" ] ] }, "title" : "Institutional conditions for diffusion", "type" : "article-journal" }, "uris" : [ "http://www.mendeley.com/documents/?uuid=a445ffe7-3c05-395b-a524-ec106b92ca9d" ] }, { "id" : "ITEM-3", "itemData" : { "DOI" : "http://dx.doi.org/10.4135/9781446247587.n18", "ISBN" : "9781849201506", "ISSN" : "1849201501", "abstract" : "** HAVE PDF IN ARTICLES BUT CRASHES MENDELEY **", "author" : [ { "dropping-particle" : "", "family" : "Gilardi", "given" : "Fabrizio", "non-dropping-particle" : "", "parse-names" : false, "suffix" : "" } ], "container-title" : "Handbook of International Relations", "id" : "ITEM-3", "issued" : { "date-parts" : [ [ "2012" ] ] }, "page" : "453-477", "title" : "Transnational Diffusion: Norms, Ideas, and Policies", "type" : "article-journal", "volume" : "1954" }, "uris" : [ "http://www.mendeley.com/documents/?uuid=36461587-d52c-49d0-9295-fe88794d6092" ] }, { "id" : "ITEM-4", "itemData" : { "DOI" : "10.1111/isqu.12034", "ISSN" : "00208833", "author" : [ { "dropping-particle" : "", "family" : "Solingen", "given" : "Etel", "non-dropping-particle" : "", "parse-names" : false, "suffix" : "" } ], "container-title" : "International Studies Quarterly", "id" : "ITEM-4", "issue" : "4", "issued" : { "date-parts" : [ [ "2012", "12" ] ] }, "page" : "631-644", "title" : "Of Dominoes and Firewalls: The Domestic, Regional, and Global Politics of International Diffusion &lt;sup&gt;1&lt;/sup&gt;", "type" : "article-journal", "volume" : "56" }, "uris" : [ "http://www.mendeley.com/documents/?uuid=bf906bcf-3057-3182-86af-77942d433c8b" ] }, { "id" : "ITEM-5", "itemData" : { "DOI" : "10.1080/01402382.2012.631310", "ISBN" : "0140-2382", "ISSN" : "0140-2382", "PMID" : "69537560", "abstract" : "This special issue explores to what extent policies and institutions of the European Union spread across different contexts. Are the EU's attempts to transfer its policies and institutions to accession and neighbourhood countries sustainable and effective? To what degree do other regions of the world emulate the EU's institutional features; what are the mechanisms of, and scope conditions for, their diffusion? This introduction provides the conceptual framework of the special issue. First, it specifies EU-related institutional change as the ?dependent variable?. Second, it discusses how Europeanisation research and diffusion studies relate to each other and can be fruitfully combined to identify processes and mechanisms by which ideas and institutions of the EU spread. Third, we introduce scope conditions which are likely to affect domestic (or regional) change in response to the promotion or emulation of EU ideas and institutions.", "author" : [ { "dropping-particle" : "", "family" : "B\u00f6rzel", "given" : "Tanja a.", "non-dropping-particle" : "", "parse-names" : false, "suffix" : "" }, { "dropping-particle" : "", "family" : "Risse", "given" : "Thomas", "non-dropping-particle" : "", "parse-names" : false, "suffix" : "" } ], "container-title" : "West European Politics", "id" : "ITEM-5", "issue" : "1", "issued" : { "date-parts" : [ [ "2012" ] ] }, "page" : "1-19", "title" : "From Europeanisation to Diffusion: Introduction", "type" : "article-journal", "volume" : "35" }, "uris" : [ "http://www.mendeley.com/documents/?uuid=8c896eb8-9613-4122-9e8e-fe0c8de27425" ] } ], "mendeley" : { "formattedCitation" : "(Strang 1991; Strang &amp; Meyer 1993; Gilardi 2012; Solingen 2012; B\u00f6rzel &amp; Risse 2012)", "manualFormatting" : "(Strang 1991, pp.325; Strang &amp; Meyer 1993; Gilardi 2012; Solingen 2012; B\u00f6rzel &amp; Risse 2012)", "plainTextFormattedCitation" : "(Strang 1991; Strang &amp; Meyer 1993; Gilardi 2012; Solingen 2012; B\u00f6rzel &amp; Risse 2012)", "previouslyFormattedCitation" : "(Strang 1991; Strang and Meyer 1993; Gilardi 2012; Solingen 2012; B\u00f6rzel and Risse 2012)" }, "properties" : { "noteIndex" : 0 }, "schema" : "https://github.com/citation-style-language/schema/raw/master/csl-citation.json" }</w:instrText>
      </w:r>
      <w:r w:rsidRPr="000E262D">
        <w:rPr>
          <w:rFonts w:ascii="Times New Roman" w:hAnsi="Times New Roman" w:cs="Times New Roman"/>
          <w:color w:val="000000" w:themeColor="text1"/>
          <w:sz w:val="20"/>
          <w:szCs w:val="20"/>
        </w:rPr>
        <w:fldChar w:fldCharType="separate"/>
      </w:r>
      <w:r w:rsidRPr="000E262D">
        <w:rPr>
          <w:rFonts w:ascii="Times New Roman" w:hAnsi="Times New Roman" w:cs="Times New Roman"/>
          <w:color w:val="000000" w:themeColor="text1"/>
          <w:sz w:val="20"/>
          <w:szCs w:val="20"/>
        </w:rPr>
        <w:t>(Strang 1991)</w:t>
      </w:r>
      <w:r w:rsidRPr="000E262D">
        <w:rPr>
          <w:rFonts w:ascii="Times New Roman" w:hAnsi="Times New Roman" w:cs="Times New Roman"/>
          <w:color w:val="000000" w:themeColor="text1"/>
          <w:sz w:val="20"/>
          <w:szCs w:val="20"/>
        </w:rPr>
        <w:fldChar w:fldCharType="end"/>
      </w:r>
      <w:r w:rsidRPr="000E262D">
        <w:rPr>
          <w:rFonts w:ascii="Times New Roman" w:hAnsi="Times New Roman" w:cs="Times New Roman"/>
          <w:color w:val="000000" w:themeColor="text1"/>
          <w:sz w:val="20"/>
          <w:szCs w:val="20"/>
        </w:rPr>
        <w:t>. A rich volume of literature explains why and how international norms (</w:t>
      </w:r>
      <w:proofErr w:type="spellStart"/>
      <w:r w:rsidRPr="000E262D">
        <w:rPr>
          <w:rFonts w:ascii="Times New Roman" w:hAnsi="Times New Roman" w:cs="Times New Roman"/>
          <w:color w:val="000000" w:themeColor="text1"/>
          <w:sz w:val="20"/>
          <w:szCs w:val="20"/>
        </w:rPr>
        <w:t>Finnemore</w:t>
      </w:r>
      <w:proofErr w:type="spellEnd"/>
      <w:r w:rsidRPr="000E262D">
        <w:rPr>
          <w:rFonts w:ascii="Times New Roman" w:hAnsi="Times New Roman" w:cs="Times New Roman"/>
          <w:color w:val="000000" w:themeColor="text1"/>
          <w:sz w:val="20"/>
          <w:szCs w:val="20"/>
        </w:rPr>
        <w:t xml:space="preserve"> and </w:t>
      </w:r>
      <w:proofErr w:type="spellStart"/>
      <w:r w:rsidRPr="000E262D">
        <w:rPr>
          <w:rFonts w:ascii="Times New Roman" w:hAnsi="Times New Roman" w:cs="Times New Roman"/>
          <w:color w:val="000000" w:themeColor="text1"/>
          <w:sz w:val="20"/>
          <w:szCs w:val="20"/>
        </w:rPr>
        <w:t>Sikkink</w:t>
      </w:r>
      <w:proofErr w:type="spellEnd"/>
      <w:r w:rsidRPr="000E262D">
        <w:rPr>
          <w:rFonts w:ascii="Times New Roman" w:hAnsi="Times New Roman" w:cs="Times New Roman"/>
          <w:color w:val="000000" w:themeColor="text1"/>
          <w:sz w:val="20"/>
          <w:szCs w:val="20"/>
        </w:rPr>
        <w:t xml:space="preserve"> 1998; Acharya 2004; Zimmermann 2016) and concrete policy settings (Simmons and Elkins 2004; </w:t>
      </w:r>
      <w:proofErr w:type="spellStart"/>
      <w:r w:rsidRPr="000E262D">
        <w:rPr>
          <w:rFonts w:ascii="Times New Roman" w:hAnsi="Times New Roman" w:cs="Times New Roman"/>
          <w:color w:val="000000" w:themeColor="text1"/>
          <w:sz w:val="20"/>
          <w:szCs w:val="20"/>
        </w:rPr>
        <w:t>Gilardi</w:t>
      </w:r>
      <w:proofErr w:type="spellEnd"/>
      <w:r w:rsidRPr="000E262D">
        <w:rPr>
          <w:rFonts w:ascii="Times New Roman" w:hAnsi="Times New Roman" w:cs="Times New Roman"/>
          <w:color w:val="000000" w:themeColor="text1"/>
          <w:sz w:val="20"/>
          <w:szCs w:val="20"/>
        </w:rPr>
        <w:t xml:space="preserve"> and </w:t>
      </w:r>
      <w:proofErr w:type="spellStart"/>
      <w:r w:rsidRPr="000E262D">
        <w:rPr>
          <w:rFonts w:ascii="Times New Roman" w:hAnsi="Times New Roman" w:cs="Times New Roman"/>
          <w:color w:val="000000" w:themeColor="text1"/>
          <w:sz w:val="20"/>
          <w:szCs w:val="20"/>
        </w:rPr>
        <w:t>Füglister</w:t>
      </w:r>
      <w:proofErr w:type="spellEnd"/>
      <w:r w:rsidRPr="000E262D">
        <w:rPr>
          <w:rFonts w:ascii="Times New Roman" w:hAnsi="Times New Roman" w:cs="Times New Roman"/>
          <w:color w:val="000000" w:themeColor="text1"/>
          <w:sz w:val="20"/>
          <w:szCs w:val="20"/>
        </w:rPr>
        <w:t xml:space="preserve"> 2008) diffuse across the globe. </w:t>
      </w:r>
    </w:p>
    <w:p w14:paraId="0646F956" w14:textId="0119DC80" w:rsidR="00493D50" w:rsidRPr="000E262D" w:rsidRDefault="00493D50" w:rsidP="008A7331">
      <w:pPr>
        <w:rPr>
          <w:rFonts w:ascii="Times New Roman" w:hAnsi="Times New Roman" w:cs="Times New Roman"/>
          <w:color w:val="000000" w:themeColor="text1"/>
          <w:sz w:val="20"/>
          <w:szCs w:val="20"/>
        </w:rPr>
      </w:pPr>
    </w:p>
    <w:p w14:paraId="7D101552" w14:textId="062C7FD3" w:rsidR="00F82EEC" w:rsidRPr="000E262D" w:rsidRDefault="0012574C" w:rsidP="008A7331">
      <w:pPr>
        <w:rPr>
          <w:rFonts w:ascii="Times New Roman" w:hAnsi="Times New Roman" w:cs="Times New Roman"/>
          <w:color w:val="000000" w:themeColor="text1"/>
          <w:sz w:val="20"/>
          <w:szCs w:val="20"/>
          <w:lang w:val="en-US"/>
        </w:rPr>
      </w:pPr>
      <w:r w:rsidRPr="000E262D">
        <w:rPr>
          <w:rFonts w:ascii="Times New Roman" w:hAnsi="Times New Roman" w:cs="Times New Roman"/>
          <w:color w:val="000000" w:themeColor="text1"/>
          <w:sz w:val="20"/>
          <w:szCs w:val="20"/>
        </w:rPr>
        <w:t xml:space="preserve">Although diffusion is </w:t>
      </w:r>
      <w:r w:rsidR="00862844" w:rsidRPr="000E262D">
        <w:rPr>
          <w:rFonts w:ascii="Times New Roman" w:hAnsi="Times New Roman" w:cs="Times New Roman"/>
          <w:color w:val="000000" w:themeColor="text1"/>
          <w:sz w:val="20"/>
          <w:szCs w:val="20"/>
        </w:rPr>
        <w:t>uncommon in the discussions on the EU’s normative and market/regulatory power</w:t>
      </w:r>
      <w:r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lastRenderedPageBreak/>
        <w:t xml:space="preserve">this paper demonstrates that it can be an effective tool for </w:t>
      </w:r>
      <w:r w:rsidR="009E146A" w:rsidRPr="000E262D">
        <w:rPr>
          <w:rFonts w:ascii="Times New Roman" w:hAnsi="Times New Roman" w:cs="Times New Roman"/>
          <w:color w:val="000000" w:themeColor="text1"/>
          <w:sz w:val="20"/>
          <w:szCs w:val="20"/>
        </w:rPr>
        <w:t>understanding</w:t>
      </w:r>
      <w:r w:rsidRPr="000E262D">
        <w:rPr>
          <w:rFonts w:ascii="Times New Roman" w:hAnsi="Times New Roman" w:cs="Times New Roman"/>
          <w:color w:val="000000" w:themeColor="text1"/>
          <w:sz w:val="20"/>
          <w:szCs w:val="20"/>
        </w:rPr>
        <w:t xml:space="preserve"> the current subject matter</w:t>
      </w:r>
      <w:r w:rsidR="00AE44B4" w:rsidRPr="000E262D">
        <w:rPr>
          <w:rFonts w:ascii="Times New Roman" w:hAnsi="Times New Roman" w:cs="Times New Roman"/>
          <w:color w:val="000000" w:themeColor="text1"/>
          <w:sz w:val="20"/>
          <w:szCs w:val="20"/>
        </w:rPr>
        <w:t xml:space="preserve"> as well as for advancing the NPE and MPE/regulatory power approaches</w:t>
      </w:r>
      <w:r w:rsidRPr="000E262D">
        <w:rPr>
          <w:rFonts w:ascii="Times New Roman" w:hAnsi="Times New Roman" w:cs="Times New Roman"/>
          <w:color w:val="000000" w:themeColor="text1"/>
          <w:sz w:val="20"/>
          <w:szCs w:val="20"/>
        </w:rPr>
        <w:t>.</w:t>
      </w:r>
      <w:r w:rsidR="006B434D" w:rsidRPr="000E262D">
        <w:rPr>
          <w:rFonts w:ascii="Times New Roman" w:hAnsi="Times New Roman" w:cs="Times New Roman"/>
          <w:color w:val="000000" w:themeColor="text1"/>
          <w:sz w:val="20"/>
          <w:szCs w:val="20"/>
        </w:rPr>
        <w:t xml:space="preserve"> </w:t>
      </w:r>
      <w:r w:rsidR="002011D0" w:rsidRPr="000E262D">
        <w:rPr>
          <w:rFonts w:ascii="Times New Roman" w:hAnsi="Times New Roman" w:cs="Times New Roman"/>
          <w:color w:val="000000" w:themeColor="text1"/>
          <w:sz w:val="20"/>
          <w:szCs w:val="20"/>
        </w:rPr>
        <w:t xml:space="preserve">First, </w:t>
      </w:r>
      <w:r w:rsidRPr="000E262D">
        <w:rPr>
          <w:rFonts w:ascii="Times New Roman" w:hAnsi="Times New Roman" w:cs="Times New Roman"/>
          <w:color w:val="000000" w:themeColor="text1"/>
          <w:sz w:val="20"/>
          <w:szCs w:val="20"/>
        </w:rPr>
        <w:t>according to diffusion literature,</w:t>
      </w:r>
      <w:r w:rsidR="00301731" w:rsidRPr="000E262D">
        <w:rPr>
          <w:rFonts w:ascii="Times New Roman" w:hAnsi="Times New Roman" w:cs="Times New Roman"/>
          <w:color w:val="000000" w:themeColor="text1"/>
          <w:sz w:val="20"/>
          <w:szCs w:val="20"/>
        </w:rPr>
        <w:t xml:space="preserve"> </w:t>
      </w:r>
      <w:r w:rsidR="00125CDF" w:rsidRPr="000E262D">
        <w:rPr>
          <w:rFonts w:ascii="Times New Roman" w:hAnsi="Times New Roman" w:cs="Times New Roman"/>
          <w:color w:val="000000" w:themeColor="text1"/>
          <w:sz w:val="20"/>
          <w:szCs w:val="20"/>
        </w:rPr>
        <w:t>“</w:t>
      </w:r>
      <w:r w:rsidR="00301731" w:rsidRPr="000E262D">
        <w:rPr>
          <w:rFonts w:ascii="Times New Roman" w:hAnsi="Times New Roman" w:cs="Times New Roman"/>
          <w:color w:val="000000" w:themeColor="text1"/>
          <w:sz w:val="20"/>
          <w:szCs w:val="20"/>
        </w:rPr>
        <w:t xml:space="preserve">not all diffusion items share the same </w:t>
      </w:r>
      <w:r w:rsidR="00125CDF" w:rsidRPr="000E262D">
        <w:rPr>
          <w:rFonts w:ascii="Times New Roman" w:hAnsi="Times New Roman" w:cs="Times New Roman"/>
          <w:color w:val="000000" w:themeColor="text1"/>
          <w:sz w:val="20"/>
          <w:szCs w:val="20"/>
        </w:rPr>
        <w:t xml:space="preserve">characteristics” </w:t>
      </w:r>
      <w:r w:rsidR="00301731" w:rsidRPr="000E262D">
        <w:rPr>
          <w:rFonts w:ascii="Times New Roman" w:hAnsi="Times New Roman" w:cs="Times New Roman"/>
          <w:color w:val="000000" w:themeColor="text1"/>
          <w:sz w:val="20"/>
          <w:szCs w:val="20"/>
        </w:rPr>
        <w:t>as they differ in their degrees of specificity</w:t>
      </w:r>
      <w:r w:rsidR="0007645F" w:rsidRPr="000E262D">
        <w:rPr>
          <w:rFonts w:ascii="Times New Roman" w:hAnsi="Times New Roman" w:cs="Times New Roman"/>
          <w:color w:val="000000" w:themeColor="text1"/>
          <w:sz w:val="20"/>
          <w:szCs w:val="20"/>
        </w:rPr>
        <w:t xml:space="preserve"> (Klingler-</w:t>
      </w:r>
      <w:proofErr w:type="spellStart"/>
      <w:r w:rsidR="0007645F" w:rsidRPr="000E262D">
        <w:rPr>
          <w:rFonts w:ascii="Times New Roman" w:hAnsi="Times New Roman" w:cs="Times New Roman"/>
          <w:color w:val="000000" w:themeColor="text1"/>
          <w:sz w:val="20"/>
          <w:szCs w:val="20"/>
        </w:rPr>
        <w:t>Vidra</w:t>
      </w:r>
      <w:proofErr w:type="spellEnd"/>
      <w:r w:rsidR="0007645F" w:rsidRPr="000E262D">
        <w:rPr>
          <w:rFonts w:ascii="Times New Roman" w:hAnsi="Times New Roman" w:cs="Times New Roman"/>
          <w:color w:val="000000" w:themeColor="text1"/>
          <w:sz w:val="20"/>
          <w:szCs w:val="20"/>
        </w:rPr>
        <w:t xml:space="preserve"> and Schleifer 2014:269)</w:t>
      </w:r>
      <w:r w:rsidR="00694358" w:rsidRPr="000E262D">
        <w:rPr>
          <w:rFonts w:ascii="Times New Roman" w:hAnsi="Times New Roman" w:cs="Times New Roman"/>
          <w:color w:val="000000" w:themeColor="text1"/>
          <w:sz w:val="20"/>
          <w:szCs w:val="20"/>
        </w:rPr>
        <w:t xml:space="preserve">. Whereas normative power and market power/regulatory </w:t>
      </w:r>
      <w:r w:rsidR="00B25B10" w:rsidRPr="000E262D">
        <w:rPr>
          <w:rFonts w:ascii="Times New Roman" w:hAnsi="Times New Roman" w:cs="Times New Roman"/>
          <w:color w:val="000000" w:themeColor="text1"/>
          <w:sz w:val="20"/>
          <w:szCs w:val="20"/>
        </w:rPr>
        <w:t>approaches</w:t>
      </w:r>
      <w:r w:rsidR="00694358" w:rsidRPr="000E262D">
        <w:rPr>
          <w:rFonts w:ascii="Times New Roman" w:hAnsi="Times New Roman" w:cs="Times New Roman"/>
          <w:color w:val="000000" w:themeColor="text1"/>
          <w:sz w:val="20"/>
          <w:szCs w:val="20"/>
        </w:rPr>
        <w:t xml:space="preserve"> </w:t>
      </w:r>
      <w:r w:rsidR="00143E38" w:rsidRPr="000E262D">
        <w:rPr>
          <w:rFonts w:ascii="Times New Roman" w:hAnsi="Times New Roman" w:cs="Times New Roman"/>
          <w:color w:val="000000" w:themeColor="text1"/>
          <w:sz w:val="20"/>
          <w:szCs w:val="20"/>
        </w:rPr>
        <w:t xml:space="preserve">have not explicitly </w:t>
      </w:r>
      <w:r w:rsidR="00F81EEC" w:rsidRPr="000E262D">
        <w:rPr>
          <w:rFonts w:ascii="Times New Roman" w:hAnsi="Times New Roman" w:cs="Times New Roman"/>
          <w:color w:val="000000" w:themeColor="text1"/>
          <w:sz w:val="20"/>
          <w:szCs w:val="20"/>
        </w:rPr>
        <w:t>discuss</w:t>
      </w:r>
      <w:r w:rsidR="00576DA7" w:rsidRPr="000E262D">
        <w:rPr>
          <w:rFonts w:ascii="Times New Roman" w:hAnsi="Times New Roman" w:cs="Times New Roman"/>
          <w:color w:val="000000" w:themeColor="text1"/>
          <w:sz w:val="20"/>
          <w:szCs w:val="20"/>
        </w:rPr>
        <w:t>ed</w:t>
      </w:r>
      <w:r w:rsidR="00F81EEC" w:rsidRPr="000E262D">
        <w:rPr>
          <w:rFonts w:ascii="Times New Roman" w:hAnsi="Times New Roman" w:cs="Times New Roman"/>
          <w:color w:val="000000" w:themeColor="text1"/>
          <w:sz w:val="20"/>
          <w:szCs w:val="20"/>
        </w:rPr>
        <w:t xml:space="preserve"> </w:t>
      </w:r>
      <w:r w:rsidR="00576DA7" w:rsidRPr="000E262D">
        <w:rPr>
          <w:rFonts w:ascii="Times New Roman" w:hAnsi="Times New Roman" w:cs="Times New Roman"/>
          <w:color w:val="000000" w:themeColor="text1"/>
          <w:sz w:val="20"/>
          <w:szCs w:val="20"/>
        </w:rPr>
        <w:t xml:space="preserve">the </w:t>
      </w:r>
      <w:r w:rsidR="00694358" w:rsidRPr="000E262D">
        <w:rPr>
          <w:rFonts w:ascii="Times New Roman" w:hAnsi="Times New Roman" w:cs="Times New Roman"/>
          <w:color w:val="000000" w:themeColor="text1"/>
          <w:sz w:val="20"/>
          <w:szCs w:val="20"/>
        </w:rPr>
        <w:t xml:space="preserve">specificity of the EU’s items of externalization, </w:t>
      </w:r>
      <w:r w:rsidR="00576DA7" w:rsidRPr="000E262D">
        <w:rPr>
          <w:rFonts w:ascii="Times New Roman" w:hAnsi="Times New Roman" w:cs="Times New Roman"/>
          <w:color w:val="000000" w:themeColor="text1"/>
          <w:sz w:val="20"/>
          <w:szCs w:val="20"/>
        </w:rPr>
        <w:t>it can be observed that empirical research on the EU’s normative power primarily focuses on the Union’s promotion of socio-political norms and principles that are general and vague on details (e.g., human rights, democracy</w:t>
      </w:r>
      <w:r w:rsidR="000727FA" w:rsidRPr="000E262D">
        <w:rPr>
          <w:rFonts w:ascii="Times New Roman" w:hAnsi="Times New Roman" w:cs="Times New Roman"/>
          <w:color w:val="000000" w:themeColor="text1"/>
          <w:sz w:val="20"/>
          <w:szCs w:val="20"/>
        </w:rPr>
        <w:t>)</w:t>
      </w:r>
      <w:r w:rsidR="00576DA7" w:rsidRPr="000E262D">
        <w:rPr>
          <w:rFonts w:ascii="Times New Roman" w:hAnsi="Times New Roman" w:cs="Times New Roman"/>
          <w:color w:val="000000" w:themeColor="text1"/>
          <w:sz w:val="20"/>
          <w:szCs w:val="20"/>
        </w:rPr>
        <w:t>, with limited attention being paid to concrete diffusion items such as precise policy settings or regul</w:t>
      </w:r>
      <w:r w:rsidR="00576DA7" w:rsidRPr="000E262D">
        <w:rPr>
          <w:rFonts w:ascii="Times New Roman" w:hAnsi="Times New Roman" w:cs="Times New Roman"/>
          <w:color w:val="000000" w:themeColor="text1"/>
          <w:sz w:val="20"/>
          <w:szCs w:val="20"/>
          <w:lang w:val="en-US"/>
        </w:rPr>
        <w:t>ations</w:t>
      </w:r>
      <w:r w:rsidR="00353BF0" w:rsidRPr="000E262D">
        <w:rPr>
          <w:rFonts w:ascii="Times New Roman" w:hAnsi="Times New Roman" w:cs="Times New Roman"/>
          <w:color w:val="000000" w:themeColor="text1"/>
          <w:sz w:val="20"/>
          <w:szCs w:val="20"/>
          <w:lang w:val="en-US"/>
        </w:rPr>
        <w:t xml:space="preserve"> (see for example Lerch and </w:t>
      </w:r>
      <w:proofErr w:type="spellStart"/>
      <w:r w:rsidR="00353BF0" w:rsidRPr="000E262D">
        <w:rPr>
          <w:rFonts w:ascii="Times New Roman" w:hAnsi="Times New Roman" w:cs="Times New Roman"/>
          <w:color w:val="000000" w:themeColor="text1"/>
          <w:sz w:val="20"/>
          <w:szCs w:val="20"/>
          <w:lang w:val="en-US"/>
        </w:rPr>
        <w:t>Schwellnus</w:t>
      </w:r>
      <w:proofErr w:type="spellEnd"/>
      <w:r w:rsidR="00353BF0" w:rsidRPr="000E262D">
        <w:rPr>
          <w:rFonts w:ascii="Times New Roman" w:hAnsi="Times New Roman" w:cs="Times New Roman"/>
          <w:color w:val="000000" w:themeColor="text1"/>
          <w:sz w:val="20"/>
          <w:szCs w:val="20"/>
          <w:lang w:val="en-US"/>
        </w:rPr>
        <w:t xml:space="preserve"> 2006; Pace </w:t>
      </w:r>
      <w:r w:rsidR="008903B8" w:rsidRPr="000E262D">
        <w:rPr>
          <w:rFonts w:ascii="Times New Roman" w:hAnsi="Times New Roman" w:cs="Times New Roman"/>
          <w:color w:val="000000" w:themeColor="text1"/>
          <w:sz w:val="20"/>
          <w:szCs w:val="20"/>
          <w:lang w:val="en-US"/>
        </w:rPr>
        <w:t>and</w:t>
      </w:r>
      <w:r w:rsidR="00353BF0" w:rsidRPr="000E262D">
        <w:rPr>
          <w:rFonts w:ascii="Times New Roman" w:hAnsi="Times New Roman" w:cs="Times New Roman"/>
          <w:color w:val="000000" w:themeColor="text1"/>
          <w:sz w:val="20"/>
          <w:szCs w:val="20"/>
          <w:lang w:val="en-US"/>
        </w:rPr>
        <w:t xml:space="preserve"> </w:t>
      </w:r>
      <w:proofErr w:type="spellStart"/>
      <w:r w:rsidR="00353BF0" w:rsidRPr="000E262D">
        <w:rPr>
          <w:rFonts w:ascii="Times New Roman" w:hAnsi="Times New Roman" w:cs="Times New Roman"/>
          <w:color w:val="000000" w:themeColor="text1"/>
          <w:sz w:val="20"/>
          <w:szCs w:val="20"/>
          <w:lang w:val="en-US"/>
        </w:rPr>
        <w:t>Seeberg</w:t>
      </w:r>
      <w:proofErr w:type="spellEnd"/>
      <w:r w:rsidR="00353BF0" w:rsidRPr="000E262D">
        <w:rPr>
          <w:rFonts w:ascii="Times New Roman" w:hAnsi="Times New Roman" w:cs="Times New Roman"/>
          <w:color w:val="000000" w:themeColor="text1"/>
          <w:sz w:val="20"/>
          <w:szCs w:val="20"/>
          <w:lang w:val="en-US"/>
        </w:rPr>
        <w:t xml:space="preserve"> 20</w:t>
      </w:r>
      <w:r w:rsidR="008903B8" w:rsidRPr="000E262D">
        <w:rPr>
          <w:rFonts w:ascii="Times New Roman" w:hAnsi="Times New Roman" w:cs="Times New Roman"/>
          <w:color w:val="000000" w:themeColor="text1"/>
          <w:sz w:val="20"/>
          <w:szCs w:val="20"/>
          <w:lang w:val="en-US"/>
        </w:rPr>
        <w:t>13</w:t>
      </w:r>
      <w:r w:rsidR="00353BF0" w:rsidRPr="000E262D">
        <w:rPr>
          <w:rFonts w:ascii="Times New Roman" w:hAnsi="Times New Roman" w:cs="Times New Roman"/>
          <w:color w:val="000000" w:themeColor="text1"/>
          <w:sz w:val="20"/>
          <w:szCs w:val="20"/>
          <w:lang w:val="en-US"/>
        </w:rPr>
        <w:t>)</w:t>
      </w:r>
      <w:r w:rsidR="00576DA7" w:rsidRPr="000E262D">
        <w:rPr>
          <w:rFonts w:ascii="Times New Roman" w:hAnsi="Times New Roman" w:cs="Times New Roman"/>
          <w:color w:val="000000" w:themeColor="text1"/>
          <w:sz w:val="20"/>
          <w:szCs w:val="20"/>
          <w:lang w:val="en-US"/>
        </w:rPr>
        <w:t xml:space="preserve">. </w:t>
      </w:r>
      <w:r w:rsidR="00576DA7" w:rsidRPr="000E262D">
        <w:rPr>
          <w:rFonts w:ascii="Times New Roman" w:hAnsi="Times New Roman" w:cs="Times New Roman"/>
          <w:color w:val="000000" w:themeColor="text1"/>
          <w:sz w:val="20"/>
          <w:szCs w:val="20"/>
        </w:rPr>
        <w:t xml:space="preserve">To the contrary, market power/regulatory power literature prioritizes more specific </w:t>
      </w:r>
      <w:r w:rsidR="00576DA7" w:rsidRPr="000E262D">
        <w:rPr>
          <w:rFonts w:ascii="Times New Roman" w:hAnsi="Times New Roman" w:cs="Times New Roman"/>
          <w:color w:val="000000" w:themeColor="text1"/>
          <w:sz w:val="20"/>
          <w:szCs w:val="20"/>
          <w:lang w:val="en-US"/>
        </w:rPr>
        <w:t xml:space="preserve">‘market-related policies and regulatory measures’ that cover various types of ‘internal EU legislation and instruments’, while neglecting </w:t>
      </w:r>
      <w:r w:rsidR="00B25B10" w:rsidRPr="000E262D">
        <w:rPr>
          <w:rFonts w:ascii="Times New Roman" w:hAnsi="Times New Roman" w:cs="Times New Roman"/>
          <w:color w:val="000000" w:themeColor="text1"/>
          <w:sz w:val="20"/>
          <w:szCs w:val="20"/>
          <w:lang w:val="en-US"/>
        </w:rPr>
        <w:t xml:space="preserve">the EU’s diffusion of </w:t>
      </w:r>
      <w:r w:rsidR="00576DA7" w:rsidRPr="000E262D">
        <w:rPr>
          <w:rFonts w:ascii="Times New Roman" w:hAnsi="Times New Roman" w:cs="Times New Roman"/>
          <w:color w:val="000000" w:themeColor="text1"/>
          <w:sz w:val="20"/>
          <w:szCs w:val="20"/>
          <w:lang w:val="en-US"/>
        </w:rPr>
        <w:t>general ideas and principles (</w:t>
      </w:r>
      <w:proofErr w:type="spellStart"/>
      <w:r w:rsidR="00576DA7" w:rsidRPr="000E262D">
        <w:rPr>
          <w:rFonts w:ascii="Times New Roman" w:hAnsi="Times New Roman" w:cs="Times New Roman"/>
          <w:color w:val="000000" w:themeColor="text1"/>
          <w:sz w:val="20"/>
          <w:szCs w:val="20"/>
          <w:lang w:val="en-US"/>
        </w:rPr>
        <w:t>Damro</w:t>
      </w:r>
      <w:proofErr w:type="spellEnd"/>
      <w:r w:rsidR="00576DA7" w:rsidRPr="000E262D">
        <w:rPr>
          <w:rFonts w:ascii="Times New Roman" w:hAnsi="Times New Roman" w:cs="Times New Roman"/>
          <w:color w:val="000000" w:themeColor="text1"/>
          <w:sz w:val="20"/>
          <w:szCs w:val="20"/>
          <w:lang w:val="en-US"/>
        </w:rPr>
        <w:t xml:space="preserve"> and Friedman 2018:1398).</w:t>
      </w:r>
      <w:r w:rsidR="00B25B10" w:rsidRPr="000E262D">
        <w:rPr>
          <w:rFonts w:ascii="Times New Roman" w:hAnsi="Times New Roman" w:cs="Times New Roman"/>
          <w:color w:val="000000" w:themeColor="text1"/>
          <w:sz w:val="20"/>
          <w:szCs w:val="20"/>
          <w:lang w:val="en-US"/>
        </w:rPr>
        <w:t xml:space="preserve"> </w:t>
      </w:r>
      <w:r w:rsidR="00F82EEC" w:rsidRPr="000E262D">
        <w:rPr>
          <w:rFonts w:ascii="Times New Roman" w:hAnsi="Times New Roman" w:cs="Times New Roman"/>
          <w:color w:val="000000" w:themeColor="text1"/>
          <w:sz w:val="20"/>
          <w:szCs w:val="20"/>
          <w:lang w:val="en-US"/>
        </w:rPr>
        <w:t xml:space="preserve">Diffusion literature helps bridge this gap and allows a more nuanced understanding of the substance of the EU’s subjects of externalization. </w:t>
      </w:r>
    </w:p>
    <w:p w14:paraId="7142B978" w14:textId="77777777" w:rsidR="00F82EEC" w:rsidRPr="000E262D" w:rsidRDefault="00F82EEC" w:rsidP="008A7331">
      <w:pPr>
        <w:rPr>
          <w:rFonts w:ascii="Times New Roman" w:hAnsi="Times New Roman" w:cs="Times New Roman"/>
          <w:color w:val="000000" w:themeColor="text1"/>
          <w:sz w:val="20"/>
          <w:szCs w:val="20"/>
          <w:lang w:val="en-US"/>
        </w:rPr>
      </w:pPr>
    </w:p>
    <w:p w14:paraId="35F16C20" w14:textId="4EE7B2EB" w:rsidR="006D2953" w:rsidRPr="000E262D" w:rsidRDefault="00F82EEC"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lang w:val="en-US"/>
        </w:rPr>
        <w:t xml:space="preserve">Specifically, </w:t>
      </w:r>
      <w:r w:rsidR="00694358" w:rsidRPr="000E262D">
        <w:rPr>
          <w:rFonts w:ascii="Times New Roman" w:hAnsi="Times New Roman" w:cs="Times New Roman"/>
          <w:color w:val="000000" w:themeColor="text1"/>
          <w:sz w:val="20"/>
          <w:szCs w:val="20"/>
        </w:rPr>
        <w:t xml:space="preserve">diffusion literature </w:t>
      </w:r>
      <w:r w:rsidR="007E53A6" w:rsidRPr="000E262D">
        <w:rPr>
          <w:rFonts w:ascii="Times New Roman" w:hAnsi="Times New Roman" w:cs="Times New Roman"/>
          <w:color w:val="000000" w:themeColor="text1"/>
          <w:sz w:val="20"/>
          <w:szCs w:val="20"/>
        </w:rPr>
        <w:t>differentiates diffusion items into three categories according to the levels of specificity: (</w:t>
      </w:r>
      <w:r w:rsidR="008843F0" w:rsidRPr="000E262D">
        <w:rPr>
          <w:rFonts w:ascii="Times New Roman" w:hAnsi="Times New Roman" w:cs="Times New Roman"/>
          <w:color w:val="000000" w:themeColor="text1"/>
          <w:sz w:val="20"/>
          <w:szCs w:val="20"/>
        </w:rPr>
        <w:t>1</w:t>
      </w:r>
      <w:r w:rsidR="007E53A6" w:rsidRPr="000E262D">
        <w:rPr>
          <w:rFonts w:ascii="Times New Roman" w:hAnsi="Times New Roman" w:cs="Times New Roman"/>
          <w:color w:val="000000" w:themeColor="text1"/>
          <w:sz w:val="20"/>
          <w:szCs w:val="20"/>
        </w:rPr>
        <w:t xml:space="preserve">) </w:t>
      </w:r>
      <w:r w:rsidR="00143E38" w:rsidRPr="000E262D">
        <w:rPr>
          <w:rFonts w:ascii="Times New Roman" w:hAnsi="Times New Roman" w:cs="Times New Roman"/>
          <w:color w:val="000000" w:themeColor="text1"/>
          <w:sz w:val="20"/>
          <w:szCs w:val="20"/>
        </w:rPr>
        <w:t xml:space="preserve">the </w:t>
      </w:r>
      <w:r w:rsidR="007E53A6" w:rsidRPr="000E262D">
        <w:rPr>
          <w:rFonts w:ascii="Times New Roman" w:hAnsi="Times New Roman" w:cs="Times New Roman"/>
          <w:color w:val="000000" w:themeColor="text1"/>
          <w:sz w:val="20"/>
          <w:szCs w:val="20"/>
        </w:rPr>
        <w:t>overarching ideas</w:t>
      </w:r>
      <w:r w:rsidR="00143E38" w:rsidRPr="000E262D">
        <w:rPr>
          <w:rFonts w:ascii="Times New Roman" w:hAnsi="Times New Roman" w:cs="Times New Roman"/>
          <w:color w:val="000000" w:themeColor="text1"/>
          <w:sz w:val="20"/>
          <w:szCs w:val="20"/>
        </w:rPr>
        <w:t xml:space="preserve"> with low level of specificity</w:t>
      </w:r>
      <w:r w:rsidR="008843F0" w:rsidRPr="000E262D">
        <w:rPr>
          <w:rFonts w:ascii="Times New Roman" w:hAnsi="Times New Roman" w:cs="Times New Roman"/>
          <w:color w:val="000000" w:themeColor="text1"/>
          <w:sz w:val="20"/>
          <w:szCs w:val="20"/>
        </w:rPr>
        <w:t>,</w:t>
      </w:r>
      <w:r w:rsidR="007E53A6" w:rsidRPr="000E262D">
        <w:rPr>
          <w:rFonts w:ascii="Times New Roman" w:hAnsi="Times New Roman" w:cs="Times New Roman"/>
          <w:color w:val="000000" w:themeColor="text1"/>
          <w:sz w:val="20"/>
          <w:szCs w:val="20"/>
        </w:rPr>
        <w:t xml:space="preserve"> (</w:t>
      </w:r>
      <w:r w:rsidR="008843F0" w:rsidRPr="000E262D">
        <w:rPr>
          <w:rFonts w:ascii="Times New Roman" w:hAnsi="Times New Roman" w:cs="Times New Roman"/>
          <w:color w:val="000000" w:themeColor="text1"/>
          <w:sz w:val="20"/>
          <w:szCs w:val="20"/>
        </w:rPr>
        <w:t>2</w:t>
      </w:r>
      <w:r w:rsidR="007E53A6" w:rsidRPr="000E262D">
        <w:rPr>
          <w:rFonts w:ascii="Times New Roman" w:hAnsi="Times New Roman" w:cs="Times New Roman"/>
          <w:color w:val="000000" w:themeColor="text1"/>
          <w:sz w:val="20"/>
          <w:szCs w:val="20"/>
        </w:rPr>
        <w:t xml:space="preserve">) </w:t>
      </w:r>
      <w:r w:rsidR="00143E38" w:rsidRPr="000E262D">
        <w:rPr>
          <w:rFonts w:ascii="Times New Roman" w:hAnsi="Times New Roman" w:cs="Times New Roman"/>
          <w:color w:val="000000" w:themeColor="text1"/>
          <w:sz w:val="20"/>
          <w:szCs w:val="20"/>
        </w:rPr>
        <w:t xml:space="preserve">the governance model with middle level specificity, and </w:t>
      </w:r>
      <w:r w:rsidR="007E53A6" w:rsidRPr="000E262D">
        <w:rPr>
          <w:rFonts w:ascii="Times New Roman" w:hAnsi="Times New Roman" w:cs="Times New Roman"/>
          <w:color w:val="000000" w:themeColor="text1"/>
          <w:sz w:val="20"/>
          <w:szCs w:val="20"/>
        </w:rPr>
        <w:t>(</w:t>
      </w:r>
      <w:r w:rsidR="008843F0" w:rsidRPr="000E262D">
        <w:rPr>
          <w:rFonts w:ascii="Times New Roman" w:hAnsi="Times New Roman" w:cs="Times New Roman"/>
          <w:color w:val="000000" w:themeColor="text1"/>
          <w:sz w:val="20"/>
          <w:szCs w:val="20"/>
        </w:rPr>
        <w:t>3</w:t>
      </w:r>
      <w:r w:rsidR="007E53A6" w:rsidRPr="000E262D">
        <w:rPr>
          <w:rFonts w:ascii="Times New Roman" w:hAnsi="Times New Roman" w:cs="Times New Roman"/>
          <w:color w:val="000000" w:themeColor="text1"/>
          <w:sz w:val="20"/>
          <w:szCs w:val="20"/>
        </w:rPr>
        <w:t>) precise policy settings</w:t>
      </w:r>
      <w:r w:rsidR="00143E38" w:rsidRPr="000E262D">
        <w:rPr>
          <w:rFonts w:ascii="Times New Roman" w:hAnsi="Times New Roman" w:cs="Times New Roman"/>
          <w:color w:val="000000" w:themeColor="text1"/>
          <w:sz w:val="20"/>
          <w:szCs w:val="20"/>
        </w:rPr>
        <w:t xml:space="preserve"> with high degree of specificity</w:t>
      </w:r>
      <w:r w:rsidR="007E53A6" w:rsidRPr="000E262D">
        <w:rPr>
          <w:rFonts w:ascii="Times New Roman" w:hAnsi="Times New Roman" w:cs="Times New Roman"/>
          <w:color w:val="000000" w:themeColor="text1"/>
          <w:sz w:val="20"/>
          <w:szCs w:val="20"/>
        </w:rPr>
        <w:t xml:space="preserve"> (see for example Klingler-</w:t>
      </w:r>
      <w:proofErr w:type="spellStart"/>
      <w:r w:rsidR="007E53A6" w:rsidRPr="000E262D">
        <w:rPr>
          <w:rFonts w:ascii="Times New Roman" w:hAnsi="Times New Roman" w:cs="Times New Roman"/>
          <w:color w:val="000000" w:themeColor="text1"/>
          <w:sz w:val="20"/>
          <w:szCs w:val="20"/>
        </w:rPr>
        <w:t>Vidra</w:t>
      </w:r>
      <w:proofErr w:type="spellEnd"/>
      <w:r w:rsidR="007E53A6" w:rsidRPr="000E262D">
        <w:rPr>
          <w:rFonts w:ascii="Times New Roman" w:hAnsi="Times New Roman" w:cs="Times New Roman"/>
          <w:color w:val="000000" w:themeColor="text1"/>
          <w:sz w:val="20"/>
          <w:szCs w:val="20"/>
        </w:rPr>
        <w:t xml:space="preserve"> and Schleifer 2014</w:t>
      </w:r>
      <w:r w:rsidR="006574CC" w:rsidRPr="000E262D">
        <w:rPr>
          <w:rFonts w:ascii="Times New Roman" w:hAnsi="Times New Roman" w:cs="Times New Roman"/>
          <w:color w:val="000000" w:themeColor="text1"/>
          <w:sz w:val="20"/>
          <w:szCs w:val="20"/>
        </w:rPr>
        <w:t>).</w:t>
      </w:r>
      <w:r w:rsidR="00694358" w:rsidRPr="000E262D">
        <w:rPr>
          <w:rFonts w:ascii="Times New Roman" w:hAnsi="Times New Roman" w:cs="Times New Roman"/>
          <w:color w:val="000000" w:themeColor="text1"/>
          <w:sz w:val="20"/>
          <w:szCs w:val="20"/>
        </w:rPr>
        <w:t xml:space="preserve"> </w:t>
      </w:r>
      <w:r w:rsidR="004C7291" w:rsidRPr="000E262D">
        <w:rPr>
          <w:rFonts w:ascii="Times New Roman" w:hAnsi="Times New Roman" w:cs="Times New Roman"/>
          <w:color w:val="000000" w:themeColor="text1"/>
          <w:sz w:val="20"/>
          <w:szCs w:val="20"/>
        </w:rPr>
        <w:t>Analysing</w:t>
      </w:r>
      <w:r w:rsidR="008A1424" w:rsidRPr="000E262D">
        <w:rPr>
          <w:rFonts w:ascii="Times New Roman" w:hAnsi="Times New Roman" w:cs="Times New Roman"/>
          <w:color w:val="000000" w:themeColor="text1"/>
          <w:sz w:val="20"/>
          <w:szCs w:val="20"/>
        </w:rPr>
        <w:t xml:space="preserve"> EU diffusion items in such way</w:t>
      </w:r>
      <w:r w:rsidRPr="000E262D">
        <w:rPr>
          <w:rFonts w:ascii="Times New Roman" w:hAnsi="Times New Roman" w:cs="Times New Roman"/>
          <w:color w:val="000000" w:themeColor="text1"/>
          <w:sz w:val="20"/>
          <w:szCs w:val="20"/>
        </w:rPr>
        <w:t>, diffusion literature effectively bridge</w:t>
      </w:r>
      <w:r w:rsidR="0016776F" w:rsidRPr="000E262D">
        <w:rPr>
          <w:rFonts w:ascii="Times New Roman" w:hAnsi="Times New Roman" w:cs="Times New Roman"/>
          <w:color w:val="000000" w:themeColor="text1"/>
          <w:sz w:val="20"/>
          <w:szCs w:val="20"/>
        </w:rPr>
        <w:t>s</w:t>
      </w:r>
      <w:r w:rsidRPr="000E262D">
        <w:rPr>
          <w:rFonts w:ascii="Times New Roman" w:hAnsi="Times New Roman" w:cs="Times New Roman"/>
          <w:color w:val="000000" w:themeColor="text1"/>
          <w:sz w:val="20"/>
          <w:szCs w:val="20"/>
        </w:rPr>
        <w:t xml:space="preserve"> the NPE and MPE or regulatory approaches by a</w:t>
      </w:r>
      <w:r w:rsidR="003A0705" w:rsidRPr="000E262D">
        <w:rPr>
          <w:rFonts w:ascii="Times New Roman" w:hAnsi="Times New Roman" w:cs="Times New Roman"/>
          <w:color w:val="000000" w:themeColor="text1"/>
          <w:sz w:val="20"/>
          <w:szCs w:val="20"/>
        </w:rPr>
        <w:t xml:space="preserve">ttaching </w:t>
      </w:r>
      <w:r w:rsidR="006D2953" w:rsidRPr="000E262D">
        <w:rPr>
          <w:rFonts w:ascii="Times New Roman" w:hAnsi="Times New Roman" w:cs="Times New Roman"/>
          <w:color w:val="000000" w:themeColor="text1"/>
          <w:sz w:val="20"/>
          <w:szCs w:val="20"/>
        </w:rPr>
        <w:t xml:space="preserve">equal importance to </w:t>
      </w:r>
      <w:r w:rsidR="00AB64C0" w:rsidRPr="000E262D">
        <w:rPr>
          <w:rFonts w:ascii="Times New Roman" w:hAnsi="Times New Roman" w:cs="Times New Roman"/>
          <w:color w:val="000000" w:themeColor="text1"/>
          <w:sz w:val="20"/>
          <w:szCs w:val="20"/>
        </w:rPr>
        <w:t>overarching ideas</w:t>
      </w:r>
      <w:r w:rsidR="0012574C" w:rsidRPr="000E262D">
        <w:rPr>
          <w:rFonts w:ascii="Times New Roman" w:hAnsi="Times New Roman" w:cs="Times New Roman"/>
          <w:color w:val="000000" w:themeColor="text1"/>
          <w:sz w:val="20"/>
          <w:szCs w:val="20"/>
        </w:rPr>
        <w:t xml:space="preserve"> or </w:t>
      </w:r>
      <w:r w:rsidR="00E01479" w:rsidRPr="000E262D">
        <w:rPr>
          <w:rFonts w:ascii="Times New Roman" w:hAnsi="Times New Roman" w:cs="Times New Roman"/>
          <w:color w:val="000000" w:themeColor="text1"/>
          <w:sz w:val="20"/>
          <w:szCs w:val="20"/>
        </w:rPr>
        <w:t>norms</w:t>
      </w:r>
      <w:r w:rsidR="00AB64C0" w:rsidRPr="000E262D">
        <w:rPr>
          <w:rFonts w:ascii="Times New Roman" w:hAnsi="Times New Roman" w:cs="Times New Roman"/>
          <w:color w:val="000000" w:themeColor="text1"/>
          <w:sz w:val="20"/>
          <w:szCs w:val="20"/>
        </w:rPr>
        <w:t xml:space="preserve"> and concrete policy prescriptions</w:t>
      </w:r>
      <w:r w:rsidR="00E01479" w:rsidRPr="000E262D">
        <w:rPr>
          <w:rFonts w:ascii="Times New Roman" w:hAnsi="Times New Roman" w:cs="Times New Roman"/>
          <w:color w:val="000000" w:themeColor="text1"/>
          <w:sz w:val="20"/>
          <w:szCs w:val="20"/>
        </w:rPr>
        <w:t xml:space="preserve"> </w:t>
      </w:r>
      <w:r w:rsidR="00F73660" w:rsidRPr="000E262D">
        <w:rPr>
          <w:rFonts w:ascii="Times New Roman" w:hAnsi="Times New Roman" w:cs="Times New Roman"/>
          <w:color w:val="000000" w:themeColor="text1"/>
          <w:sz w:val="20"/>
          <w:szCs w:val="20"/>
        </w:rPr>
        <w:t>in the diffusion processes</w:t>
      </w:r>
      <w:r w:rsidRPr="000E262D">
        <w:rPr>
          <w:rFonts w:ascii="Times New Roman" w:hAnsi="Times New Roman" w:cs="Times New Roman"/>
          <w:color w:val="000000" w:themeColor="text1"/>
          <w:sz w:val="20"/>
          <w:szCs w:val="20"/>
        </w:rPr>
        <w:t xml:space="preserve">. In other words, it </w:t>
      </w:r>
      <w:r w:rsidR="00CC4EFC" w:rsidRPr="000E262D">
        <w:rPr>
          <w:rFonts w:ascii="Times New Roman" w:hAnsi="Times New Roman" w:cs="Times New Roman"/>
          <w:color w:val="000000" w:themeColor="text1"/>
          <w:sz w:val="20"/>
          <w:szCs w:val="20"/>
        </w:rPr>
        <w:t xml:space="preserve">encompasses the analyses of </w:t>
      </w:r>
      <w:r w:rsidR="006D2953" w:rsidRPr="000E262D">
        <w:rPr>
          <w:rFonts w:ascii="Times New Roman" w:hAnsi="Times New Roman" w:cs="Times New Roman"/>
          <w:color w:val="000000" w:themeColor="text1"/>
          <w:sz w:val="20"/>
          <w:szCs w:val="20"/>
        </w:rPr>
        <w:t xml:space="preserve">the EU’s </w:t>
      </w:r>
      <w:r w:rsidR="00E01479" w:rsidRPr="000E262D">
        <w:rPr>
          <w:rFonts w:ascii="Times New Roman" w:hAnsi="Times New Roman" w:cs="Times New Roman"/>
          <w:color w:val="000000" w:themeColor="text1"/>
          <w:sz w:val="20"/>
          <w:szCs w:val="20"/>
        </w:rPr>
        <w:t>externalization</w:t>
      </w:r>
      <w:r w:rsidR="006F63AE" w:rsidRPr="000E262D">
        <w:rPr>
          <w:rFonts w:ascii="Times New Roman" w:hAnsi="Times New Roman" w:cs="Times New Roman"/>
          <w:color w:val="000000" w:themeColor="text1"/>
          <w:sz w:val="20"/>
          <w:szCs w:val="20"/>
        </w:rPr>
        <w:t xml:space="preserve"> of both general</w:t>
      </w:r>
      <w:r w:rsidR="006D2953" w:rsidRPr="000E262D">
        <w:rPr>
          <w:rFonts w:ascii="Times New Roman" w:hAnsi="Times New Roman" w:cs="Times New Roman"/>
          <w:color w:val="000000" w:themeColor="text1"/>
          <w:sz w:val="20"/>
          <w:szCs w:val="20"/>
        </w:rPr>
        <w:t xml:space="preserve"> </w:t>
      </w:r>
      <w:r w:rsidR="00E01479" w:rsidRPr="000E262D">
        <w:rPr>
          <w:rFonts w:ascii="Times New Roman" w:hAnsi="Times New Roman" w:cs="Times New Roman"/>
          <w:color w:val="000000" w:themeColor="text1"/>
          <w:sz w:val="20"/>
          <w:szCs w:val="20"/>
        </w:rPr>
        <w:t>market liberal</w:t>
      </w:r>
      <w:r w:rsidR="006D2953" w:rsidRPr="000E262D">
        <w:rPr>
          <w:rFonts w:ascii="Times New Roman" w:hAnsi="Times New Roman" w:cs="Times New Roman"/>
          <w:color w:val="000000" w:themeColor="text1"/>
          <w:sz w:val="20"/>
          <w:szCs w:val="20"/>
        </w:rPr>
        <w:t xml:space="preserve"> norms and precise market-related policies and regulations</w:t>
      </w:r>
      <w:r w:rsidR="00CC4EFC" w:rsidRPr="000E262D">
        <w:rPr>
          <w:rFonts w:ascii="Times New Roman" w:hAnsi="Times New Roman" w:cs="Times New Roman"/>
          <w:color w:val="000000" w:themeColor="text1"/>
          <w:sz w:val="20"/>
          <w:szCs w:val="20"/>
        </w:rPr>
        <w:t xml:space="preserve">. </w:t>
      </w:r>
      <w:r w:rsidR="00AB64C0" w:rsidRPr="000E262D">
        <w:rPr>
          <w:rFonts w:ascii="Times New Roman" w:hAnsi="Times New Roman" w:cs="Times New Roman"/>
          <w:color w:val="000000" w:themeColor="text1"/>
          <w:sz w:val="20"/>
          <w:szCs w:val="20"/>
        </w:rPr>
        <w:t xml:space="preserve"> </w:t>
      </w:r>
    </w:p>
    <w:p w14:paraId="09CDD69A" w14:textId="77777777" w:rsidR="006D2953" w:rsidRPr="000E262D" w:rsidRDefault="006D2953" w:rsidP="008A7331">
      <w:pPr>
        <w:rPr>
          <w:rFonts w:ascii="Times New Roman" w:hAnsi="Times New Roman" w:cs="Times New Roman"/>
          <w:color w:val="000000" w:themeColor="text1"/>
          <w:sz w:val="20"/>
          <w:szCs w:val="20"/>
        </w:rPr>
      </w:pPr>
    </w:p>
    <w:p w14:paraId="0A49B56E" w14:textId="6E20E6DB" w:rsidR="00AE6B3A" w:rsidRPr="000E262D" w:rsidRDefault="00312563"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Second</w:t>
      </w:r>
      <w:r w:rsidR="00050BD5"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diffusion literature offers a more nuance</w:t>
      </w:r>
      <w:r w:rsidR="00CB0D88" w:rsidRPr="000E262D">
        <w:rPr>
          <w:rFonts w:ascii="Times New Roman" w:hAnsi="Times New Roman" w:cs="Times New Roman"/>
          <w:color w:val="000000" w:themeColor="text1"/>
          <w:sz w:val="20"/>
          <w:szCs w:val="20"/>
        </w:rPr>
        <w:t>d insight into</w:t>
      </w:r>
      <w:r w:rsidR="00050BD5" w:rsidRPr="000E262D">
        <w:rPr>
          <w:rFonts w:ascii="Times New Roman" w:hAnsi="Times New Roman" w:cs="Times New Roman"/>
          <w:color w:val="000000" w:themeColor="text1"/>
          <w:sz w:val="20"/>
          <w:szCs w:val="20"/>
        </w:rPr>
        <w:t xml:space="preserve"> </w:t>
      </w:r>
      <w:r w:rsidR="00CB0D88" w:rsidRPr="000E262D">
        <w:rPr>
          <w:rFonts w:ascii="Times New Roman" w:hAnsi="Times New Roman" w:cs="Times New Roman"/>
          <w:color w:val="000000" w:themeColor="text1"/>
          <w:sz w:val="20"/>
          <w:szCs w:val="20"/>
        </w:rPr>
        <w:t>how</w:t>
      </w:r>
      <w:r w:rsidR="00050BD5" w:rsidRPr="000E262D">
        <w:rPr>
          <w:rFonts w:ascii="Times New Roman" w:hAnsi="Times New Roman" w:cs="Times New Roman"/>
          <w:color w:val="000000" w:themeColor="text1"/>
          <w:sz w:val="20"/>
          <w:szCs w:val="20"/>
        </w:rPr>
        <w:t xml:space="preserve"> EU market-related norms and policies travel across borders</w:t>
      </w:r>
      <w:r w:rsidR="00CB0D88" w:rsidRPr="000E262D">
        <w:rPr>
          <w:rFonts w:ascii="Times New Roman" w:hAnsi="Times New Roman" w:cs="Times New Roman"/>
          <w:color w:val="000000" w:themeColor="text1"/>
          <w:sz w:val="20"/>
          <w:szCs w:val="20"/>
        </w:rPr>
        <w:t>.</w:t>
      </w:r>
      <w:r w:rsidR="00E2596F" w:rsidRPr="000E262D">
        <w:rPr>
          <w:rFonts w:ascii="Times New Roman" w:hAnsi="Times New Roman" w:cs="Times New Roman"/>
          <w:color w:val="000000" w:themeColor="text1"/>
          <w:sz w:val="20"/>
          <w:szCs w:val="20"/>
        </w:rPr>
        <w:t xml:space="preserve"> </w:t>
      </w:r>
      <w:r w:rsidR="00BE3720" w:rsidRPr="000E262D">
        <w:rPr>
          <w:rFonts w:ascii="Times New Roman" w:hAnsi="Times New Roman" w:cs="Times New Roman"/>
          <w:color w:val="000000" w:themeColor="text1"/>
          <w:sz w:val="20"/>
          <w:szCs w:val="20"/>
        </w:rPr>
        <w:t xml:space="preserve">In the existing EU-as-a-power debate, </w:t>
      </w:r>
      <w:r w:rsidR="00ED119A" w:rsidRPr="000E262D">
        <w:rPr>
          <w:rFonts w:ascii="Times New Roman" w:hAnsi="Times New Roman" w:cs="Times New Roman"/>
          <w:color w:val="000000" w:themeColor="text1"/>
          <w:sz w:val="20"/>
          <w:szCs w:val="20"/>
        </w:rPr>
        <w:t xml:space="preserve">there is a lack of consensus on how to theorize the EU’s diffusion mechanisms. </w:t>
      </w:r>
      <w:r w:rsidR="00BE3720" w:rsidRPr="000E262D">
        <w:rPr>
          <w:rFonts w:ascii="Times New Roman" w:hAnsi="Times New Roman" w:cs="Times New Roman"/>
          <w:color w:val="000000" w:themeColor="text1"/>
          <w:sz w:val="20"/>
          <w:szCs w:val="20"/>
        </w:rPr>
        <w:t xml:space="preserve">NPE </w:t>
      </w:r>
      <w:r w:rsidR="000B4B13" w:rsidRPr="000E262D">
        <w:rPr>
          <w:rFonts w:ascii="Times New Roman" w:hAnsi="Times New Roman" w:cs="Times New Roman"/>
          <w:color w:val="000000" w:themeColor="text1"/>
          <w:sz w:val="20"/>
          <w:szCs w:val="20"/>
        </w:rPr>
        <w:t>emphasize</w:t>
      </w:r>
      <w:r w:rsidR="00133ACF" w:rsidRPr="000E262D">
        <w:rPr>
          <w:rFonts w:ascii="Times New Roman" w:hAnsi="Times New Roman" w:cs="Times New Roman"/>
          <w:color w:val="000000" w:themeColor="text1"/>
          <w:sz w:val="20"/>
          <w:szCs w:val="20"/>
        </w:rPr>
        <w:t>s</w:t>
      </w:r>
      <w:r w:rsidR="000B4B13" w:rsidRPr="000E262D">
        <w:rPr>
          <w:rFonts w:ascii="Times New Roman" w:hAnsi="Times New Roman" w:cs="Times New Roman"/>
          <w:color w:val="000000" w:themeColor="text1"/>
          <w:sz w:val="20"/>
          <w:szCs w:val="20"/>
        </w:rPr>
        <w:t xml:space="preserve"> the persuasive tools of the EU’s exercise of power</w:t>
      </w:r>
      <w:r w:rsidR="005517BF" w:rsidRPr="000E262D">
        <w:rPr>
          <w:rFonts w:ascii="Times New Roman" w:hAnsi="Times New Roman" w:cs="Times New Roman"/>
          <w:color w:val="000000" w:themeColor="text1"/>
          <w:sz w:val="20"/>
          <w:szCs w:val="20"/>
        </w:rPr>
        <w:t xml:space="preserve"> such as dialogue, engagement, argumentation</w:t>
      </w:r>
      <w:r w:rsidR="000F3A67" w:rsidRPr="000E262D">
        <w:rPr>
          <w:rFonts w:ascii="Times New Roman" w:hAnsi="Times New Roman" w:cs="Times New Roman"/>
          <w:color w:val="000000" w:themeColor="text1"/>
          <w:sz w:val="20"/>
          <w:szCs w:val="20"/>
        </w:rPr>
        <w:t>,</w:t>
      </w:r>
      <w:r w:rsidR="005517BF" w:rsidRPr="000E262D">
        <w:rPr>
          <w:rFonts w:ascii="Times New Roman" w:hAnsi="Times New Roman" w:cs="Times New Roman"/>
          <w:color w:val="000000" w:themeColor="text1"/>
          <w:sz w:val="20"/>
          <w:szCs w:val="20"/>
        </w:rPr>
        <w:t xml:space="preserve"> and the conferral of shame, while excluding coercion and solely material incentives (Manners 2008</w:t>
      </w:r>
      <w:r w:rsidR="00D960D0" w:rsidRPr="000E262D">
        <w:rPr>
          <w:rFonts w:ascii="Times New Roman" w:hAnsi="Times New Roman" w:cs="Times New Roman"/>
          <w:color w:val="000000" w:themeColor="text1"/>
          <w:sz w:val="20"/>
          <w:szCs w:val="20"/>
        </w:rPr>
        <w:t>:</w:t>
      </w:r>
      <w:r w:rsidR="005517BF" w:rsidRPr="000E262D">
        <w:rPr>
          <w:rFonts w:ascii="Times New Roman" w:hAnsi="Times New Roman" w:cs="Times New Roman"/>
          <w:color w:val="000000" w:themeColor="text1"/>
          <w:sz w:val="20"/>
          <w:szCs w:val="20"/>
        </w:rPr>
        <w:t>57).</w:t>
      </w:r>
      <w:r w:rsidR="006962C7" w:rsidRPr="000E262D">
        <w:rPr>
          <w:rFonts w:ascii="Times New Roman" w:hAnsi="Times New Roman" w:cs="Times New Roman"/>
          <w:color w:val="000000" w:themeColor="text1"/>
          <w:sz w:val="20"/>
          <w:szCs w:val="20"/>
        </w:rPr>
        <w:t xml:space="preserve"> MPE</w:t>
      </w:r>
      <w:r w:rsidR="00CF6283" w:rsidRPr="000E262D">
        <w:rPr>
          <w:rFonts w:ascii="Times New Roman" w:hAnsi="Times New Roman" w:cs="Times New Roman"/>
          <w:color w:val="000000" w:themeColor="text1"/>
          <w:sz w:val="20"/>
          <w:szCs w:val="20"/>
        </w:rPr>
        <w:t xml:space="preserve"> and regulatory power</w:t>
      </w:r>
      <w:r w:rsidR="006962C7" w:rsidRPr="000E262D">
        <w:rPr>
          <w:rFonts w:ascii="Times New Roman" w:hAnsi="Times New Roman" w:cs="Times New Roman"/>
          <w:color w:val="000000" w:themeColor="text1"/>
          <w:sz w:val="20"/>
          <w:szCs w:val="20"/>
        </w:rPr>
        <w:t xml:space="preserve">, instead, </w:t>
      </w:r>
      <w:r w:rsidR="00133ACF" w:rsidRPr="000E262D">
        <w:rPr>
          <w:rFonts w:ascii="Times New Roman" w:hAnsi="Times New Roman" w:cs="Times New Roman"/>
          <w:color w:val="000000" w:themeColor="text1"/>
          <w:sz w:val="20"/>
          <w:szCs w:val="20"/>
        </w:rPr>
        <w:t>tend to adopt a flexible approach and deliberately refrain from defining the mechanisms of the EU’s externalization.</w:t>
      </w:r>
      <w:r w:rsidR="00F34920" w:rsidRPr="000E262D">
        <w:rPr>
          <w:rFonts w:ascii="Times New Roman" w:hAnsi="Times New Roman" w:cs="Times New Roman"/>
          <w:color w:val="000000" w:themeColor="text1"/>
          <w:sz w:val="20"/>
          <w:szCs w:val="20"/>
        </w:rPr>
        <w:t xml:space="preserve"> MPE</w:t>
      </w:r>
      <w:r w:rsidR="00A27F41" w:rsidRPr="000E262D">
        <w:rPr>
          <w:rFonts w:ascii="Times New Roman" w:hAnsi="Times New Roman" w:cs="Times New Roman"/>
          <w:color w:val="000000" w:themeColor="text1"/>
          <w:sz w:val="20"/>
          <w:szCs w:val="20"/>
        </w:rPr>
        <w:t xml:space="preserve"> or </w:t>
      </w:r>
      <w:r w:rsidR="00CF6283" w:rsidRPr="000E262D">
        <w:rPr>
          <w:rFonts w:ascii="Times New Roman" w:hAnsi="Times New Roman" w:cs="Times New Roman"/>
          <w:color w:val="000000" w:themeColor="text1"/>
          <w:sz w:val="20"/>
          <w:szCs w:val="20"/>
        </w:rPr>
        <w:t>regulatory power literature</w:t>
      </w:r>
      <w:r w:rsidR="000F3A67" w:rsidRPr="000E262D">
        <w:rPr>
          <w:rFonts w:ascii="Times New Roman" w:hAnsi="Times New Roman" w:cs="Times New Roman"/>
          <w:color w:val="000000" w:themeColor="text1"/>
          <w:sz w:val="20"/>
          <w:szCs w:val="20"/>
        </w:rPr>
        <w:t>,</w:t>
      </w:r>
      <w:r w:rsidR="00F34920" w:rsidRPr="000E262D">
        <w:rPr>
          <w:rFonts w:ascii="Times New Roman" w:hAnsi="Times New Roman" w:cs="Times New Roman"/>
          <w:color w:val="000000" w:themeColor="text1"/>
          <w:sz w:val="20"/>
          <w:szCs w:val="20"/>
        </w:rPr>
        <w:t xml:space="preserve"> </w:t>
      </w:r>
      <w:r w:rsidR="00CF6283" w:rsidRPr="000E262D">
        <w:rPr>
          <w:rFonts w:ascii="Times New Roman" w:hAnsi="Times New Roman" w:cs="Times New Roman"/>
          <w:color w:val="000000" w:themeColor="text1"/>
          <w:sz w:val="20"/>
          <w:szCs w:val="20"/>
        </w:rPr>
        <w:t>therefore</w:t>
      </w:r>
      <w:r w:rsidR="000F3A67" w:rsidRPr="000E262D">
        <w:rPr>
          <w:rFonts w:ascii="Times New Roman" w:hAnsi="Times New Roman" w:cs="Times New Roman"/>
          <w:color w:val="000000" w:themeColor="text1"/>
          <w:sz w:val="20"/>
          <w:szCs w:val="20"/>
        </w:rPr>
        <w:t>,</w:t>
      </w:r>
      <w:r w:rsidR="00F34920" w:rsidRPr="000E262D">
        <w:rPr>
          <w:rFonts w:ascii="Times New Roman" w:hAnsi="Times New Roman" w:cs="Times New Roman"/>
          <w:color w:val="000000" w:themeColor="text1"/>
          <w:sz w:val="20"/>
          <w:szCs w:val="20"/>
        </w:rPr>
        <w:t xml:space="preserve"> remains open to the analysis of both </w:t>
      </w:r>
      <w:r w:rsidR="00C423ED" w:rsidRPr="000E262D">
        <w:rPr>
          <w:rFonts w:ascii="Times New Roman" w:hAnsi="Times New Roman" w:cs="Times New Roman"/>
          <w:color w:val="000000" w:themeColor="text1"/>
          <w:sz w:val="20"/>
          <w:szCs w:val="20"/>
        </w:rPr>
        <w:t>ideational</w:t>
      </w:r>
      <w:r w:rsidR="00F34920" w:rsidRPr="000E262D">
        <w:rPr>
          <w:rFonts w:ascii="Times New Roman" w:hAnsi="Times New Roman" w:cs="Times New Roman"/>
          <w:color w:val="000000" w:themeColor="text1"/>
          <w:sz w:val="20"/>
          <w:szCs w:val="20"/>
        </w:rPr>
        <w:t xml:space="preserve"> and </w:t>
      </w:r>
      <w:r w:rsidR="00C423ED" w:rsidRPr="000E262D">
        <w:rPr>
          <w:rFonts w:ascii="Times New Roman" w:hAnsi="Times New Roman" w:cs="Times New Roman"/>
          <w:color w:val="000000" w:themeColor="text1"/>
          <w:sz w:val="20"/>
          <w:szCs w:val="20"/>
        </w:rPr>
        <w:t>material</w:t>
      </w:r>
      <w:r w:rsidR="00CF6283" w:rsidRPr="000E262D">
        <w:rPr>
          <w:rFonts w:ascii="Times New Roman" w:hAnsi="Times New Roman" w:cs="Times New Roman"/>
          <w:color w:val="000000" w:themeColor="text1"/>
          <w:sz w:val="20"/>
          <w:szCs w:val="20"/>
        </w:rPr>
        <w:t>, persuasive and coercive</w:t>
      </w:r>
      <w:r w:rsidR="00F34920" w:rsidRPr="000E262D">
        <w:rPr>
          <w:rFonts w:ascii="Times New Roman" w:hAnsi="Times New Roman" w:cs="Times New Roman"/>
          <w:color w:val="000000" w:themeColor="text1"/>
          <w:sz w:val="20"/>
          <w:szCs w:val="20"/>
        </w:rPr>
        <w:t xml:space="preserve"> diffusion mechanisms</w:t>
      </w:r>
      <w:r w:rsidR="00CF6283" w:rsidRPr="000E262D">
        <w:rPr>
          <w:rFonts w:ascii="Times New Roman" w:hAnsi="Times New Roman" w:cs="Times New Roman"/>
          <w:color w:val="000000" w:themeColor="text1"/>
          <w:sz w:val="20"/>
          <w:szCs w:val="20"/>
        </w:rPr>
        <w:t xml:space="preserve"> (</w:t>
      </w:r>
      <w:proofErr w:type="spellStart"/>
      <w:r w:rsidR="00CF6283" w:rsidRPr="000E262D">
        <w:rPr>
          <w:rFonts w:ascii="Times New Roman" w:hAnsi="Times New Roman" w:cs="Times New Roman"/>
          <w:color w:val="000000" w:themeColor="text1"/>
          <w:sz w:val="20"/>
          <w:szCs w:val="20"/>
        </w:rPr>
        <w:t>Damro</w:t>
      </w:r>
      <w:proofErr w:type="spellEnd"/>
      <w:r w:rsidR="00CF6283" w:rsidRPr="000E262D">
        <w:rPr>
          <w:rFonts w:ascii="Times New Roman" w:hAnsi="Times New Roman" w:cs="Times New Roman"/>
          <w:color w:val="000000" w:themeColor="text1"/>
          <w:sz w:val="20"/>
          <w:szCs w:val="20"/>
        </w:rPr>
        <w:t xml:space="preserve"> 201</w:t>
      </w:r>
      <w:r w:rsidR="00C9462D" w:rsidRPr="000E262D">
        <w:rPr>
          <w:rFonts w:ascii="Times New Roman" w:hAnsi="Times New Roman" w:cs="Times New Roman"/>
          <w:color w:val="000000" w:themeColor="text1"/>
          <w:sz w:val="20"/>
          <w:szCs w:val="20"/>
        </w:rPr>
        <w:t>5</w:t>
      </w:r>
      <w:r w:rsidR="00CF6283" w:rsidRPr="000E262D">
        <w:rPr>
          <w:rFonts w:ascii="Times New Roman" w:hAnsi="Times New Roman" w:cs="Times New Roman"/>
          <w:color w:val="000000" w:themeColor="text1"/>
          <w:sz w:val="20"/>
          <w:szCs w:val="20"/>
        </w:rPr>
        <w:t>; Young 2015)</w:t>
      </w:r>
      <w:r w:rsidR="00F34920" w:rsidRPr="000E262D">
        <w:rPr>
          <w:rFonts w:ascii="Times New Roman" w:hAnsi="Times New Roman" w:cs="Times New Roman"/>
          <w:color w:val="000000" w:themeColor="text1"/>
          <w:sz w:val="20"/>
          <w:szCs w:val="20"/>
        </w:rPr>
        <w:t>.</w:t>
      </w:r>
      <w:r w:rsidR="00BD37AA" w:rsidRPr="000E262D">
        <w:rPr>
          <w:rFonts w:ascii="Times New Roman" w:hAnsi="Times New Roman" w:cs="Times New Roman"/>
          <w:color w:val="000000" w:themeColor="text1"/>
          <w:sz w:val="20"/>
          <w:szCs w:val="20"/>
        </w:rPr>
        <w:t xml:space="preserve"> </w:t>
      </w:r>
      <w:r w:rsidR="00634C1A" w:rsidRPr="000E262D">
        <w:rPr>
          <w:rFonts w:ascii="Times New Roman" w:hAnsi="Times New Roman" w:cs="Times New Roman"/>
          <w:color w:val="000000" w:themeColor="text1"/>
          <w:sz w:val="20"/>
          <w:szCs w:val="20"/>
        </w:rPr>
        <w:t>However, both scholarly camps focus heavily on EU-driven diffusion mechanisms, paying insufficient attention to indirect or recipient-driven mechanisms.</w:t>
      </w:r>
      <w:r w:rsidR="00AE6B3A" w:rsidRPr="000E262D">
        <w:rPr>
          <w:rFonts w:ascii="Times New Roman" w:hAnsi="Times New Roman" w:cs="Times New Roman"/>
          <w:color w:val="000000" w:themeColor="text1"/>
          <w:sz w:val="20"/>
          <w:szCs w:val="20"/>
        </w:rPr>
        <w:t xml:space="preserve"> </w:t>
      </w:r>
    </w:p>
    <w:p w14:paraId="54A499AD" w14:textId="77777777" w:rsidR="00AE6B3A" w:rsidRPr="000E262D" w:rsidRDefault="00AE6B3A" w:rsidP="008A7331">
      <w:pPr>
        <w:rPr>
          <w:rFonts w:ascii="Times New Roman" w:hAnsi="Times New Roman" w:cs="Times New Roman"/>
          <w:color w:val="000000" w:themeColor="text1"/>
          <w:sz w:val="20"/>
          <w:szCs w:val="20"/>
        </w:rPr>
      </w:pPr>
    </w:p>
    <w:p w14:paraId="38AE96A8" w14:textId="48C1FA1A" w:rsidR="00CF6283" w:rsidRPr="000E262D" w:rsidRDefault="00AE6B3A"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Diffusion theory helps address this limitation by categorizing mechanisms into two groups:</w:t>
      </w:r>
    </w:p>
    <w:p w14:paraId="6A332D85" w14:textId="10B59B49" w:rsidR="00BD37AA" w:rsidRPr="000E262D" w:rsidRDefault="00634C1A"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the first category is </w:t>
      </w:r>
      <w:r w:rsidR="00BD37AA" w:rsidRPr="000E262D">
        <w:rPr>
          <w:rFonts w:ascii="Times New Roman" w:hAnsi="Times New Roman" w:cs="Times New Roman"/>
          <w:color w:val="000000" w:themeColor="text1"/>
          <w:sz w:val="20"/>
          <w:szCs w:val="20"/>
        </w:rPr>
        <w:t>direct (sender-driven) mechanisms, which include positive</w:t>
      </w:r>
      <w:r w:rsidR="00CC722B" w:rsidRPr="000E262D">
        <w:rPr>
          <w:rFonts w:ascii="Times New Roman" w:hAnsi="Times New Roman" w:cs="Times New Roman"/>
          <w:color w:val="000000" w:themeColor="text1"/>
          <w:sz w:val="20"/>
          <w:szCs w:val="20"/>
        </w:rPr>
        <w:t xml:space="preserve"> or </w:t>
      </w:r>
      <w:r w:rsidR="00BD37AA" w:rsidRPr="000E262D">
        <w:rPr>
          <w:rFonts w:ascii="Times New Roman" w:hAnsi="Times New Roman" w:cs="Times New Roman"/>
          <w:color w:val="000000" w:themeColor="text1"/>
          <w:sz w:val="20"/>
          <w:szCs w:val="20"/>
        </w:rPr>
        <w:t>negative incentives and socialization (</w:t>
      </w:r>
      <w:proofErr w:type="spellStart"/>
      <w:r w:rsidR="00BD37AA" w:rsidRPr="000E262D">
        <w:rPr>
          <w:rFonts w:ascii="Times New Roman" w:hAnsi="Times New Roman" w:cs="Times New Roman"/>
          <w:color w:val="000000" w:themeColor="text1"/>
          <w:sz w:val="20"/>
          <w:szCs w:val="20"/>
        </w:rPr>
        <w:t>Risse</w:t>
      </w:r>
      <w:proofErr w:type="spellEnd"/>
      <w:r w:rsidR="00BD37AA" w:rsidRPr="000E262D">
        <w:rPr>
          <w:rFonts w:ascii="Times New Roman" w:hAnsi="Times New Roman" w:cs="Times New Roman"/>
          <w:color w:val="000000" w:themeColor="text1"/>
          <w:sz w:val="20"/>
          <w:szCs w:val="20"/>
        </w:rPr>
        <w:t xml:space="preserve"> 2016). Whereas incentives relate to diffusion through manipulating utility calculations (</w:t>
      </w:r>
      <w:proofErr w:type="gramStart"/>
      <w:r w:rsidR="00BD37AA" w:rsidRPr="000E262D">
        <w:rPr>
          <w:rFonts w:ascii="Times New Roman" w:hAnsi="Times New Roman" w:cs="Times New Roman"/>
          <w:color w:val="000000" w:themeColor="text1"/>
          <w:sz w:val="20"/>
          <w:szCs w:val="20"/>
        </w:rPr>
        <w:t>e.g.</w:t>
      </w:r>
      <w:proofErr w:type="gramEnd"/>
      <w:r w:rsidR="00BD37AA" w:rsidRPr="000E262D">
        <w:rPr>
          <w:rFonts w:ascii="Times New Roman" w:hAnsi="Times New Roman" w:cs="Times New Roman"/>
          <w:color w:val="000000" w:themeColor="text1"/>
          <w:sz w:val="20"/>
          <w:szCs w:val="20"/>
        </w:rPr>
        <w:t xml:space="preserve"> financial and technical assistance, economic sanctions), socialization relates to the internationalization of shared ideas and beliefs arising from interaction between actors. Another group is</w:t>
      </w:r>
      <w:r w:rsidR="00323766" w:rsidRPr="000E262D">
        <w:rPr>
          <w:rFonts w:ascii="Times New Roman" w:hAnsi="Times New Roman" w:cs="Times New Roman"/>
          <w:color w:val="000000" w:themeColor="text1"/>
          <w:sz w:val="20"/>
          <w:szCs w:val="20"/>
        </w:rPr>
        <w:t xml:space="preserve"> the</w:t>
      </w:r>
      <w:r w:rsidR="00BD37AA" w:rsidRPr="000E262D">
        <w:rPr>
          <w:rFonts w:ascii="Times New Roman" w:hAnsi="Times New Roman" w:cs="Times New Roman"/>
          <w:color w:val="000000" w:themeColor="text1"/>
          <w:sz w:val="20"/>
          <w:szCs w:val="20"/>
        </w:rPr>
        <w:t xml:space="preserve"> indirect (recipient-driven) mechanisms, including </w:t>
      </w:r>
      <w:r w:rsidR="00237B07" w:rsidRPr="000E262D">
        <w:rPr>
          <w:rFonts w:ascii="Times New Roman" w:hAnsi="Times New Roman" w:cs="Times New Roman"/>
          <w:color w:val="000000" w:themeColor="text1"/>
          <w:sz w:val="20"/>
          <w:szCs w:val="20"/>
        </w:rPr>
        <w:t xml:space="preserve">competition, </w:t>
      </w:r>
      <w:r w:rsidR="00BD37AA" w:rsidRPr="000E262D">
        <w:rPr>
          <w:rFonts w:ascii="Times New Roman" w:hAnsi="Times New Roman" w:cs="Times New Roman"/>
          <w:color w:val="000000" w:themeColor="text1"/>
          <w:sz w:val="20"/>
          <w:szCs w:val="20"/>
        </w:rPr>
        <w:t>learning and emulation</w:t>
      </w:r>
      <w:r w:rsidR="00C46A44" w:rsidRPr="000E262D">
        <w:rPr>
          <w:rFonts w:ascii="Times New Roman" w:hAnsi="Times New Roman" w:cs="Times New Roman"/>
          <w:color w:val="000000" w:themeColor="text1"/>
          <w:sz w:val="20"/>
          <w:szCs w:val="20"/>
        </w:rPr>
        <w:t>s</w:t>
      </w:r>
      <w:r w:rsidR="00BD37AA" w:rsidRPr="000E262D">
        <w:rPr>
          <w:rFonts w:ascii="Times New Roman" w:hAnsi="Times New Roman" w:cs="Times New Roman"/>
          <w:color w:val="000000" w:themeColor="text1"/>
          <w:sz w:val="20"/>
          <w:szCs w:val="20"/>
        </w:rPr>
        <w:t>.</w:t>
      </w:r>
      <w:r w:rsidR="00237B07" w:rsidRPr="000E262D">
        <w:rPr>
          <w:rFonts w:ascii="Times New Roman" w:hAnsi="Times New Roman" w:cs="Times New Roman"/>
          <w:color w:val="000000" w:themeColor="text1"/>
          <w:sz w:val="20"/>
          <w:szCs w:val="20"/>
        </w:rPr>
        <w:t xml:space="preserve"> Competition refers to the actor’s adjustment of behaviour towards ‘best practices’ as a result of unsolicited external pressures. </w:t>
      </w:r>
      <w:r w:rsidR="00BD37AA" w:rsidRPr="000E262D">
        <w:rPr>
          <w:rFonts w:ascii="Times New Roman" w:hAnsi="Times New Roman" w:cs="Times New Roman"/>
          <w:color w:val="000000" w:themeColor="text1"/>
          <w:sz w:val="20"/>
          <w:szCs w:val="20"/>
        </w:rPr>
        <w:t xml:space="preserve">Learning </w:t>
      </w:r>
      <w:r w:rsidR="00237B07" w:rsidRPr="000E262D">
        <w:rPr>
          <w:rFonts w:ascii="Times New Roman" w:hAnsi="Times New Roman" w:cs="Times New Roman"/>
          <w:color w:val="000000" w:themeColor="text1"/>
          <w:sz w:val="20"/>
          <w:szCs w:val="20"/>
        </w:rPr>
        <w:t>can be conceptualized as</w:t>
      </w:r>
      <w:r w:rsidR="00BD37AA" w:rsidRPr="000E262D">
        <w:rPr>
          <w:rFonts w:ascii="Times New Roman" w:hAnsi="Times New Roman" w:cs="Times New Roman"/>
          <w:color w:val="000000" w:themeColor="text1"/>
          <w:sz w:val="20"/>
          <w:szCs w:val="20"/>
        </w:rPr>
        <w:t xml:space="preserve"> actors drawing on ideas, policies</w:t>
      </w:r>
      <w:r w:rsidR="00323766" w:rsidRPr="000E262D">
        <w:rPr>
          <w:rFonts w:ascii="Times New Roman" w:hAnsi="Times New Roman" w:cs="Times New Roman"/>
          <w:color w:val="000000" w:themeColor="text1"/>
          <w:sz w:val="20"/>
          <w:szCs w:val="20"/>
        </w:rPr>
        <w:t>,</w:t>
      </w:r>
      <w:r w:rsidR="00BD37AA" w:rsidRPr="000E262D">
        <w:rPr>
          <w:rFonts w:ascii="Times New Roman" w:hAnsi="Times New Roman" w:cs="Times New Roman"/>
          <w:color w:val="000000" w:themeColor="text1"/>
          <w:sz w:val="20"/>
          <w:szCs w:val="20"/>
        </w:rPr>
        <w:t xml:space="preserve"> and rules that have effectively addressed similar problems elsewhere and are transferable to their own context. Emulation </w:t>
      </w:r>
      <w:r w:rsidR="00BD37AA" w:rsidRPr="000E262D">
        <w:rPr>
          <w:rFonts w:ascii="Times New Roman" w:hAnsi="Times New Roman" w:cs="Times New Roman"/>
          <w:color w:val="000000" w:themeColor="text1"/>
          <w:sz w:val="20"/>
          <w:szCs w:val="20"/>
        </w:rPr>
        <w:lastRenderedPageBreak/>
        <w:t>refers to actors adopting certain norms or copying proven models from other actors in order to increase their legitimacy. While learning involves a rigorous review of external ideas or policy information, in emulation</w:t>
      </w:r>
      <w:r w:rsidR="00323766" w:rsidRPr="000E262D">
        <w:rPr>
          <w:rFonts w:ascii="Times New Roman" w:hAnsi="Times New Roman" w:cs="Times New Roman"/>
          <w:color w:val="000000" w:themeColor="text1"/>
          <w:sz w:val="20"/>
          <w:szCs w:val="20"/>
        </w:rPr>
        <w:t>,</w:t>
      </w:r>
      <w:r w:rsidR="00BD37AA" w:rsidRPr="000E262D">
        <w:rPr>
          <w:rFonts w:ascii="Times New Roman" w:hAnsi="Times New Roman" w:cs="Times New Roman"/>
          <w:color w:val="000000" w:themeColor="text1"/>
          <w:sz w:val="20"/>
          <w:szCs w:val="20"/>
        </w:rPr>
        <w:t xml:space="preserve"> political actors imitate ideas or policies only in order to appear similar (Heinze</w:t>
      </w:r>
      <w:r w:rsidR="00107334" w:rsidRPr="000E262D">
        <w:rPr>
          <w:rFonts w:ascii="Times New Roman" w:hAnsi="Times New Roman" w:cs="Times New Roman"/>
          <w:color w:val="000000" w:themeColor="text1"/>
          <w:sz w:val="20"/>
          <w:szCs w:val="20"/>
        </w:rPr>
        <w:t xml:space="preserve"> </w:t>
      </w:r>
      <w:r w:rsidR="00BD37AA" w:rsidRPr="000E262D">
        <w:rPr>
          <w:rFonts w:ascii="Times New Roman" w:hAnsi="Times New Roman" w:cs="Times New Roman"/>
          <w:color w:val="000000" w:themeColor="text1"/>
          <w:sz w:val="20"/>
          <w:szCs w:val="20"/>
        </w:rPr>
        <w:t xml:space="preserve">2011; </w:t>
      </w:r>
      <w:proofErr w:type="spellStart"/>
      <w:r w:rsidR="00BD37AA" w:rsidRPr="000E262D">
        <w:rPr>
          <w:rFonts w:ascii="Times New Roman" w:hAnsi="Times New Roman" w:cs="Times New Roman"/>
          <w:color w:val="000000" w:themeColor="text1"/>
          <w:sz w:val="20"/>
          <w:szCs w:val="20"/>
        </w:rPr>
        <w:t>Risse</w:t>
      </w:r>
      <w:proofErr w:type="spellEnd"/>
      <w:r w:rsidR="00BD37AA" w:rsidRPr="000E262D">
        <w:rPr>
          <w:rFonts w:ascii="Times New Roman" w:hAnsi="Times New Roman" w:cs="Times New Roman"/>
          <w:color w:val="000000" w:themeColor="text1"/>
          <w:sz w:val="20"/>
          <w:szCs w:val="20"/>
        </w:rPr>
        <w:t xml:space="preserve"> 2016).</w:t>
      </w:r>
      <w:r w:rsidR="00216FC0" w:rsidRPr="000E262D">
        <w:rPr>
          <w:rFonts w:ascii="Times New Roman" w:hAnsi="Times New Roman" w:cs="Times New Roman"/>
          <w:color w:val="000000" w:themeColor="text1"/>
          <w:sz w:val="20"/>
          <w:szCs w:val="20"/>
        </w:rPr>
        <w:t xml:space="preserve"> </w:t>
      </w:r>
      <w:r w:rsidR="00216FC0" w:rsidRPr="000E262D">
        <w:rPr>
          <w:rFonts w:ascii="Times New Roman" w:hAnsi="Times New Roman" w:cs="Times New Roman"/>
          <w:color w:val="000000" w:themeColor="text1"/>
          <w:sz w:val="20"/>
          <w:szCs w:val="20"/>
          <w:lang w:val="en-US"/>
        </w:rPr>
        <w:t xml:space="preserve">By conceptualizing diffusion mechanisms in such way, diffusion theory </w:t>
      </w:r>
      <w:r w:rsidR="00CB0D88" w:rsidRPr="000E262D">
        <w:rPr>
          <w:rFonts w:ascii="Times New Roman" w:hAnsi="Times New Roman" w:cs="Times New Roman"/>
          <w:color w:val="000000" w:themeColor="text1"/>
          <w:sz w:val="20"/>
          <w:szCs w:val="20"/>
          <w:lang w:val="en-US"/>
        </w:rPr>
        <w:t>provides</w:t>
      </w:r>
      <w:r w:rsidR="00216FC0" w:rsidRPr="000E262D">
        <w:rPr>
          <w:rFonts w:ascii="Times New Roman" w:hAnsi="Times New Roman" w:cs="Times New Roman"/>
          <w:color w:val="000000" w:themeColor="text1"/>
          <w:sz w:val="20"/>
          <w:szCs w:val="20"/>
          <w:lang w:val="en-US"/>
        </w:rPr>
        <w:t xml:space="preserve"> a more sophisticated </w:t>
      </w:r>
      <w:r w:rsidR="00CB0D88" w:rsidRPr="000E262D">
        <w:rPr>
          <w:rFonts w:ascii="Times New Roman" w:hAnsi="Times New Roman" w:cs="Times New Roman"/>
          <w:color w:val="000000" w:themeColor="text1"/>
          <w:sz w:val="20"/>
          <w:szCs w:val="20"/>
          <w:lang w:val="en-US"/>
        </w:rPr>
        <w:t xml:space="preserve">framework to </w:t>
      </w:r>
      <w:proofErr w:type="spellStart"/>
      <w:r w:rsidR="00CB0D88" w:rsidRPr="000E262D">
        <w:rPr>
          <w:rFonts w:ascii="Times New Roman" w:hAnsi="Times New Roman" w:cs="Times New Roman"/>
          <w:color w:val="000000" w:themeColor="text1"/>
          <w:sz w:val="20"/>
          <w:szCs w:val="20"/>
          <w:lang w:val="en-US"/>
        </w:rPr>
        <w:t>analyse</w:t>
      </w:r>
      <w:proofErr w:type="spellEnd"/>
      <w:r w:rsidR="00AE6B3A" w:rsidRPr="000E262D">
        <w:rPr>
          <w:rFonts w:ascii="Times New Roman" w:hAnsi="Times New Roman" w:cs="Times New Roman"/>
          <w:color w:val="000000" w:themeColor="text1"/>
          <w:sz w:val="20"/>
          <w:szCs w:val="20"/>
          <w:lang w:val="en-US"/>
        </w:rPr>
        <w:t xml:space="preserve"> how EU market-related norms and policies travel </w:t>
      </w:r>
      <w:r w:rsidR="00CB0D88" w:rsidRPr="000E262D">
        <w:rPr>
          <w:rFonts w:ascii="Times New Roman" w:hAnsi="Times New Roman" w:cs="Times New Roman"/>
          <w:color w:val="000000" w:themeColor="text1"/>
          <w:sz w:val="20"/>
          <w:szCs w:val="20"/>
          <w:lang w:val="en-US"/>
        </w:rPr>
        <w:t xml:space="preserve">across borders, </w:t>
      </w:r>
      <w:r w:rsidR="00AE6B3A" w:rsidRPr="000E262D">
        <w:rPr>
          <w:rFonts w:ascii="Times New Roman" w:hAnsi="Times New Roman" w:cs="Times New Roman"/>
          <w:color w:val="000000" w:themeColor="text1"/>
          <w:sz w:val="20"/>
          <w:szCs w:val="20"/>
          <w:lang w:val="en-US"/>
        </w:rPr>
        <w:t>with a</w:t>
      </w:r>
      <w:r w:rsidR="00237B07" w:rsidRPr="000E262D">
        <w:rPr>
          <w:rFonts w:ascii="Times New Roman" w:hAnsi="Times New Roman" w:cs="Times New Roman"/>
          <w:color w:val="000000" w:themeColor="text1"/>
          <w:sz w:val="20"/>
          <w:szCs w:val="20"/>
          <w:lang w:val="en-US"/>
        </w:rPr>
        <w:t xml:space="preserve">n equal </w:t>
      </w:r>
      <w:r w:rsidR="00AE6B3A" w:rsidRPr="000E262D">
        <w:rPr>
          <w:rFonts w:ascii="Times New Roman" w:hAnsi="Times New Roman" w:cs="Times New Roman"/>
          <w:color w:val="000000" w:themeColor="text1"/>
          <w:sz w:val="20"/>
          <w:szCs w:val="20"/>
          <w:lang w:val="en-US"/>
        </w:rPr>
        <w:t xml:space="preserve">focus on </w:t>
      </w:r>
      <w:r w:rsidR="00237B07" w:rsidRPr="000E262D">
        <w:rPr>
          <w:rFonts w:ascii="Times New Roman" w:hAnsi="Times New Roman" w:cs="Times New Roman"/>
          <w:color w:val="000000" w:themeColor="text1"/>
          <w:sz w:val="20"/>
          <w:szCs w:val="20"/>
          <w:lang w:val="en-US"/>
        </w:rPr>
        <w:t xml:space="preserve">sender-driven and </w:t>
      </w:r>
      <w:r w:rsidR="00AE6B3A" w:rsidRPr="000E262D">
        <w:rPr>
          <w:rFonts w:ascii="Times New Roman" w:hAnsi="Times New Roman" w:cs="Times New Roman"/>
          <w:color w:val="000000" w:themeColor="text1"/>
          <w:sz w:val="20"/>
          <w:szCs w:val="20"/>
          <w:lang w:val="en-US"/>
        </w:rPr>
        <w:t>recipient-driven mechanisms.</w:t>
      </w:r>
    </w:p>
    <w:p w14:paraId="206F535C" w14:textId="69DDA6E4" w:rsidR="00CC722B" w:rsidRPr="000E262D" w:rsidRDefault="00CC722B" w:rsidP="008A7331">
      <w:pPr>
        <w:rPr>
          <w:rFonts w:ascii="Times New Roman" w:hAnsi="Times New Roman" w:cs="Times New Roman"/>
          <w:color w:val="000000" w:themeColor="text1"/>
          <w:sz w:val="20"/>
          <w:szCs w:val="20"/>
        </w:rPr>
      </w:pPr>
    </w:p>
    <w:p w14:paraId="04246AF4" w14:textId="39C4C239" w:rsidR="00CB0D88" w:rsidRPr="000E262D" w:rsidRDefault="00CC722B" w:rsidP="008A7331">
      <w:pPr>
        <w:pStyle w:val="aa"/>
        <w:rPr>
          <w:rFonts w:ascii="Times New Roman" w:hAnsi="Times New Roman" w:cs="Times New Roman"/>
          <w:color w:val="000000" w:themeColor="text1"/>
        </w:rPr>
      </w:pPr>
      <w:r w:rsidRPr="000E262D">
        <w:rPr>
          <w:rFonts w:ascii="Times New Roman" w:hAnsi="Times New Roman" w:cs="Times New Roman"/>
          <w:color w:val="000000" w:themeColor="text1"/>
        </w:rPr>
        <w:t xml:space="preserve">Furthermore, </w:t>
      </w:r>
      <w:r w:rsidR="00CB0D88" w:rsidRPr="000E262D">
        <w:rPr>
          <w:rFonts w:ascii="Times New Roman" w:hAnsi="Times New Roman" w:cs="Times New Roman"/>
          <w:color w:val="000000" w:themeColor="text1"/>
        </w:rPr>
        <w:t xml:space="preserve">whereas normative power and market power approaches fall </w:t>
      </w:r>
      <w:r w:rsidR="00331149" w:rsidRPr="000E262D">
        <w:rPr>
          <w:rFonts w:ascii="Times New Roman" w:hAnsi="Times New Roman" w:cs="Times New Roman"/>
          <w:color w:val="000000" w:themeColor="text1"/>
        </w:rPr>
        <w:t xml:space="preserve">short of </w:t>
      </w:r>
      <w:r w:rsidR="00237B07" w:rsidRPr="000E262D">
        <w:rPr>
          <w:rFonts w:ascii="Times New Roman" w:hAnsi="Times New Roman" w:cs="Times New Roman"/>
          <w:color w:val="000000" w:themeColor="text1"/>
        </w:rPr>
        <w:t>their ability</w:t>
      </w:r>
      <w:r w:rsidR="005E32D9" w:rsidRPr="000E262D">
        <w:rPr>
          <w:rFonts w:ascii="Times New Roman" w:hAnsi="Times New Roman" w:cs="Times New Roman"/>
          <w:color w:val="000000" w:themeColor="text1"/>
        </w:rPr>
        <w:t xml:space="preserve"> </w:t>
      </w:r>
      <w:r w:rsidR="00331149" w:rsidRPr="000E262D">
        <w:rPr>
          <w:rFonts w:ascii="Times New Roman" w:hAnsi="Times New Roman" w:cs="Times New Roman"/>
          <w:color w:val="000000" w:themeColor="text1"/>
        </w:rPr>
        <w:t xml:space="preserve">to measure the </w:t>
      </w:r>
      <w:r w:rsidR="00286DC9" w:rsidRPr="000E262D">
        <w:rPr>
          <w:rFonts w:ascii="Times New Roman" w:hAnsi="Times New Roman" w:cs="Times New Roman"/>
          <w:color w:val="000000" w:themeColor="text1"/>
        </w:rPr>
        <w:t>effectiveness of EU externalization</w:t>
      </w:r>
      <w:r w:rsidR="005E32D9" w:rsidRPr="000E262D">
        <w:rPr>
          <w:rFonts w:ascii="Times New Roman" w:hAnsi="Times New Roman" w:cs="Times New Roman"/>
          <w:color w:val="000000" w:themeColor="text1"/>
        </w:rPr>
        <w:t xml:space="preserve">, diffusion theory provides analytical tools that can be operationalized for empirical investigation into the effectiveness of EU </w:t>
      </w:r>
      <w:r w:rsidR="00CF0FBF" w:rsidRPr="000E262D">
        <w:rPr>
          <w:rFonts w:ascii="Times New Roman" w:hAnsi="Times New Roman" w:cs="Times New Roman"/>
          <w:color w:val="000000" w:themeColor="text1"/>
        </w:rPr>
        <w:t>externalization</w:t>
      </w:r>
      <w:r w:rsidR="005E32D9" w:rsidRPr="000E262D">
        <w:rPr>
          <w:rFonts w:ascii="Times New Roman" w:hAnsi="Times New Roman" w:cs="Times New Roman"/>
          <w:color w:val="000000" w:themeColor="text1"/>
        </w:rPr>
        <w:t>. Specifically, diffusion literature identifies three types of diffusion outcome. The first type is full convergence or wholesale adoption of norms, ideas or policy settings, which rarely happens in practice</w:t>
      </w:r>
      <w:r w:rsidR="00505DB5" w:rsidRPr="000E262D">
        <w:rPr>
          <w:rFonts w:ascii="Times New Roman" w:hAnsi="Times New Roman" w:cs="Times New Roman"/>
          <w:color w:val="000000" w:themeColor="text1"/>
        </w:rPr>
        <w:t xml:space="preserve"> (</w:t>
      </w:r>
      <w:proofErr w:type="spellStart"/>
      <w:r w:rsidR="00505DB5" w:rsidRPr="000E262D">
        <w:rPr>
          <w:rFonts w:ascii="Times New Roman" w:hAnsi="Times New Roman" w:cs="Times New Roman"/>
          <w:color w:val="000000" w:themeColor="text1"/>
        </w:rPr>
        <w:t>Risse</w:t>
      </w:r>
      <w:proofErr w:type="spellEnd"/>
      <w:r w:rsidR="00505DB5" w:rsidRPr="000E262D">
        <w:rPr>
          <w:rFonts w:ascii="Times New Roman" w:hAnsi="Times New Roman" w:cs="Times New Roman"/>
          <w:color w:val="000000" w:themeColor="text1"/>
        </w:rPr>
        <w:t xml:space="preserve"> 2016; Klinger-</w:t>
      </w:r>
      <w:proofErr w:type="spellStart"/>
      <w:r w:rsidR="00505DB5" w:rsidRPr="000E262D">
        <w:rPr>
          <w:rFonts w:ascii="Times New Roman" w:hAnsi="Times New Roman" w:cs="Times New Roman"/>
          <w:color w:val="000000" w:themeColor="text1"/>
        </w:rPr>
        <w:t>Vidra</w:t>
      </w:r>
      <w:proofErr w:type="spellEnd"/>
      <w:r w:rsidR="00505DB5" w:rsidRPr="000E262D">
        <w:rPr>
          <w:rFonts w:ascii="Times New Roman" w:hAnsi="Times New Roman" w:cs="Times New Roman"/>
          <w:color w:val="000000" w:themeColor="text1"/>
        </w:rPr>
        <w:t xml:space="preserve"> and Schleifer 2014)</w:t>
      </w:r>
      <w:r w:rsidR="005E32D9" w:rsidRPr="000E262D">
        <w:rPr>
          <w:rFonts w:ascii="Times New Roman" w:hAnsi="Times New Roman" w:cs="Times New Roman"/>
          <w:color w:val="000000" w:themeColor="text1"/>
        </w:rPr>
        <w:t>. The second category is selective adoption or adaptation, which involves the recipient’s differential and partial adoption of norms, institutions and policie</w:t>
      </w:r>
      <w:r w:rsidR="00505DB5" w:rsidRPr="000E262D">
        <w:rPr>
          <w:rFonts w:ascii="Times New Roman" w:hAnsi="Times New Roman" w:cs="Times New Roman"/>
          <w:color w:val="000000" w:themeColor="text1"/>
        </w:rPr>
        <w:t>s, adjusting them to particular local contexts. A number of studies showed that adaptation or selective adoption settles numerous cases of diffusion (see for example Klinger-</w:t>
      </w:r>
      <w:proofErr w:type="spellStart"/>
      <w:r w:rsidR="00505DB5" w:rsidRPr="000E262D">
        <w:rPr>
          <w:rFonts w:ascii="Times New Roman" w:hAnsi="Times New Roman" w:cs="Times New Roman"/>
          <w:color w:val="000000" w:themeColor="text1"/>
        </w:rPr>
        <w:t>Vidra</w:t>
      </w:r>
      <w:proofErr w:type="spellEnd"/>
      <w:r w:rsidR="00505DB5" w:rsidRPr="000E262D">
        <w:rPr>
          <w:rFonts w:ascii="Times New Roman" w:hAnsi="Times New Roman" w:cs="Times New Roman"/>
          <w:color w:val="000000" w:themeColor="text1"/>
        </w:rPr>
        <w:t xml:space="preserve"> and Schleifer 2014; Falkner and Gupta 2009; </w:t>
      </w:r>
      <w:proofErr w:type="spellStart"/>
      <w:r w:rsidR="00505DB5" w:rsidRPr="000E262D">
        <w:rPr>
          <w:rFonts w:ascii="Times New Roman" w:hAnsi="Times New Roman" w:cs="Times New Roman"/>
          <w:color w:val="000000" w:themeColor="text1"/>
        </w:rPr>
        <w:t>Radaelli</w:t>
      </w:r>
      <w:proofErr w:type="spellEnd"/>
      <w:r w:rsidR="00505DB5" w:rsidRPr="000E262D">
        <w:rPr>
          <w:rFonts w:ascii="Times New Roman" w:hAnsi="Times New Roman" w:cs="Times New Roman"/>
          <w:color w:val="000000" w:themeColor="text1"/>
        </w:rPr>
        <w:t xml:space="preserve"> 2005). These studies pointed out that when adaptation is in operation, ideas, norms and practices often alter in form and content (Klinger-</w:t>
      </w:r>
      <w:proofErr w:type="spellStart"/>
      <w:r w:rsidR="00505DB5" w:rsidRPr="000E262D">
        <w:rPr>
          <w:rFonts w:ascii="Times New Roman" w:hAnsi="Times New Roman" w:cs="Times New Roman"/>
          <w:color w:val="000000" w:themeColor="text1"/>
        </w:rPr>
        <w:t>Vidra</w:t>
      </w:r>
      <w:proofErr w:type="spellEnd"/>
      <w:r w:rsidR="00505DB5" w:rsidRPr="000E262D">
        <w:rPr>
          <w:rFonts w:ascii="Times New Roman" w:hAnsi="Times New Roman" w:cs="Times New Roman"/>
          <w:color w:val="000000" w:themeColor="text1"/>
        </w:rPr>
        <w:t xml:space="preserve"> and Schleifer 2014). The third type of diffusion outcome refers to resistance or rejection, which is characterized by limited import of external norms or practices at the point of adoption. In such situations, the targeted recipient explicitly resists or rejects particular normative models or policies promoted by external actors (</w:t>
      </w:r>
      <w:proofErr w:type="spellStart"/>
      <w:r w:rsidR="00505DB5" w:rsidRPr="000E262D">
        <w:rPr>
          <w:rFonts w:ascii="Times New Roman" w:hAnsi="Times New Roman" w:cs="Times New Roman"/>
          <w:color w:val="000000" w:themeColor="text1"/>
        </w:rPr>
        <w:t>Risse</w:t>
      </w:r>
      <w:proofErr w:type="spellEnd"/>
      <w:r w:rsidR="00505DB5" w:rsidRPr="000E262D">
        <w:rPr>
          <w:rFonts w:ascii="Times New Roman" w:hAnsi="Times New Roman" w:cs="Times New Roman"/>
          <w:color w:val="000000" w:themeColor="text1"/>
        </w:rPr>
        <w:t xml:space="preserve"> 2016). This type of diffusion outcome describes the failure of norm diffusion.</w:t>
      </w:r>
      <w:r w:rsidR="006A2614" w:rsidRPr="000E262D">
        <w:rPr>
          <w:rFonts w:ascii="Times New Roman" w:hAnsi="Times New Roman" w:cs="Times New Roman"/>
          <w:color w:val="000000" w:themeColor="text1"/>
        </w:rPr>
        <w:t xml:space="preserve"> Drawing on diffusion literature, this study further develops a list of benchmarks serving as empirical indicators when evaluating the effectiveness of EU’s norm diffusion </w:t>
      </w:r>
      <w:r w:rsidR="00C9462D" w:rsidRPr="000E262D">
        <w:rPr>
          <w:rFonts w:ascii="Times New Roman" w:hAnsi="Times New Roman" w:cs="Times New Roman"/>
          <w:color w:val="000000" w:themeColor="text1"/>
        </w:rPr>
        <w:t xml:space="preserve">in ASEAN </w:t>
      </w:r>
      <w:r w:rsidR="006A2614" w:rsidRPr="000E262D">
        <w:rPr>
          <w:rFonts w:ascii="Times New Roman" w:hAnsi="Times New Roman" w:cs="Times New Roman"/>
          <w:color w:val="000000" w:themeColor="text1"/>
        </w:rPr>
        <w:t>at empirical level</w:t>
      </w:r>
      <w:r w:rsidR="00133C30" w:rsidRPr="000E262D">
        <w:rPr>
          <w:rFonts w:ascii="Times New Roman" w:hAnsi="Times New Roman" w:cs="Times New Roman"/>
          <w:color w:val="000000" w:themeColor="text1"/>
        </w:rPr>
        <w:t xml:space="preserve"> (see Table 1)</w:t>
      </w:r>
      <w:r w:rsidR="006A2614" w:rsidRPr="000E262D">
        <w:rPr>
          <w:rFonts w:ascii="Times New Roman" w:hAnsi="Times New Roman" w:cs="Times New Roman"/>
          <w:color w:val="000000" w:themeColor="text1"/>
        </w:rPr>
        <w:t xml:space="preserve">. </w:t>
      </w:r>
      <w:r w:rsidR="00286DC9" w:rsidRPr="000E262D">
        <w:rPr>
          <w:rFonts w:ascii="Times New Roman" w:hAnsi="Times New Roman" w:cs="Times New Roman"/>
          <w:color w:val="000000" w:themeColor="text1"/>
        </w:rPr>
        <w:t xml:space="preserve"> </w:t>
      </w:r>
    </w:p>
    <w:p w14:paraId="732EAD2A" w14:textId="77777777" w:rsidR="006A2614" w:rsidRPr="000E262D" w:rsidRDefault="006A2614" w:rsidP="008A7331">
      <w:pPr>
        <w:pStyle w:val="aa"/>
        <w:rPr>
          <w:rFonts w:ascii="Times New Roman" w:hAnsi="Times New Roman" w:cs="Times New Roman"/>
          <w:color w:val="000000" w:themeColor="text1"/>
        </w:rPr>
      </w:pPr>
    </w:p>
    <w:p w14:paraId="26C29F0D" w14:textId="5ED4C6FE" w:rsidR="006A2614" w:rsidRPr="000E262D" w:rsidRDefault="006A2614" w:rsidP="008A7331">
      <w:pPr>
        <w:pStyle w:val="a9"/>
        <w:widowControl/>
        <w:rPr>
          <w:color w:val="000000" w:themeColor="text1"/>
          <w:sz w:val="20"/>
          <w:szCs w:val="20"/>
        </w:rPr>
      </w:pPr>
      <w:r w:rsidRPr="000E262D">
        <w:rPr>
          <w:color w:val="000000" w:themeColor="text1"/>
          <w:sz w:val="20"/>
          <w:szCs w:val="20"/>
        </w:rPr>
        <w:lastRenderedPageBreak/>
        <w:t xml:space="preserve">Table 1. Indicators of the effectiveness of EU </w:t>
      </w:r>
      <w:r w:rsidR="004B164A" w:rsidRPr="000E262D">
        <w:rPr>
          <w:color w:val="000000" w:themeColor="text1"/>
          <w:sz w:val="20"/>
          <w:szCs w:val="20"/>
        </w:rPr>
        <w:t>norm and policy externalization</w:t>
      </w:r>
    </w:p>
    <w:p w14:paraId="140AF557" w14:textId="721F5D81" w:rsidR="006A2614" w:rsidRPr="000E262D" w:rsidRDefault="009074FB" w:rsidP="008A7331">
      <w:pPr>
        <w:pStyle w:val="aa"/>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8532329" wp14:editId="35EE36F2">
            <wp:extent cx="5270500" cy="5480050"/>
            <wp:effectExtent l="0" t="0" r="0" b="6350"/>
            <wp:docPr id="2" name="图片 2"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表格&#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5270500" cy="5480050"/>
                    </a:xfrm>
                    <a:prstGeom prst="rect">
                      <a:avLst/>
                    </a:prstGeom>
                  </pic:spPr>
                </pic:pic>
              </a:graphicData>
            </a:graphic>
          </wp:inline>
        </w:drawing>
      </w:r>
    </w:p>
    <w:p w14:paraId="57F537FE" w14:textId="1DFA783E" w:rsidR="00DD4FD6" w:rsidRPr="000E262D" w:rsidRDefault="00DD4FD6" w:rsidP="008A7331">
      <w:pPr>
        <w:pStyle w:val="aa"/>
        <w:rPr>
          <w:rFonts w:ascii="Times New Roman" w:hAnsi="Times New Roman" w:cs="Times New Roman"/>
          <w:color w:val="000000" w:themeColor="text1"/>
        </w:rPr>
      </w:pPr>
    </w:p>
    <w:p w14:paraId="30F032DC" w14:textId="676E5C92" w:rsidR="00DD4FD6" w:rsidRPr="000E262D" w:rsidRDefault="00DD4FD6" w:rsidP="008A7331">
      <w:pPr>
        <w:pStyle w:val="aa"/>
        <w:rPr>
          <w:rFonts w:ascii="Times New Roman" w:hAnsi="Times New Roman" w:cs="Times New Roman"/>
          <w:color w:val="000000" w:themeColor="text1"/>
        </w:rPr>
      </w:pPr>
      <w:r w:rsidRPr="000E262D">
        <w:rPr>
          <w:rFonts w:ascii="Times New Roman" w:hAnsi="Times New Roman" w:cs="Times New Roman"/>
          <w:color w:val="000000" w:themeColor="text1"/>
        </w:rPr>
        <w:t xml:space="preserve">Source: developed by the author </w:t>
      </w:r>
    </w:p>
    <w:p w14:paraId="0FE2314C" w14:textId="77777777" w:rsidR="00DD4FD6" w:rsidRPr="000E262D" w:rsidRDefault="00DD4FD6" w:rsidP="008A7331">
      <w:pPr>
        <w:pStyle w:val="aa"/>
        <w:rPr>
          <w:rFonts w:ascii="Times New Roman" w:hAnsi="Times New Roman" w:cs="Times New Roman"/>
          <w:color w:val="000000" w:themeColor="text1"/>
        </w:rPr>
      </w:pPr>
    </w:p>
    <w:p w14:paraId="6D89AF50" w14:textId="393C7822" w:rsidR="00EC5C01" w:rsidRPr="000E262D" w:rsidRDefault="0017055A" w:rsidP="008A7331">
      <w:pPr>
        <w:pStyle w:val="aa"/>
        <w:rPr>
          <w:rFonts w:ascii="Times New Roman" w:hAnsi="Times New Roman" w:cs="Times New Roman"/>
          <w:color w:val="000000" w:themeColor="text1"/>
          <w:lang w:val="en-US"/>
        </w:rPr>
      </w:pPr>
      <w:r w:rsidRPr="000E262D">
        <w:rPr>
          <w:rFonts w:ascii="Times New Roman" w:hAnsi="Times New Roman" w:cs="Times New Roman"/>
          <w:color w:val="000000" w:themeColor="text1"/>
        </w:rPr>
        <w:t>In addition,</w:t>
      </w:r>
      <w:r w:rsidR="005E685B" w:rsidRPr="000E262D">
        <w:rPr>
          <w:rFonts w:ascii="Times New Roman" w:hAnsi="Times New Roman" w:cs="Times New Roman"/>
          <w:color w:val="000000" w:themeColor="text1"/>
          <w:lang w:val="en-US"/>
        </w:rPr>
        <w:t xml:space="preserve"> whereas conventional NPE and MPE literature prioritizes the role of norm-promoter, </w:t>
      </w:r>
      <w:r w:rsidR="00CC722B" w:rsidRPr="000E262D">
        <w:rPr>
          <w:rFonts w:ascii="Times New Roman" w:hAnsi="Times New Roman" w:cs="Times New Roman"/>
          <w:color w:val="000000" w:themeColor="text1"/>
        </w:rPr>
        <w:t xml:space="preserve">diffusion theory considers the recipient’s local context crucial to measuring the impact of the EU’s externalization. </w:t>
      </w:r>
      <w:r w:rsidR="005E685B" w:rsidRPr="000E262D">
        <w:rPr>
          <w:rFonts w:ascii="Times New Roman" w:hAnsi="Times New Roman" w:cs="Times New Roman"/>
          <w:color w:val="000000" w:themeColor="text1"/>
        </w:rPr>
        <w:t>R</w:t>
      </w:r>
      <w:r w:rsidR="00CC722B" w:rsidRPr="000E262D">
        <w:rPr>
          <w:rFonts w:ascii="Times New Roman" w:hAnsi="Times New Roman" w:cs="Times New Roman"/>
          <w:color w:val="000000" w:themeColor="text1"/>
        </w:rPr>
        <w:t>esearchers</w:t>
      </w:r>
      <w:r w:rsidR="005E685B" w:rsidRPr="000E262D">
        <w:rPr>
          <w:rFonts w:ascii="Times New Roman" w:hAnsi="Times New Roman" w:cs="Times New Roman"/>
          <w:color w:val="000000" w:themeColor="text1"/>
        </w:rPr>
        <w:t xml:space="preserve"> of diffusion literature</w:t>
      </w:r>
      <w:r w:rsidR="00CC722B" w:rsidRPr="000E262D">
        <w:rPr>
          <w:rFonts w:ascii="Times New Roman" w:hAnsi="Times New Roman" w:cs="Times New Roman"/>
          <w:color w:val="000000" w:themeColor="text1"/>
        </w:rPr>
        <w:t xml:space="preserve"> consider this externalization to be mediated by local norms, political institutions, and economic structures (Klingler-</w:t>
      </w:r>
      <w:proofErr w:type="spellStart"/>
      <w:r w:rsidR="00CC722B" w:rsidRPr="000E262D">
        <w:rPr>
          <w:rFonts w:ascii="Times New Roman" w:hAnsi="Times New Roman" w:cs="Times New Roman"/>
          <w:color w:val="000000" w:themeColor="text1"/>
        </w:rPr>
        <w:t>Vidra</w:t>
      </w:r>
      <w:proofErr w:type="spellEnd"/>
      <w:r w:rsidR="00CC722B" w:rsidRPr="000E262D">
        <w:rPr>
          <w:rFonts w:ascii="Times New Roman" w:hAnsi="Times New Roman" w:cs="Times New Roman"/>
          <w:color w:val="000000" w:themeColor="text1"/>
        </w:rPr>
        <w:t xml:space="preserve"> and Schleifer 2014</w:t>
      </w:r>
      <w:r w:rsidR="009C5707" w:rsidRPr="000E262D">
        <w:rPr>
          <w:rFonts w:ascii="Times New Roman" w:hAnsi="Times New Roman" w:cs="Times New Roman"/>
          <w:color w:val="000000" w:themeColor="text1"/>
        </w:rPr>
        <w:t>:</w:t>
      </w:r>
      <w:r w:rsidR="00CC722B" w:rsidRPr="000E262D">
        <w:rPr>
          <w:rFonts w:ascii="Times New Roman" w:hAnsi="Times New Roman" w:cs="Times New Roman"/>
          <w:color w:val="000000" w:themeColor="text1"/>
        </w:rPr>
        <w:t xml:space="preserve"> 271). In brief, focusing on</w:t>
      </w:r>
      <w:r w:rsidR="005E685B" w:rsidRPr="000E262D">
        <w:rPr>
          <w:rFonts w:ascii="Times New Roman" w:hAnsi="Times New Roman" w:cs="Times New Roman"/>
          <w:color w:val="000000" w:themeColor="text1"/>
        </w:rPr>
        <w:t xml:space="preserve"> the specificity of diffusion items, effectiveness of diffusion,</w:t>
      </w:r>
      <w:r w:rsidR="00CC722B" w:rsidRPr="000E262D">
        <w:rPr>
          <w:rFonts w:ascii="Times New Roman" w:hAnsi="Times New Roman" w:cs="Times New Roman"/>
          <w:color w:val="000000" w:themeColor="text1"/>
        </w:rPr>
        <w:t xml:space="preserve"> direct and indirect diffusion mechanisms and the recipients’ local context, diffusion literature </w:t>
      </w:r>
      <w:r w:rsidR="005E685B" w:rsidRPr="000E262D">
        <w:rPr>
          <w:rFonts w:ascii="Times New Roman" w:hAnsi="Times New Roman" w:cs="Times New Roman"/>
          <w:color w:val="000000" w:themeColor="text1"/>
        </w:rPr>
        <w:t xml:space="preserve">not only </w:t>
      </w:r>
      <w:r w:rsidR="00CC722B" w:rsidRPr="000E262D">
        <w:rPr>
          <w:rFonts w:ascii="Times New Roman" w:hAnsi="Times New Roman" w:cs="Times New Roman"/>
          <w:color w:val="000000" w:themeColor="text1"/>
        </w:rPr>
        <w:t xml:space="preserve">offers a more holistic insight into the EU’s norm and policy diffusion </w:t>
      </w:r>
      <w:r w:rsidR="005E685B" w:rsidRPr="000E262D">
        <w:rPr>
          <w:rFonts w:ascii="Times New Roman" w:hAnsi="Times New Roman" w:cs="Times New Roman"/>
          <w:color w:val="000000" w:themeColor="text1"/>
        </w:rPr>
        <w:t>process, but also compensates NPE and MPE/regulatory power approaches by addressing their limitations</w:t>
      </w:r>
      <w:r w:rsidR="00CC722B" w:rsidRPr="000E262D">
        <w:rPr>
          <w:rFonts w:ascii="Times New Roman" w:hAnsi="Times New Roman" w:cs="Times New Roman"/>
          <w:color w:val="000000" w:themeColor="text1"/>
        </w:rPr>
        <w:t>.</w:t>
      </w:r>
      <w:r w:rsidR="00F82EEC" w:rsidRPr="000E262D">
        <w:rPr>
          <w:rFonts w:ascii="Times New Roman" w:hAnsi="Times New Roman" w:cs="Times New Roman"/>
          <w:color w:val="000000" w:themeColor="text1"/>
        </w:rPr>
        <w:t xml:space="preserve"> </w:t>
      </w:r>
      <w:r w:rsidR="00FA655F" w:rsidRPr="000E262D">
        <w:rPr>
          <w:rFonts w:ascii="Times New Roman" w:hAnsi="Times New Roman" w:cs="Times New Roman"/>
          <w:color w:val="000000" w:themeColor="text1"/>
        </w:rPr>
        <w:t xml:space="preserve">The following table </w:t>
      </w:r>
      <w:r w:rsidR="00AD1060" w:rsidRPr="000E262D">
        <w:rPr>
          <w:rFonts w:ascii="Times New Roman" w:hAnsi="Times New Roman" w:cs="Times New Roman"/>
          <w:color w:val="000000" w:themeColor="text1"/>
        </w:rPr>
        <w:t>shows how diffusion theory’s analytical framework is compatible with and complementary to the NPE and MPE approaches.</w:t>
      </w:r>
    </w:p>
    <w:p w14:paraId="78EFAE38" w14:textId="77777777" w:rsidR="00794762" w:rsidRPr="000E262D" w:rsidRDefault="00794762" w:rsidP="008A7331">
      <w:pPr>
        <w:pStyle w:val="aa"/>
        <w:rPr>
          <w:rFonts w:ascii="Times New Roman" w:hAnsi="Times New Roman" w:cs="Times New Roman"/>
          <w:color w:val="000000" w:themeColor="text1"/>
          <w:lang w:val="en-US"/>
        </w:rPr>
      </w:pPr>
    </w:p>
    <w:p w14:paraId="5C1B4B18" w14:textId="704002CC" w:rsidR="00EC5C01" w:rsidRPr="000E262D" w:rsidRDefault="001C53F6" w:rsidP="008A7331">
      <w:pPr>
        <w:pStyle w:val="aa"/>
        <w:rPr>
          <w:rFonts w:ascii="Times New Roman" w:hAnsi="Times New Roman" w:cs="Times New Roman"/>
          <w:color w:val="000000" w:themeColor="text1"/>
        </w:rPr>
      </w:pPr>
      <w:r w:rsidRPr="000E262D">
        <w:rPr>
          <w:rFonts w:ascii="Times New Roman" w:hAnsi="Times New Roman" w:cs="Times New Roman"/>
          <w:color w:val="000000" w:themeColor="text1"/>
        </w:rPr>
        <w:t>Table 2</w:t>
      </w:r>
      <w:r w:rsidR="00DD4FD6" w:rsidRPr="000E262D">
        <w:rPr>
          <w:rFonts w:ascii="Times New Roman" w:hAnsi="Times New Roman" w:cs="Times New Roman"/>
          <w:color w:val="000000" w:themeColor="text1"/>
        </w:rPr>
        <w:t>.</w:t>
      </w:r>
      <w:r w:rsidR="00FA655F" w:rsidRPr="000E262D">
        <w:rPr>
          <w:rFonts w:ascii="Times New Roman" w:hAnsi="Times New Roman" w:cs="Times New Roman"/>
          <w:color w:val="000000" w:themeColor="text1"/>
        </w:rPr>
        <w:t xml:space="preserve"> </w:t>
      </w:r>
      <w:r w:rsidR="00DD4FD6" w:rsidRPr="000E262D">
        <w:rPr>
          <w:rFonts w:ascii="Times New Roman" w:hAnsi="Times New Roman" w:cs="Times New Roman"/>
          <w:color w:val="000000" w:themeColor="text1"/>
        </w:rPr>
        <w:t xml:space="preserve">key features of </w:t>
      </w:r>
      <w:r w:rsidR="009C5707" w:rsidRPr="000E262D">
        <w:rPr>
          <w:rFonts w:ascii="Times New Roman" w:hAnsi="Times New Roman" w:cs="Times New Roman"/>
          <w:color w:val="000000" w:themeColor="text1"/>
        </w:rPr>
        <w:t>NPE, MPE</w:t>
      </w:r>
      <w:r w:rsidR="00DD4FD6" w:rsidRPr="000E262D">
        <w:rPr>
          <w:rFonts w:ascii="Times New Roman" w:hAnsi="Times New Roman" w:cs="Times New Roman"/>
          <w:color w:val="000000" w:themeColor="text1"/>
        </w:rPr>
        <w:t xml:space="preserve"> and diffusion theory</w:t>
      </w:r>
    </w:p>
    <w:p w14:paraId="4F195E02" w14:textId="77777777" w:rsidR="00EC5C01" w:rsidRPr="000E262D" w:rsidRDefault="00EC5C01" w:rsidP="008A7331">
      <w:pPr>
        <w:pStyle w:val="aa"/>
        <w:rPr>
          <w:rFonts w:ascii="Times New Roman" w:hAnsi="Times New Roman" w:cs="Times New Roman"/>
          <w:color w:val="000000" w:themeColor="text1"/>
        </w:rPr>
      </w:pPr>
    </w:p>
    <w:p w14:paraId="77067351" w14:textId="102E9403" w:rsidR="002A53BA" w:rsidRPr="000E262D" w:rsidRDefault="009074FB" w:rsidP="008A7331">
      <w:pP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65F0F3DB" wp14:editId="459CF193">
            <wp:extent cx="5270500" cy="5934075"/>
            <wp:effectExtent l="0" t="0" r="0" b="0"/>
            <wp:docPr id="5" name="图片 5"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表格&#10;&#10;描述已自动生成"/>
                    <pic:cNvPicPr/>
                  </pic:nvPicPr>
                  <pic:blipFill>
                    <a:blip r:embed="rId9">
                      <a:extLst>
                        <a:ext uri="{28A0092B-C50C-407E-A947-70E740481C1C}">
                          <a14:useLocalDpi xmlns:a14="http://schemas.microsoft.com/office/drawing/2010/main" val="0"/>
                        </a:ext>
                      </a:extLst>
                    </a:blip>
                    <a:stretch>
                      <a:fillRect/>
                    </a:stretch>
                  </pic:blipFill>
                  <pic:spPr>
                    <a:xfrm>
                      <a:off x="0" y="0"/>
                      <a:ext cx="5270500" cy="5934075"/>
                    </a:xfrm>
                    <a:prstGeom prst="rect">
                      <a:avLst/>
                    </a:prstGeom>
                  </pic:spPr>
                </pic:pic>
              </a:graphicData>
            </a:graphic>
          </wp:inline>
        </w:drawing>
      </w:r>
    </w:p>
    <w:p w14:paraId="674EA7CB" w14:textId="77777777" w:rsidR="00C72233" w:rsidRPr="000E262D" w:rsidRDefault="00C72233" w:rsidP="008A7331">
      <w:pPr>
        <w:rPr>
          <w:rFonts w:ascii="Times New Roman" w:hAnsi="Times New Roman" w:cs="Times New Roman"/>
          <w:color w:val="000000" w:themeColor="text1"/>
          <w:sz w:val="20"/>
          <w:szCs w:val="20"/>
        </w:rPr>
      </w:pPr>
    </w:p>
    <w:p w14:paraId="4D82CF94" w14:textId="13593EE4" w:rsidR="002A53BA" w:rsidRPr="000E262D" w:rsidRDefault="002A53BA" w:rsidP="008A7331">
      <w:pPr>
        <w:pStyle w:val="a3"/>
        <w:numPr>
          <w:ilvl w:val="0"/>
          <w:numId w:val="7"/>
        </w:numPr>
        <w:ind w:firstLineChars="0"/>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 xml:space="preserve">Disentangling EU </w:t>
      </w:r>
      <w:r w:rsidR="00981FC7" w:rsidRPr="000E262D">
        <w:rPr>
          <w:rFonts w:ascii="Times New Roman" w:hAnsi="Times New Roman" w:cs="Times New Roman"/>
          <w:b/>
          <w:bCs/>
          <w:color w:val="000000" w:themeColor="text1"/>
          <w:sz w:val="20"/>
          <w:szCs w:val="20"/>
        </w:rPr>
        <w:t>externalization</w:t>
      </w:r>
      <w:r w:rsidRPr="000E262D">
        <w:rPr>
          <w:rFonts w:ascii="Times New Roman" w:hAnsi="Times New Roman" w:cs="Times New Roman"/>
          <w:b/>
          <w:bCs/>
          <w:color w:val="000000" w:themeColor="text1"/>
          <w:sz w:val="20"/>
          <w:szCs w:val="20"/>
        </w:rPr>
        <w:t xml:space="preserve"> of market</w:t>
      </w:r>
      <w:r w:rsidR="00981FC7" w:rsidRPr="000E262D">
        <w:rPr>
          <w:rFonts w:ascii="Times New Roman" w:hAnsi="Times New Roman" w:cs="Times New Roman"/>
          <w:b/>
          <w:bCs/>
          <w:color w:val="000000" w:themeColor="text1"/>
          <w:sz w:val="20"/>
          <w:szCs w:val="20"/>
        </w:rPr>
        <w:t xml:space="preserve">-related </w:t>
      </w:r>
      <w:r w:rsidRPr="000E262D">
        <w:rPr>
          <w:rFonts w:ascii="Times New Roman" w:hAnsi="Times New Roman" w:cs="Times New Roman"/>
          <w:b/>
          <w:bCs/>
          <w:color w:val="000000" w:themeColor="text1"/>
          <w:sz w:val="20"/>
          <w:szCs w:val="20"/>
        </w:rPr>
        <w:t>norms and policies in ASEAN</w:t>
      </w:r>
    </w:p>
    <w:p w14:paraId="2E6242FF" w14:textId="77777777" w:rsidR="002A53BA" w:rsidRPr="000E262D" w:rsidRDefault="002A53BA" w:rsidP="008A7331">
      <w:pPr>
        <w:rPr>
          <w:rFonts w:ascii="Times New Roman" w:hAnsi="Times New Roman" w:cs="Times New Roman"/>
          <w:color w:val="000000" w:themeColor="text1"/>
          <w:sz w:val="20"/>
          <w:szCs w:val="20"/>
        </w:rPr>
      </w:pPr>
    </w:p>
    <w:p w14:paraId="6E3E7CBD" w14:textId="7BCA3695" w:rsidR="00DC56BF" w:rsidRPr="000E262D" w:rsidRDefault="0095042C"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This section </w:t>
      </w:r>
      <w:r w:rsidR="006039C1" w:rsidRPr="000E262D">
        <w:rPr>
          <w:rFonts w:ascii="Times New Roman" w:hAnsi="Times New Roman" w:cs="Times New Roman"/>
          <w:color w:val="000000" w:themeColor="text1"/>
          <w:sz w:val="20"/>
          <w:szCs w:val="20"/>
        </w:rPr>
        <w:t xml:space="preserve">applies the abovementioned framework to </w:t>
      </w:r>
      <w:r w:rsidRPr="000E262D">
        <w:rPr>
          <w:rFonts w:ascii="Times New Roman" w:hAnsi="Times New Roman" w:cs="Times New Roman"/>
          <w:color w:val="000000" w:themeColor="text1"/>
          <w:sz w:val="20"/>
          <w:szCs w:val="20"/>
        </w:rPr>
        <w:t xml:space="preserve">examine how EU market liberal norms and policies are promoted and received in the context of EU-ASEAN relations. </w:t>
      </w:r>
      <w:r w:rsidR="0048649C" w:rsidRPr="000E262D">
        <w:rPr>
          <w:rFonts w:ascii="Times New Roman" w:hAnsi="Times New Roman" w:cs="Times New Roman"/>
          <w:color w:val="000000" w:themeColor="text1"/>
          <w:sz w:val="20"/>
          <w:szCs w:val="20"/>
        </w:rPr>
        <w:t xml:space="preserve"> Methodologically, this paper </w:t>
      </w:r>
      <w:r w:rsidR="00DC56BF" w:rsidRPr="000E262D">
        <w:rPr>
          <w:rFonts w:ascii="Times New Roman" w:hAnsi="Times New Roman" w:cs="Times New Roman"/>
          <w:color w:val="000000" w:themeColor="text1"/>
          <w:sz w:val="20"/>
          <w:szCs w:val="20"/>
        </w:rPr>
        <w:t xml:space="preserve">not only </w:t>
      </w:r>
      <w:r w:rsidR="0048649C" w:rsidRPr="000E262D">
        <w:rPr>
          <w:rFonts w:ascii="Times New Roman" w:hAnsi="Times New Roman" w:cs="Times New Roman"/>
          <w:color w:val="000000" w:themeColor="text1"/>
          <w:sz w:val="20"/>
          <w:szCs w:val="20"/>
        </w:rPr>
        <w:t xml:space="preserve">draws on </w:t>
      </w:r>
      <w:r w:rsidR="00DC56BF" w:rsidRPr="000E262D">
        <w:rPr>
          <w:rFonts w:ascii="Times New Roman" w:hAnsi="Times New Roman" w:cs="Times New Roman"/>
          <w:color w:val="000000" w:themeColor="text1"/>
          <w:sz w:val="20"/>
          <w:szCs w:val="20"/>
        </w:rPr>
        <w:t xml:space="preserve">qualitative </w:t>
      </w:r>
      <w:r w:rsidR="0048649C" w:rsidRPr="000E262D">
        <w:rPr>
          <w:rFonts w:ascii="Times New Roman" w:hAnsi="Times New Roman" w:cs="Times New Roman"/>
          <w:color w:val="000000" w:themeColor="text1"/>
          <w:sz w:val="20"/>
          <w:szCs w:val="20"/>
        </w:rPr>
        <w:t>content analysis based on a range of primary materials including</w:t>
      </w:r>
      <w:r w:rsidR="00DC56BF" w:rsidRPr="000E262D">
        <w:rPr>
          <w:rFonts w:ascii="Times New Roman" w:hAnsi="Times New Roman" w:cs="Times New Roman"/>
          <w:color w:val="000000" w:themeColor="text1"/>
          <w:sz w:val="20"/>
          <w:szCs w:val="20"/>
        </w:rPr>
        <w:t xml:space="preserve"> </w:t>
      </w:r>
      <w:r w:rsidR="0048649C" w:rsidRPr="000E262D">
        <w:rPr>
          <w:rFonts w:ascii="Times New Roman" w:hAnsi="Times New Roman" w:cs="Times New Roman"/>
          <w:color w:val="000000" w:themeColor="text1"/>
          <w:sz w:val="20"/>
          <w:szCs w:val="20"/>
        </w:rPr>
        <w:t>EU and ASEAN official documents</w:t>
      </w:r>
      <w:r w:rsidR="00813213" w:rsidRPr="000E262D">
        <w:rPr>
          <w:rFonts w:ascii="Times New Roman" w:hAnsi="Times New Roman" w:cs="Times New Roman"/>
          <w:color w:val="000000" w:themeColor="text1"/>
          <w:sz w:val="20"/>
          <w:szCs w:val="20"/>
        </w:rPr>
        <w:t>,</w:t>
      </w:r>
      <w:r w:rsidR="0048649C" w:rsidRPr="000E262D">
        <w:rPr>
          <w:rFonts w:ascii="Times New Roman" w:hAnsi="Times New Roman" w:cs="Times New Roman"/>
          <w:color w:val="000000" w:themeColor="text1"/>
          <w:sz w:val="20"/>
          <w:szCs w:val="20"/>
        </w:rPr>
        <w:t xml:space="preserve"> statements</w:t>
      </w:r>
      <w:r w:rsidR="0026094D" w:rsidRPr="000E262D">
        <w:rPr>
          <w:rFonts w:ascii="Times New Roman" w:hAnsi="Times New Roman" w:cs="Times New Roman"/>
          <w:color w:val="000000" w:themeColor="text1"/>
          <w:sz w:val="20"/>
          <w:szCs w:val="20"/>
        </w:rPr>
        <w:t>,</w:t>
      </w:r>
      <w:r w:rsidR="0048649C" w:rsidRPr="000E262D">
        <w:rPr>
          <w:rFonts w:ascii="Times New Roman" w:hAnsi="Times New Roman" w:cs="Times New Roman"/>
          <w:color w:val="000000" w:themeColor="text1"/>
          <w:sz w:val="20"/>
          <w:szCs w:val="20"/>
        </w:rPr>
        <w:t xml:space="preserve"> and </w:t>
      </w:r>
      <w:r w:rsidR="00813213" w:rsidRPr="000E262D">
        <w:rPr>
          <w:rFonts w:ascii="Times New Roman" w:hAnsi="Times New Roman" w:cs="Times New Roman"/>
          <w:color w:val="000000" w:themeColor="text1"/>
          <w:sz w:val="20"/>
          <w:szCs w:val="20"/>
        </w:rPr>
        <w:t xml:space="preserve">media </w:t>
      </w:r>
      <w:r w:rsidR="0048649C" w:rsidRPr="000E262D">
        <w:rPr>
          <w:rFonts w:ascii="Times New Roman" w:hAnsi="Times New Roman" w:cs="Times New Roman"/>
          <w:color w:val="000000" w:themeColor="text1"/>
          <w:sz w:val="20"/>
          <w:szCs w:val="20"/>
        </w:rPr>
        <w:t>reports</w:t>
      </w:r>
      <w:r w:rsidR="00DC56BF" w:rsidRPr="000E262D">
        <w:rPr>
          <w:rFonts w:ascii="Times New Roman" w:hAnsi="Times New Roman" w:cs="Times New Roman"/>
          <w:color w:val="000000" w:themeColor="text1"/>
          <w:sz w:val="20"/>
          <w:szCs w:val="20"/>
        </w:rPr>
        <w:t>, but also adopts elite interview method</w:t>
      </w:r>
      <w:r w:rsidR="0048649C" w:rsidRPr="000E262D">
        <w:rPr>
          <w:rFonts w:ascii="Times New Roman" w:hAnsi="Times New Roman" w:cs="Times New Roman"/>
          <w:color w:val="000000" w:themeColor="text1"/>
          <w:sz w:val="20"/>
          <w:szCs w:val="20"/>
        </w:rPr>
        <w:t>.</w:t>
      </w:r>
      <w:r w:rsidR="00B63EF9" w:rsidRPr="000E262D">
        <w:rPr>
          <w:rFonts w:ascii="Times New Roman" w:hAnsi="Times New Roman" w:cs="Times New Roman"/>
          <w:color w:val="000000" w:themeColor="text1"/>
          <w:sz w:val="20"/>
          <w:szCs w:val="20"/>
        </w:rPr>
        <w:t xml:space="preserve"> </w:t>
      </w:r>
      <w:r w:rsidR="008A7331" w:rsidRPr="000E262D">
        <w:rPr>
          <w:rFonts w:ascii="Times New Roman" w:hAnsi="Times New Roman" w:cs="Times New Roman"/>
          <w:color w:val="000000" w:themeColor="text1"/>
          <w:sz w:val="20"/>
          <w:szCs w:val="20"/>
          <w:lang w:val="en-US"/>
        </w:rPr>
        <w:t>Seventeenth</w:t>
      </w:r>
      <w:r w:rsidR="00DC56BF" w:rsidRPr="000E262D">
        <w:rPr>
          <w:rFonts w:ascii="Times New Roman" w:hAnsi="Times New Roman" w:cs="Times New Roman"/>
          <w:color w:val="000000" w:themeColor="text1"/>
          <w:sz w:val="20"/>
          <w:szCs w:val="20"/>
          <w:lang w:val="en-US"/>
        </w:rPr>
        <w:t xml:space="preserve"> interviews were conducted</w:t>
      </w:r>
      <w:r w:rsidR="00237B07" w:rsidRPr="000E262D">
        <w:rPr>
          <w:rFonts w:ascii="Times New Roman" w:hAnsi="Times New Roman" w:cs="Times New Roman"/>
          <w:color w:val="000000" w:themeColor="text1"/>
          <w:sz w:val="20"/>
          <w:szCs w:val="20"/>
          <w:lang w:val="en-US"/>
        </w:rPr>
        <w:t xml:space="preserve"> with officials and researchers from the EU and ASEAN </w:t>
      </w:r>
      <w:r w:rsidR="008A7331" w:rsidRPr="000E262D">
        <w:rPr>
          <w:rFonts w:ascii="Times New Roman" w:hAnsi="Times New Roman" w:cs="Times New Roman"/>
          <w:color w:val="000000" w:themeColor="text1"/>
          <w:sz w:val="20"/>
          <w:szCs w:val="20"/>
          <w:lang w:val="en-US"/>
        </w:rPr>
        <w:t>in 2017</w:t>
      </w:r>
      <w:r w:rsidR="00237B07" w:rsidRPr="000E262D">
        <w:rPr>
          <w:rFonts w:ascii="Times New Roman" w:hAnsi="Times New Roman" w:cs="Times New Roman"/>
          <w:color w:val="000000" w:themeColor="text1"/>
          <w:sz w:val="20"/>
          <w:szCs w:val="20"/>
          <w:lang w:val="en-US"/>
        </w:rPr>
        <w:t>,</w:t>
      </w:r>
      <w:r w:rsidR="00DC56BF" w:rsidRPr="000E262D">
        <w:rPr>
          <w:rFonts w:ascii="Times New Roman" w:hAnsi="Times New Roman" w:cs="Times New Roman"/>
          <w:color w:val="000000" w:themeColor="text1"/>
          <w:sz w:val="20"/>
          <w:szCs w:val="20"/>
          <w:lang w:val="en-US"/>
        </w:rPr>
        <w:t xml:space="preserve"> using the semi-structured method. This method has two advantages when attempting to uncover causal mechanisms. First, it is a flexible way of conducting interviews, allowing new questions to be asked in the light of the responses of the interviewees. It thus facilitates a deeper exploration of the research topic. Second, semi-structured interviews facilitate the gaining of knowledge of the experience and interpretation of reality from the perspective of the people directly involved in the topic under investigation</w:t>
      </w:r>
      <w:r w:rsidR="00237B07" w:rsidRPr="000E262D">
        <w:rPr>
          <w:rFonts w:ascii="Times New Roman" w:hAnsi="Times New Roman" w:cs="Times New Roman"/>
          <w:color w:val="000000" w:themeColor="text1"/>
          <w:sz w:val="20"/>
          <w:szCs w:val="20"/>
          <w:lang w:val="en-US"/>
        </w:rPr>
        <w:t xml:space="preserve"> (Blee and Taylor 2002)</w:t>
      </w:r>
      <w:r w:rsidR="00DC56BF" w:rsidRPr="000E262D">
        <w:rPr>
          <w:rFonts w:ascii="Times New Roman" w:hAnsi="Times New Roman" w:cs="Times New Roman"/>
          <w:color w:val="000000" w:themeColor="text1"/>
          <w:sz w:val="20"/>
          <w:szCs w:val="20"/>
          <w:lang w:val="en-US"/>
        </w:rPr>
        <w:t xml:space="preserve">. </w:t>
      </w:r>
      <w:r w:rsidR="00DD4FD6" w:rsidRPr="000E262D">
        <w:rPr>
          <w:rFonts w:ascii="Times New Roman" w:hAnsi="Times New Roman" w:cs="Times New Roman"/>
          <w:color w:val="000000" w:themeColor="text1"/>
          <w:sz w:val="20"/>
          <w:szCs w:val="20"/>
          <w:lang w:val="en-US"/>
        </w:rPr>
        <w:t xml:space="preserve">Furthermore, these interviews reflect a comprehensive sample, </w:t>
      </w:r>
      <w:r w:rsidR="00DD4FD6" w:rsidRPr="000E262D">
        <w:rPr>
          <w:rFonts w:ascii="Times New Roman" w:hAnsi="Times New Roman" w:cs="Times New Roman"/>
          <w:color w:val="000000" w:themeColor="text1"/>
          <w:sz w:val="20"/>
          <w:szCs w:val="20"/>
          <w:lang w:val="en-US"/>
        </w:rPr>
        <w:lastRenderedPageBreak/>
        <w:t>including diplomats from multiple EU institutions and various departments in ASEAN who have contributed to the development and operationalization of EU-ASEAN cooperation.</w:t>
      </w:r>
    </w:p>
    <w:p w14:paraId="7032655A" w14:textId="77777777" w:rsidR="00DC56BF" w:rsidRPr="000E262D" w:rsidRDefault="00DC56BF" w:rsidP="008A7331">
      <w:pPr>
        <w:rPr>
          <w:rFonts w:ascii="Times New Roman" w:hAnsi="Times New Roman" w:cs="Times New Roman"/>
          <w:color w:val="000000" w:themeColor="text1"/>
          <w:sz w:val="20"/>
          <w:szCs w:val="20"/>
        </w:rPr>
      </w:pPr>
    </w:p>
    <w:p w14:paraId="0AB10F80" w14:textId="1B382372" w:rsidR="0048649C" w:rsidRPr="000E262D" w:rsidRDefault="00B63EF9"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This case study contributes to advancing the </w:t>
      </w:r>
      <w:r w:rsidR="00C72233" w:rsidRPr="000E262D">
        <w:rPr>
          <w:rFonts w:ascii="Times New Roman" w:hAnsi="Times New Roman" w:cs="Times New Roman"/>
          <w:color w:val="000000" w:themeColor="text1"/>
          <w:sz w:val="20"/>
          <w:szCs w:val="20"/>
        </w:rPr>
        <w:t xml:space="preserve">empirical </w:t>
      </w:r>
      <w:r w:rsidRPr="000E262D">
        <w:rPr>
          <w:rFonts w:ascii="Times New Roman" w:hAnsi="Times New Roman" w:cs="Times New Roman"/>
          <w:color w:val="000000" w:themeColor="text1"/>
          <w:sz w:val="20"/>
          <w:szCs w:val="20"/>
        </w:rPr>
        <w:t xml:space="preserve">research on the EU’s norm promotion towards ASEAN in two aspects: first, whereas the existing literature on this topic focuses primarily on the EU’s externalization of overarching norms and ideas such as regionalism (Allison 2015; </w:t>
      </w:r>
      <w:proofErr w:type="spellStart"/>
      <w:r w:rsidRPr="000E262D">
        <w:rPr>
          <w:rFonts w:ascii="Times New Roman" w:hAnsi="Times New Roman" w:cs="Times New Roman"/>
          <w:color w:val="000000" w:themeColor="text1"/>
          <w:sz w:val="20"/>
          <w:szCs w:val="20"/>
        </w:rPr>
        <w:t>Jetschke</w:t>
      </w:r>
      <w:proofErr w:type="spellEnd"/>
      <w:r w:rsidRPr="000E262D">
        <w:rPr>
          <w:rFonts w:ascii="Times New Roman" w:hAnsi="Times New Roman" w:cs="Times New Roman"/>
          <w:color w:val="000000" w:themeColor="text1"/>
          <w:sz w:val="20"/>
          <w:szCs w:val="20"/>
        </w:rPr>
        <w:t xml:space="preserve"> 2010; </w:t>
      </w:r>
      <w:proofErr w:type="spellStart"/>
      <w:r w:rsidRPr="000E262D">
        <w:rPr>
          <w:rFonts w:ascii="Times New Roman" w:hAnsi="Times New Roman" w:cs="Times New Roman"/>
          <w:color w:val="000000" w:themeColor="text1"/>
          <w:sz w:val="20"/>
          <w:szCs w:val="20"/>
        </w:rPr>
        <w:t>Jetschke</w:t>
      </w:r>
      <w:proofErr w:type="spellEnd"/>
      <w:r w:rsidRPr="000E262D">
        <w:rPr>
          <w:rFonts w:ascii="Times New Roman" w:hAnsi="Times New Roman" w:cs="Times New Roman"/>
          <w:color w:val="000000" w:themeColor="text1"/>
          <w:sz w:val="20"/>
          <w:szCs w:val="20"/>
        </w:rPr>
        <w:t xml:space="preserve"> and Murray 2012), human rights (</w:t>
      </w:r>
      <w:proofErr w:type="spellStart"/>
      <w:r w:rsidRPr="000E262D">
        <w:rPr>
          <w:rFonts w:ascii="Times New Roman" w:hAnsi="Times New Roman" w:cs="Times New Roman"/>
          <w:color w:val="000000" w:themeColor="text1"/>
          <w:sz w:val="20"/>
          <w:szCs w:val="20"/>
        </w:rPr>
        <w:t>Manea</w:t>
      </w:r>
      <w:proofErr w:type="spellEnd"/>
      <w:r w:rsidRPr="000E262D">
        <w:rPr>
          <w:rFonts w:ascii="Times New Roman" w:hAnsi="Times New Roman" w:cs="Times New Roman"/>
          <w:color w:val="000000" w:themeColor="text1"/>
          <w:sz w:val="20"/>
          <w:szCs w:val="20"/>
        </w:rPr>
        <w:t xml:space="preserve"> 2008)</w:t>
      </w:r>
      <w:r w:rsidR="006B0A77" w:rsidRPr="000E262D">
        <w:rPr>
          <w:rFonts w:ascii="Times New Roman" w:hAnsi="Times New Roman" w:cs="Times New Roman"/>
          <w:color w:val="000000" w:themeColor="text1"/>
          <w:sz w:val="20"/>
          <w:szCs w:val="20"/>
        </w:rPr>
        <w:t xml:space="preserve"> and</w:t>
      </w:r>
      <w:r w:rsidRPr="000E262D">
        <w:rPr>
          <w:rFonts w:ascii="Times New Roman" w:hAnsi="Times New Roman" w:cs="Times New Roman"/>
          <w:color w:val="000000" w:themeColor="text1"/>
          <w:sz w:val="20"/>
          <w:szCs w:val="20"/>
        </w:rPr>
        <w:t xml:space="preserve"> </w:t>
      </w:r>
      <w:r w:rsidR="00F40D6D" w:rsidRPr="000E262D">
        <w:rPr>
          <w:rFonts w:ascii="Times New Roman" w:hAnsi="Times New Roman" w:cs="Times New Roman"/>
          <w:color w:val="000000" w:themeColor="text1"/>
          <w:sz w:val="20"/>
          <w:szCs w:val="20"/>
        </w:rPr>
        <w:t>constitutional norms (Hopkins 2015)</w:t>
      </w:r>
      <w:r w:rsidR="006B0A77" w:rsidRPr="000E262D">
        <w:rPr>
          <w:rFonts w:ascii="Times New Roman" w:hAnsi="Times New Roman" w:cs="Times New Roman"/>
          <w:color w:val="000000" w:themeColor="text1"/>
          <w:sz w:val="20"/>
          <w:szCs w:val="20"/>
        </w:rPr>
        <w:t>,</w:t>
      </w:r>
      <w:r w:rsidR="00F40D6D" w:rsidRPr="000E262D">
        <w:rPr>
          <w:rFonts w:ascii="Times New Roman" w:hAnsi="Times New Roman" w:cs="Times New Roman"/>
          <w:color w:val="000000" w:themeColor="text1"/>
          <w:sz w:val="20"/>
          <w:szCs w:val="20"/>
        </w:rPr>
        <w:t xml:space="preserve"> this research enriches the empirical </w:t>
      </w:r>
      <w:r w:rsidR="00C72233" w:rsidRPr="000E262D">
        <w:rPr>
          <w:rFonts w:ascii="Times New Roman" w:hAnsi="Times New Roman" w:cs="Times New Roman"/>
          <w:color w:val="000000" w:themeColor="text1"/>
          <w:sz w:val="20"/>
          <w:szCs w:val="20"/>
        </w:rPr>
        <w:t>discussion</w:t>
      </w:r>
      <w:r w:rsidR="00F40D6D" w:rsidRPr="000E262D">
        <w:rPr>
          <w:rFonts w:ascii="Times New Roman" w:hAnsi="Times New Roman" w:cs="Times New Roman"/>
          <w:color w:val="000000" w:themeColor="text1"/>
          <w:sz w:val="20"/>
          <w:szCs w:val="20"/>
        </w:rPr>
        <w:t xml:space="preserve"> </w:t>
      </w:r>
      <w:r w:rsidR="00C72233" w:rsidRPr="000E262D">
        <w:rPr>
          <w:rFonts w:ascii="Times New Roman" w:hAnsi="Times New Roman" w:cs="Times New Roman"/>
          <w:color w:val="000000" w:themeColor="text1"/>
          <w:sz w:val="20"/>
          <w:szCs w:val="20"/>
        </w:rPr>
        <w:t>on</w:t>
      </w:r>
      <w:r w:rsidR="00F40D6D" w:rsidRPr="000E262D">
        <w:rPr>
          <w:rFonts w:ascii="Times New Roman" w:hAnsi="Times New Roman" w:cs="Times New Roman"/>
          <w:color w:val="000000" w:themeColor="text1"/>
          <w:sz w:val="20"/>
          <w:szCs w:val="20"/>
        </w:rPr>
        <w:t xml:space="preserve"> the subject by focusing on the EU’s externalization of economic and market-related overarching norms and concrete policy-settings vis-à-vis ASEAN. Second, this research advances our understanding of the effectiveness of </w:t>
      </w:r>
      <w:r w:rsidR="00813213" w:rsidRPr="000E262D">
        <w:rPr>
          <w:rFonts w:ascii="Times New Roman" w:hAnsi="Times New Roman" w:cs="Times New Roman"/>
          <w:color w:val="000000" w:themeColor="text1"/>
          <w:sz w:val="20"/>
          <w:szCs w:val="20"/>
        </w:rPr>
        <w:t>the EU’s projection of normative and market power</w:t>
      </w:r>
      <w:r w:rsidR="00F40D6D" w:rsidRPr="000E262D">
        <w:rPr>
          <w:rFonts w:ascii="Times New Roman" w:hAnsi="Times New Roman" w:cs="Times New Roman"/>
          <w:color w:val="000000" w:themeColor="text1"/>
          <w:sz w:val="20"/>
          <w:szCs w:val="20"/>
        </w:rPr>
        <w:t xml:space="preserve">, which remains largely underexplored in the existing literature on EU-ASEAN relations. </w:t>
      </w:r>
    </w:p>
    <w:p w14:paraId="45AC5354" w14:textId="77777777" w:rsidR="002A53BA" w:rsidRPr="000E262D" w:rsidRDefault="002A53BA" w:rsidP="008A7331">
      <w:pPr>
        <w:rPr>
          <w:rFonts w:ascii="Times New Roman" w:hAnsi="Times New Roman" w:cs="Times New Roman"/>
          <w:color w:val="000000" w:themeColor="text1"/>
          <w:sz w:val="20"/>
          <w:szCs w:val="20"/>
          <w:lang w:val="en-US"/>
        </w:rPr>
      </w:pPr>
    </w:p>
    <w:p w14:paraId="7F058F55" w14:textId="56A2368E" w:rsidR="00E7727D" w:rsidRPr="000E262D" w:rsidRDefault="00427CD8" w:rsidP="008A7331">
      <w:pPr>
        <w:rPr>
          <w:rFonts w:ascii="Times New Roman" w:hAnsi="Times New Roman" w:cs="Times New Roman"/>
          <w:b/>
          <w:bCs/>
          <w:i/>
          <w:iCs/>
          <w:color w:val="000000" w:themeColor="text1"/>
          <w:sz w:val="20"/>
          <w:szCs w:val="20"/>
        </w:rPr>
      </w:pPr>
      <w:r w:rsidRPr="000E262D">
        <w:rPr>
          <w:rFonts w:ascii="Times New Roman" w:hAnsi="Times New Roman" w:cs="Times New Roman"/>
          <w:b/>
          <w:bCs/>
          <w:i/>
          <w:iCs/>
          <w:color w:val="000000" w:themeColor="text1"/>
          <w:sz w:val="20"/>
          <w:szCs w:val="20"/>
        </w:rPr>
        <w:t xml:space="preserve">Specifying </w:t>
      </w:r>
      <w:r w:rsidR="00A55894" w:rsidRPr="000E262D">
        <w:rPr>
          <w:rFonts w:ascii="Times New Roman" w:hAnsi="Times New Roman" w:cs="Times New Roman"/>
          <w:b/>
          <w:bCs/>
          <w:i/>
          <w:iCs/>
          <w:color w:val="000000" w:themeColor="text1"/>
          <w:sz w:val="20"/>
          <w:szCs w:val="20"/>
        </w:rPr>
        <w:t xml:space="preserve">subjects of </w:t>
      </w:r>
      <w:r w:rsidR="00A34B8A" w:rsidRPr="000E262D">
        <w:rPr>
          <w:rFonts w:ascii="Times New Roman" w:hAnsi="Times New Roman" w:cs="Times New Roman"/>
          <w:b/>
          <w:bCs/>
          <w:i/>
          <w:iCs/>
          <w:color w:val="000000" w:themeColor="text1"/>
          <w:sz w:val="20"/>
          <w:szCs w:val="20"/>
        </w:rPr>
        <w:t xml:space="preserve">the EU’s </w:t>
      </w:r>
      <w:r w:rsidR="00A55894" w:rsidRPr="000E262D">
        <w:rPr>
          <w:rFonts w:ascii="Times New Roman" w:hAnsi="Times New Roman" w:cs="Times New Roman"/>
          <w:b/>
          <w:bCs/>
          <w:i/>
          <w:iCs/>
          <w:color w:val="000000" w:themeColor="text1"/>
          <w:sz w:val="20"/>
          <w:szCs w:val="20"/>
        </w:rPr>
        <w:t>externalization</w:t>
      </w:r>
    </w:p>
    <w:p w14:paraId="1358BD92" w14:textId="77777777" w:rsidR="004C23C1" w:rsidRPr="000E262D" w:rsidRDefault="004C23C1" w:rsidP="008A7331">
      <w:pPr>
        <w:rPr>
          <w:rFonts w:ascii="Times New Roman" w:hAnsi="Times New Roman" w:cs="Times New Roman"/>
          <w:color w:val="000000" w:themeColor="text1"/>
          <w:sz w:val="20"/>
          <w:szCs w:val="20"/>
        </w:rPr>
      </w:pPr>
    </w:p>
    <w:p w14:paraId="5DB6E266" w14:textId="643D9D40" w:rsidR="00D23A75" w:rsidRPr="000E262D" w:rsidRDefault="00E210EC"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In order to disentangle </w:t>
      </w:r>
      <w:r w:rsidR="00FA02B4" w:rsidRPr="000E262D">
        <w:rPr>
          <w:rFonts w:ascii="Times New Roman" w:hAnsi="Times New Roman" w:cs="Times New Roman"/>
          <w:color w:val="000000" w:themeColor="text1"/>
          <w:sz w:val="20"/>
          <w:szCs w:val="20"/>
        </w:rPr>
        <w:t xml:space="preserve">the </w:t>
      </w:r>
      <w:r w:rsidRPr="000E262D">
        <w:rPr>
          <w:rFonts w:ascii="Times New Roman" w:hAnsi="Times New Roman" w:cs="Times New Roman"/>
          <w:color w:val="000000" w:themeColor="text1"/>
          <w:sz w:val="20"/>
          <w:szCs w:val="20"/>
        </w:rPr>
        <w:t xml:space="preserve">subjects of </w:t>
      </w:r>
      <w:r w:rsidR="00FA02B4" w:rsidRPr="000E262D">
        <w:rPr>
          <w:rFonts w:ascii="Times New Roman" w:hAnsi="Times New Roman" w:cs="Times New Roman"/>
          <w:color w:val="000000" w:themeColor="text1"/>
          <w:sz w:val="20"/>
          <w:szCs w:val="20"/>
        </w:rPr>
        <w:t xml:space="preserve">the EU’s </w:t>
      </w:r>
      <w:r w:rsidRPr="000E262D">
        <w:rPr>
          <w:rFonts w:ascii="Times New Roman" w:hAnsi="Times New Roman" w:cs="Times New Roman"/>
          <w:color w:val="000000" w:themeColor="text1"/>
          <w:sz w:val="20"/>
          <w:szCs w:val="20"/>
        </w:rPr>
        <w:t xml:space="preserve">externalization, this section draws on the analytical framework and disaggregates the EU’s diffusion items into </w:t>
      </w:r>
      <w:r w:rsidR="00C72233" w:rsidRPr="000E262D">
        <w:rPr>
          <w:rFonts w:ascii="Times New Roman" w:hAnsi="Times New Roman" w:cs="Times New Roman"/>
          <w:color w:val="000000" w:themeColor="text1"/>
          <w:sz w:val="20"/>
          <w:szCs w:val="20"/>
          <w:lang w:val="en-US"/>
        </w:rPr>
        <w:t>three</w:t>
      </w:r>
      <w:r w:rsidRPr="000E262D">
        <w:rPr>
          <w:rFonts w:ascii="Times New Roman" w:hAnsi="Times New Roman" w:cs="Times New Roman"/>
          <w:color w:val="000000" w:themeColor="text1"/>
          <w:sz w:val="20"/>
          <w:szCs w:val="20"/>
        </w:rPr>
        <w:t xml:space="preserve"> categories according to their levels of specificity. </w:t>
      </w:r>
      <w:r w:rsidR="00643F84" w:rsidRPr="000E262D">
        <w:rPr>
          <w:rFonts w:ascii="Times New Roman" w:hAnsi="Times New Roman" w:cs="Times New Roman"/>
          <w:color w:val="000000" w:themeColor="text1"/>
          <w:sz w:val="20"/>
          <w:szCs w:val="20"/>
        </w:rPr>
        <w:t>Above all</w:t>
      </w:r>
      <w:r w:rsidRPr="000E262D">
        <w:rPr>
          <w:rFonts w:ascii="Times New Roman" w:hAnsi="Times New Roman" w:cs="Times New Roman"/>
          <w:color w:val="000000" w:themeColor="text1"/>
          <w:sz w:val="20"/>
          <w:szCs w:val="20"/>
        </w:rPr>
        <w:t xml:space="preserve">, at the level of overarching ideas, it can be observed that the EU has actively promoted the </w:t>
      </w:r>
      <w:r w:rsidR="00FA02B4" w:rsidRPr="000E262D">
        <w:rPr>
          <w:rFonts w:ascii="Times New Roman" w:hAnsi="Times New Roman" w:cs="Times New Roman"/>
          <w:color w:val="000000" w:themeColor="text1"/>
          <w:sz w:val="20"/>
          <w:szCs w:val="20"/>
        </w:rPr>
        <w:t xml:space="preserve">general </w:t>
      </w:r>
      <w:r w:rsidRPr="000E262D">
        <w:rPr>
          <w:rFonts w:ascii="Times New Roman" w:hAnsi="Times New Roman" w:cs="Times New Roman"/>
          <w:color w:val="000000" w:themeColor="text1"/>
          <w:sz w:val="20"/>
          <w:szCs w:val="20"/>
        </w:rPr>
        <w:t xml:space="preserve">norm of economic liberalism </w:t>
      </w:r>
      <w:r w:rsidR="00FA02B4" w:rsidRPr="000E262D">
        <w:rPr>
          <w:rFonts w:ascii="Times New Roman" w:hAnsi="Times New Roman" w:cs="Times New Roman"/>
          <w:color w:val="000000" w:themeColor="text1"/>
          <w:sz w:val="20"/>
          <w:szCs w:val="20"/>
        </w:rPr>
        <w:t>in</w:t>
      </w:r>
      <w:r w:rsidRPr="000E262D">
        <w:rPr>
          <w:rFonts w:ascii="Times New Roman" w:hAnsi="Times New Roman" w:cs="Times New Roman"/>
          <w:color w:val="000000" w:themeColor="text1"/>
          <w:sz w:val="20"/>
          <w:szCs w:val="20"/>
        </w:rPr>
        <w:t xml:space="preserve"> ASEAN.</w:t>
      </w:r>
      <w:r w:rsidR="00C76099" w:rsidRPr="000E262D">
        <w:rPr>
          <w:rFonts w:ascii="Times New Roman" w:hAnsi="Times New Roman" w:cs="Times New Roman"/>
          <w:color w:val="000000" w:themeColor="text1"/>
          <w:sz w:val="20"/>
          <w:szCs w:val="20"/>
        </w:rPr>
        <w:t xml:space="preserve"> </w:t>
      </w:r>
      <w:r w:rsidR="00C72233" w:rsidRPr="000E262D">
        <w:rPr>
          <w:rFonts w:ascii="Times New Roman" w:hAnsi="Times New Roman" w:cs="Times New Roman"/>
          <w:color w:val="000000" w:themeColor="text1"/>
          <w:sz w:val="20"/>
          <w:szCs w:val="20"/>
        </w:rPr>
        <w:t>This observation echoes some existing literature which reveals that</w:t>
      </w:r>
      <w:r w:rsidR="00E47042" w:rsidRPr="000E262D">
        <w:rPr>
          <w:rFonts w:ascii="Times New Roman" w:hAnsi="Times New Roman" w:cs="Times New Roman"/>
          <w:color w:val="000000" w:themeColor="text1"/>
          <w:sz w:val="20"/>
          <w:szCs w:val="20"/>
        </w:rPr>
        <w:t xml:space="preserve"> </w:t>
      </w:r>
      <w:r w:rsidR="00643F84" w:rsidRPr="000E262D">
        <w:rPr>
          <w:rFonts w:ascii="Times New Roman" w:hAnsi="Times New Roman" w:cs="Times New Roman"/>
          <w:color w:val="000000" w:themeColor="text1"/>
          <w:sz w:val="20"/>
          <w:szCs w:val="20"/>
        </w:rPr>
        <w:t xml:space="preserve">the external dimension of the EU’s economic liberalism </w:t>
      </w:r>
      <w:r w:rsidR="00C76099" w:rsidRPr="000E262D">
        <w:rPr>
          <w:rFonts w:ascii="Times New Roman" w:hAnsi="Times New Roman" w:cs="Times New Roman"/>
          <w:color w:val="000000" w:themeColor="text1"/>
          <w:sz w:val="20"/>
          <w:szCs w:val="20"/>
        </w:rPr>
        <w:t>is</w:t>
      </w:r>
      <w:r w:rsidR="00643F84" w:rsidRPr="000E262D">
        <w:rPr>
          <w:rFonts w:ascii="Times New Roman" w:hAnsi="Times New Roman" w:cs="Times New Roman"/>
          <w:color w:val="000000" w:themeColor="text1"/>
          <w:sz w:val="20"/>
          <w:szCs w:val="20"/>
        </w:rPr>
        <w:t xml:space="preserve"> essentially manifested in</w:t>
      </w:r>
      <w:r w:rsidR="007C3142" w:rsidRPr="000E262D">
        <w:rPr>
          <w:rFonts w:ascii="Times New Roman" w:hAnsi="Times New Roman" w:cs="Times New Roman"/>
          <w:color w:val="000000" w:themeColor="text1"/>
          <w:sz w:val="20"/>
          <w:szCs w:val="20"/>
        </w:rPr>
        <w:t xml:space="preserve"> the </w:t>
      </w:r>
      <w:r w:rsidR="007264AC" w:rsidRPr="000E262D">
        <w:rPr>
          <w:rFonts w:ascii="Times New Roman" w:hAnsi="Times New Roman" w:cs="Times New Roman"/>
          <w:color w:val="000000" w:themeColor="text1"/>
          <w:sz w:val="20"/>
          <w:szCs w:val="20"/>
        </w:rPr>
        <w:t xml:space="preserve">union’s </w:t>
      </w:r>
      <w:r w:rsidR="00D34E61" w:rsidRPr="000E262D">
        <w:rPr>
          <w:rFonts w:ascii="Times New Roman" w:hAnsi="Times New Roman" w:cs="Times New Roman"/>
          <w:color w:val="000000" w:themeColor="text1"/>
          <w:sz w:val="20"/>
          <w:szCs w:val="20"/>
        </w:rPr>
        <w:t>objective</w:t>
      </w:r>
      <w:r w:rsidR="007C3142" w:rsidRPr="000E262D">
        <w:rPr>
          <w:rFonts w:ascii="Times New Roman" w:hAnsi="Times New Roman" w:cs="Times New Roman"/>
          <w:color w:val="000000" w:themeColor="text1"/>
          <w:sz w:val="20"/>
          <w:szCs w:val="20"/>
        </w:rPr>
        <w:t xml:space="preserve"> to export its economic integration</w:t>
      </w:r>
      <w:r w:rsidR="006441A2" w:rsidRPr="000E262D">
        <w:rPr>
          <w:rFonts w:ascii="Times New Roman" w:hAnsi="Times New Roman" w:cs="Times New Roman"/>
          <w:color w:val="000000" w:themeColor="text1"/>
          <w:sz w:val="20"/>
          <w:szCs w:val="20"/>
        </w:rPr>
        <w:t xml:space="preserve"> and single market</w:t>
      </w:r>
      <w:r w:rsidR="007C3142" w:rsidRPr="000E262D">
        <w:rPr>
          <w:rFonts w:ascii="Times New Roman" w:hAnsi="Times New Roman" w:cs="Times New Roman"/>
          <w:color w:val="000000" w:themeColor="text1"/>
          <w:sz w:val="20"/>
          <w:szCs w:val="20"/>
        </w:rPr>
        <w:t xml:space="preserve"> model to ASEAN</w:t>
      </w:r>
      <w:r w:rsidR="006441A2" w:rsidRPr="000E262D">
        <w:rPr>
          <w:rFonts w:ascii="Times New Roman" w:hAnsi="Times New Roman" w:cs="Times New Roman"/>
          <w:color w:val="000000" w:themeColor="text1"/>
          <w:sz w:val="20"/>
          <w:szCs w:val="20"/>
        </w:rPr>
        <w:t xml:space="preserve"> as well as </w:t>
      </w:r>
      <w:r w:rsidR="00D34E61" w:rsidRPr="000E262D">
        <w:rPr>
          <w:rFonts w:ascii="Times New Roman" w:hAnsi="Times New Roman" w:cs="Times New Roman"/>
          <w:color w:val="000000" w:themeColor="text1"/>
          <w:sz w:val="20"/>
          <w:szCs w:val="20"/>
        </w:rPr>
        <w:t>its</w:t>
      </w:r>
      <w:r w:rsidR="00E70A14" w:rsidRPr="000E262D">
        <w:rPr>
          <w:rFonts w:ascii="Times New Roman" w:hAnsi="Times New Roman" w:cs="Times New Roman"/>
          <w:color w:val="000000" w:themeColor="text1"/>
          <w:sz w:val="20"/>
          <w:szCs w:val="20"/>
        </w:rPr>
        <w:t xml:space="preserve"> </w:t>
      </w:r>
      <w:r w:rsidR="00C65046" w:rsidRPr="000E262D">
        <w:rPr>
          <w:rFonts w:ascii="Times New Roman" w:hAnsi="Times New Roman" w:cs="Times New Roman"/>
          <w:color w:val="000000" w:themeColor="text1"/>
          <w:sz w:val="20"/>
          <w:szCs w:val="20"/>
        </w:rPr>
        <w:t>efforts</w:t>
      </w:r>
      <w:r w:rsidR="00E70A14" w:rsidRPr="000E262D">
        <w:rPr>
          <w:rFonts w:ascii="Times New Roman" w:hAnsi="Times New Roman" w:cs="Times New Roman"/>
          <w:color w:val="000000" w:themeColor="text1"/>
          <w:sz w:val="20"/>
          <w:szCs w:val="20"/>
        </w:rPr>
        <w:t xml:space="preserve"> to promote deep and comprehensive trade liberalization and regulatory </w:t>
      </w:r>
      <w:r w:rsidR="00C76099" w:rsidRPr="000E262D">
        <w:rPr>
          <w:rFonts w:ascii="Times New Roman" w:hAnsi="Times New Roman" w:cs="Times New Roman"/>
          <w:color w:val="000000" w:themeColor="text1"/>
          <w:sz w:val="20"/>
          <w:szCs w:val="20"/>
        </w:rPr>
        <w:t>convergence</w:t>
      </w:r>
      <w:r w:rsidR="00E70A14" w:rsidRPr="000E262D">
        <w:rPr>
          <w:rFonts w:ascii="Times New Roman" w:hAnsi="Times New Roman" w:cs="Times New Roman"/>
          <w:color w:val="000000" w:themeColor="text1"/>
          <w:sz w:val="20"/>
          <w:szCs w:val="20"/>
        </w:rPr>
        <w:t xml:space="preserve"> in </w:t>
      </w:r>
      <w:r w:rsidR="0026094D" w:rsidRPr="000E262D">
        <w:rPr>
          <w:rFonts w:ascii="Times New Roman" w:hAnsi="Times New Roman" w:cs="Times New Roman"/>
          <w:color w:val="000000" w:themeColor="text1"/>
          <w:sz w:val="20"/>
          <w:szCs w:val="20"/>
        </w:rPr>
        <w:t xml:space="preserve">the </w:t>
      </w:r>
      <w:r w:rsidR="00E70A14" w:rsidRPr="000E262D">
        <w:rPr>
          <w:rFonts w:ascii="Times New Roman" w:hAnsi="Times New Roman" w:cs="Times New Roman"/>
          <w:color w:val="000000" w:themeColor="text1"/>
          <w:sz w:val="20"/>
          <w:szCs w:val="20"/>
        </w:rPr>
        <w:t xml:space="preserve">ASEAN </w:t>
      </w:r>
      <w:r w:rsidR="00C76099" w:rsidRPr="000E262D">
        <w:rPr>
          <w:rFonts w:ascii="Times New Roman" w:hAnsi="Times New Roman" w:cs="Times New Roman"/>
          <w:color w:val="000000" w:themeColor="text1"/>
          <w:sz w:val="20"/>
          <w:szCs w:val="20"/>
        </w:rPr>
        <w:t>region</w:t>
      </w:r>
      <w:r w:rsidR="00C72233" w:rsidRPr="000E262D">
        <w:rPr>
          <w:rFonts w:ascii="Times New Roman" w:hAnsi="Times New Roman" w:cs="Times New Roman"/>
          <w:color w:val="000000" w:themeColor="text1"/>
          <w:sz w:val="20"/>
          <w:szCs w:val="20"/>
        </w:rPr>
        <w:t xml:space="preserve"> (Allison 2015)</w:t>
      </w:r>
      <w:r w:rsidR="00C76099" w:rsidRPr="000E262D">
        <w:rPr>
          <w:rFonts w:ascii="Times New Roman" w:hAnsi="Times New Roman" w:cs="Times New Roman"/>
          <w:color w:val="000000" w:themeColor="text1"/>
          <w:sz w:val="20"/>
          <w:szCs w:val="20"/>
        </w:rPr>
        <w:t>.</w:t>
      </w:r>
      <w:r w:rsidR="00E47042" w:rsidRPr="000E262D">
        <w:rPr>
          <w:rFonts w:ascii="Times New Roman" w:hAnsi="Times New Roman" w:cs="Times New Roman"/>
          <w:color w:val="000000" w:themeColor="text1"/>
          <w:sz w:val="20"/>
          <w:szCs w:val="20"/>
        </w:rPr>
        <w:t xml:space="preserve"> </w:t>
      </w:r>
      <w:r w:rsidR="00B20FBE" w:rsidRPr="000E262D">
        <w:rPr>
          <w:rFonts w:ascii="Times New Roman" w:hAnsi="Times New Roman" w:cs="Times New Roman"/>
          <w:color w:val="000000" w:themeColor="text1"/>
          <w:sz w:val="20"/>
          <w:szCs w:val="20"/>
        </w:rPr>
        <w:t xml:space="preserve">The </w:t>
      </w:r>
      <w:r w:rsidR="00C76099" w:rsidRPr="000E262D">
        <w:rPr>
          <w:rFonts w:ascii="Times New Roman" w:hAnsi="Times New Roman" w:cs="Times New Roman"/>
          <w:color w:val="000000" w:themeColor="text1"/>
          <w:sz w:val="20"/>
          <w:szCs w:val="20"/>
        </w:rPr>
        <w:t>o</w:t>
      </w:r>
      <w:r w:rsidR="000E7641" w:rsidRPr="000E262D">
        <w:rPr>
          <w:rFonts w:ascii="Times New Roman" w:hAnsi="Times New Roman" w:cs="Times New Roman"/>
          <w:color w:val="000000" w:themeColor="text1"/>
          <w:sz w:val="20"/>
          <w:szCs w:val="20"/>
        </w:rPr>
        <w:t>v</w:t>
      </w:r>
      <w:r w:rsidR="00C76099" w:rsidRPr="000E262D">
        <w:rPr>
          <w:rFonts w:ascii="Times New Roman" w:hAnsi="Times New Roman" w:cs="Times New Roman"/>
          <w:color w:val="000000" w:themeColor="text1"/>
          <w:sz w:val="20"/>
          <w:szCs w:val="20"/>
        </w:rPr>
        <w:t xml:space="preserve">erarching norm of </w:t>
      </w:r>
      <w:r w:rsidR="00B20FBE" w:rsidRPr="000E262D">
        <w:rPr>
          <w:rFonts w:ascii="Times New Roman" w:hAnsi="Times New Roman" w:cs="Times New Roman"/>
          <w:color w:val="000000" w:themeColor="text1"/>
          <w:sz w:val="20"/>
          <w:szCs w:val="20"/>
        </w:rPr>
        <w:t xml:space="preserve">economic liberalism can be </w:t>
      </w:r>
      <w:r w:rsidR="000E7641" w:rsidRPr="000E262D">
        <w:rPr>
          <w:rFonts w:ascii="Times New Roman" w:hAnsi="Times New Roman" w:cs="Times New Roman"/>
          <w:color w:val="000000" w:themeColor="text1"/>
          <w:sz w:val="20"/>
          <w:szCs w:val="20"/>
        </w:rPr>
        <w:t>observed</w:t>
      </w:r>
      <w:r w:rsidR="00B20FBE" w:rsidRPr="000E262D">
        <w:rPr>
          <w:rFonts w:ascii="Times New Roman" w:hAnsi="Times New Roman" w:cs="Times New Roman"/>
          <w:color w:val="000000" w:themeColor="text1"/>
          <w:sz w:val="20"/>
          <w:szCs w:val="20"/>
        </w:rPr>
        <w:t xml:space="preserve"> in</w:t>
      </w:r>
      <w:r w:rsidR="00191368" w:rsidRPr="000E262D">
        <w:rPr>
          <w:rFonts w:ascii="Times New Roman" w:hAnsi="Times New Roman" w:cs="Times New Roman"/>
          <w:color w:val="000000" w:themeColor="text1"/>
          <w:sz w:val="20"/>
          <w:szCs w:val="20"/>
        </w:rPr>
        <w:t xml:space="preserve"> the EU’s</w:t>
      </w:r>
      <w:r w:rsidR="000E7641" w:rsidRPr="000E262D">
        <w:rPr>
          <w:rFonts w:ascii="Times New Roman" w:hAnsi="Times New Roman" w:cs="Times New Roman"/>
          <w:color w:val="000000" w:themeColor="text1"/>
          <w:sz w:val="20"/>
          <w:szCs w:val="20"/>
        </w:rPr>
        <w:t xml:space="preserve"> global trade strateg</w:t>
      </w:r>
      <w:r w:rsidR="00AE4854" w:rsidRPr="000E262D">
        <w:rPr>
          <w:rFonts w:ascii="Times New Roman" w:hAnsi="Times New Roman" w:cs="Times New Roman"/>
          <w:color w:val="000000" w:themeColor="text1"/>
          <w:sz w:val="20"/>
          <w:szCs w:val="20"/>
        </w:rPr>
        <w:t>ies</w:t>
      </w:r>
      <w:r w:rsidR="000E7641" w:rsidRPr="000E262D">
        <w:rPr>
          <w:rFonts w:ascii="Times New Roman" w:hAnsi="Times New Roman" w:cs="Times New Roman"/>
          <w:color w:val="000000" w:themeColor="text1"/>
          <w:sz w:val="20"/>
          <w:szCs w:val="20"/>
        </w:rPr>
        <w:t xml:space="preserve">. </w:t>
      </w:r>
      <w:r w:rsidR="00191368" w:rsidRPr="000E262D">
        <w:rPr>
          <w:rFonts w:ascii="Times New Roman" w:hAnsi="Times New Roman" w:cs="Times New Roman"/>
          <w:color w:val="000000" w:themeColor="text1"/>
          <w:sz w:val="20"/>
          <w:szCs w:val="20"/>
        </w:rPr>
        <w:t>For instance,</w:t>
      </w:r>
      <w:r w:rsidR="008A3BCA" w:rsidRPr="000E262D">
        <w:rPr>
          <w:rFonts w:ascii="Times New Roman" w:hAnsi="Times New Roman" w:cs="Times New Roman"/>
          <w:color w:val="000000" w:themeColor="text1"/>
          <w:sz w:val="20"/>
          <w:szCs w:val="20"/>
        </w:rPr>
        <w:t xml:space="preserve"> </w:t>
      </w:r>
      <w:r w:rsidR="00506688" w:rsidRPr="000E262D">
        <w:rPr>
          <w:rFonts w:ascii="Times New Roman" w:hAnsi="Times New Roman" w:cs="Times New Roman"/>
          <w:color w:val="000000" w:themeColor="text1"/>
          <w:sz w:val="20"/>
          <w:szCs w:val="20"/>
        </w:rPr>
        <w:t xml:space="preserve">the 2006 communication on Global Europe explicitly pointed out </w:t>
      </w:r>
      <w:r w:rsidR="00B03F63" w:rsidRPr="000E262D">
        <w:rPr>
          <w:rFonts w:ascii="Times New Roman" w:hAnsi="Times New Roman" w:cs="Times New Roman"/>
          <w:color w:val="000000" w:themeColor="text1"/>
          <w:sz w:val="20"/>
          <w:szCs w:val="20"/>
          <w:lang w:val="en-US"/>
        </w:rPr>
        <w:t>pursuing deep and comprehensive trade liberalization at a global level constitutes the EU’s external priority in trade (European Commission 2006:2).</w:t>
      </w:r>
      <w:r w:rsidR="00BA4F35" w:rsidRPr="000E262D">
        <w:rPr>
          <w:rFonts w:ascii="Times New Roman" w:hAnsi="Times New Roman" w:cs="Times New Roman"/>
          <w:color w:val="000000" w:themeColor="text1"/>
          <w:sz w:val="20"/>
          <w:szCs w:val="20"/>
          <w:lang w:val="en-US"/>
        </w:rPr>
        <w:t xml:space="preserve"> T</w:t>
      </w:r>
      <w:r w:rsidR="00D23A75" w:rsidRPr="000E262D">
        <w:rPr>
          <w:rFonts w:ascii="Times New Roman" w:hAnsi="Times New Roman" w:cs="Times New Roman"/>
          <w:color w:val="000000" w:themeColor="text1"/>
          <w:sz w:val="20"/>
          <w:szCs w:val="20"/>
        </w:rPr>
        <w:t>he idea of promoting economic liberalism externally is also evidenced in the EU’s subsequent trade strategy documents, which sought to pursue further liberalization of investment and services and develop more systematic regulatory cooperation with major third countries (European Commission 2010</w:t>
      </w:r>
      <w:r w:rsidR="00D960D0" w:rsidRPr="000E262D">
        <w:rPr>
          <w:rFonts w:ascii="Times New Roman" w:hAnsi="Times New Roman" w:cs="Times New Roman"/>
          <w:color w:val="000000" w:themeColor="text1"/>
          <w:sz w:val="20"/>
          <w:szCs w:val="20"/>
        </w:rPr>
        <w:t>:</w:t>
      </w:r>
      <w:r w:rsidR="00D23A75" w:rsidRPr="000E262D">
        <w:rPr>
          <w:rFonts w:ascii="Times New Roman" w:hAnsi="Times New Roman" w:cs="Times New Roman"/>
          <w:color w:val="000000" w:themeColor="text1"/>
          <w:sz w:val="20"/>
          <w:szCs w:val="20"/>
        </w:rPr>
        <w:t>4; European Commission 2015b</w:t>
      </w:r>
      <w:r w:rsidR="00D960D0" w:rsidRPr="000E262D">
        <w:rPr>
          <w:rFonts w:ascii="Times New Roman" w:hAnsi="Times New Roman" w:cs="Times New Roman"/>
          <w:color w:val="000000" w:themeColor="text1"/>
          <w:sz w:val="20"/>
          <w:szCs w:val="20"/>
        </w:rPr>
        <w:t>:</w:t>
      </w:r>
      <w:r w:rsidR="00D23A75" w:rsidRPr="000E262D">
        <w:rPr>
          <w:rFonts w:ascii="Times New Roman" w:hAnsi="Times New Roman" w:cs="Times New Roman"/>
          <w:color w:val="000000" w:themeColor="text1"/>
          <w:sz w:val="20"/>
          <w:szCs w:val="20"/>
        </w:rPr>
        <w:t xml:space="preserve">11). </w:t>
      </w:r>
    </w:p>
    <w:p w14:paraId="4C184177" w14:textId="77777777" w:rsidR="00D23A75" w:rsidRPr="000E262D" w:rsidRDefault="00D23A75" w:rsidP="008A7331">
      <w:pPr>
        <w:rPr>
          <w:rFonts w:ascii="Times New Roman" w:hAnsi="Times New Roman" w:cs="Times New Roman"/>
          <w:color w:val="000000" w:themeColor="text1"/>
          <w:sz w:val="20"/>
          <w:szCs w:val="20"/>
        </w:rPr>
      </w:pPr>
    </w:p>
    <w:p w14:paraId="78277070" w14:textId="3303ED2B" w:rsidR="00AA53E9" w:rsidRPr="000E262D" w:rsidRDefault="00C76099"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In line with the EU’s global trade </w:t>
      </w:r>
      <w:r w:rsidR="000E7641" w:rsidRPr="000E262D">
        <w:rPr>
          <w:rFonts w:ascii="Times New Roman" w:hAnsi="Times New Roman" w:cs="Times New Roman"/>
          <w:color w:val="000000" w:themeColor="text1"/>
          <w:sz w:val="20"/>
          <w:szCs w:val="20"/>
        </w:rPr>
        <w:t>agenda</w:t>
      </w:r>
      <w:r w:rsidRPr="000E262D">
        <w:rPr>
          <w:rFonts w:ascii="Times New Roman" w:hAnsi="Times New Roman" w:cs="Times New Roman"/>
          <w:color w:val="000000" w:themeColor="text1"/>
          <w:sz w:val="20"/>
          <w:szCs w:val="20"/>
        </w:rPr>
        <w:t>, t</w:t>
      </w:r>
      <w:r w:rsidR="0052797B" w:rsidRPr="000E262D">
        <w:rPr>
          <w:rFonts w:ascii="Times New Roman" w:hAnsi="Times New Roman" w:cs="Times New Roman"/>
          <w:color w:val="000000" w:themeColor="text1"/>
          <w:sz w:val="20"/>
          <w:szCs w:val="20"/>
        </w:rPr>
        <w:t xml:space="preserve">he </w:t>
      </w:r>
      <w:r w:rsidR="005D4119" w:rsidRPr="000E262D">
        <w:rPr>
          <w:rFonts w:ascii="Times New Roman" w:hAnsi="Times New Roman" w:cs="Times New Roman"/>
          <w:color w:val="000000" w:themeColor="text1"/>
          <w:sz w:val="20"/>
          <w:szCs w:val="20"/>
        </w:rPr>
        <w:t xml:space="preserve">intention to externalize </w:t>
      </w:r>
      <w:r w:rsidR="0052797B" w:rsidRPr="000E262D">
        <w:rPr>
          <w:rFonts w:ascii="Times New Roman" w:hAnsi="Times New Roman" w:cs="Times New Roman"/>
          <w:color w:val="000000" w:themeColor="text1"/>
          <w:sz w:val="20"/>
          <w:szCs w:val="20"/>
        </w:rPr>
        <w:t>economic liberalism has</w:t>
      </w:r>
      <w:r w:rsidR="00D23A75" w:rsidRPr="000E262D">
        <w:rPr>
          <w:rFonts w:ascii="Times New Roman" w:hAnsi="Times New Roman" w:cs="Times New Roman"/>
          <w:color w:val="000000" w:themeColor="text1"/>
          <w:sz w:val="20"/>
          <w:szCs w:val="20"/>
        </w:rPr>
        <w:t xml:space="preserve"> penetrated deep into the EU’s </w:t>
      </w:r>
      <w:r w:rsidR="0052797B" w:rsidRPr="000E262D">
        <w:rPr>
          <w:rFonts w:ascii="Times New Roman" w:hAnsi="Times New Roman" w:cs="Times New Roman"/>
          <w:color w:val="000000" w:themeColor="text1"/>
          <w:sz w:val="20"/>
          <w:szCs w:val="20"/>
        </w:rPr>
        <w:t>external policies</w:t>
      </w:r>
      <w:r w:rsidR="00D23A75"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towards</w:t>
      </w:r>
      <w:r w:rsidR="00D23A75" w:rsidRPr="000E262D">
        <w:rPr>
          <w:rFonts w:ascii="Times New Roman" w:hAnsi="Times New Roman" w:cs="Times New Roman"/>
          <w:color w:val="000000" w:themeColor="text1"/>
          <w:sz w:val="20"/>
          <w:szCs w:val="20"/>
        </w:rPr>
        <w:t xml:space="preserve"> ASEAN</w:t>
      </w:r>
      <w:r w:rsidR="00AE4BD1" w:rsidRPr="000E262D">
        <w:rPr>
          <w:rFonts w:ascii="Times New Roman" w:hAnsi="Times New Roman" w:cs="Times New Roman"/>
          <w:color w:val="000000" w:themeColor="text1"/>
          <w:sz w:val="20"/>
          <w:szCs w:val="20"/>
        </w:rPr>
        <w:t xml:space="preserve">. </w:t>
      </w:r>
      <w:r w:rsidR="00DE3333" w:rsidRPr="000E262D">
        <w:rPr>
          <w:rFonts w:ascii="Times New Roman" w:hAnsi="Times New Roman" w:cs="Times New Roman"/>
          <w:color w:val="000000" w:themeColor="text1"/>
          <w:sz w:val="20"/>
          <w:szCs w:val="20"/>
        </w:rPr>
        <w:t>This observation</w:t>
      </w:r>
      <w:r w:rsidR="00827E43" w:rsidRPr="000E262D">
        <w:rPr>
          <w:rFonts w:ascii="Times New Roman" w:hAnsi="Times New Roman" w:cs="Times New Roman"/>
          <w:color w:val="000000" w:themeColor="text1"/>
          <w:sz w:val="20"/>
          <w:szCs w:val="20"/>
        </w:rPr>
        <w:t xml:space="preserve"> </w:t>
      </w:r>
      <w:r w:rsidR="00D23A75" w:rsidRPr="000E262D">
        <w:rPr>
          <w:rFonts w:ascii="Times New Roman" w:hAnsi="Times New Roman" w:cs="Times New Roman"/>
          <w:color w:val="000000" w:themeColor="text1"/>
          <w:sz w:val="20"/>
          <w:szCs w:val="20"/>
        </w:rPr>
        <w:t xml:space="preserve">is supported </w:t>
      </w:r>
      <w:r w:rsidR="00827E43" w:rsidRPr="000E262D">
        <w:rPr>
          <w:rFonts w:ascii="Times New Roman" w:hAnsi="Times New Roman" w:cs="Times New Roman"/>
          <w:color w:val="000000" w:themeColor="text1"/>
          <w:sz w:val="20"/>
          <w:szCs w:val="20"/>
        </w:rPr>
        <w:t xml:space="preserve">by </w:t>
      </w:r>
      <w:r w:rsidR="00D23A75" w:rsidRPr="000E262D">
        <w:rPr>
          <w:rFonts w:ascii="Times New Roman" w:hAnsi="Times New Roman" w:cs="Times New Roman"/>
          <w:color w:val="000000" w:themeColor="text1"/>
          <w:sz w:val="20"/>
          <w:szCs w:val="20"/>
        </w:rPr>
        <w:t xml:space="preserve">the 2001 </w:t>
      </w:r>
      <w:r w:rsidR="00772F4E" w:rsidRPr="000E262D">
        <w:rPr>
          <w:rFonts w:ascii="Times New Roman" w:hAnsi="Times New Roman" w:cs="Times New Roman"/>
          <w:color w:val="000000" w:themeColor="text1"/>
          <w:sz w:val="20"/>
          <w:szCs w:val="20"/>
        </w:rPr>
        <w:t>c</w:t>
      </w:r>
      <w:r w:rsidR="002C5729" w:rsidRPr="000E262D">
        <w:rPr>
          <w:rFonts w:ascii="Times New Roman" w:hAnsi="Times New Roman" w:cs="Times New Roman"/>
          <w:color w:val="000000" w:themeColor="text1"/>
          <w:sz w:val="20"/>
          <w:szCs w:val="20"/>
        </w:rPr>
        <w:t xml:space="preserve">ommission’s </w:t>
      </w:r>
      <w:r w:rsidR="00772F4E" w:rsidRPr="000E262D">
        <w:rPr>
          <w:rFonts w:ascii="Times New Roman" w:hAnsi="Times New Roman" w:cs="Times New Roman"/>
          <w:color w:val="000000" w:themeColor="text1"/>
          <w:sz w:val="20"/>
          <w:szCs w:val="20"/>
        </w:rPr>
        <w:t>c</w:t>
      </w:r>
      <w:r w:rsidR="00D23A75" w:rsidRPr="000E262D">
        <w:rPr>
          <w:rFonts w:ascii="Times New Roman" w:hAnsi="Times New Roman" w:cs="Times New Roman"/>
          <w:color w:val="000000" w:themeColor="text1"/>
          <w:sz w:val="20"/>
          <w:szCs w:val="20"/>
        </w:rPr>
        <w:t xml:space="preserve">ommunication </w:t>
      </w:r>
      <w:r w:rsidR="002C5729" w:rsidRPr="000E262D">
        <w:rPr>
          <w:rFonts w:ascii="Times New Roman" w:hAnsi="Times New Roman" w:cs="Times New Roman"/>
          <w:color w:val="000000" w:themeColor="text1"/>
          <w:sz w:val="20"/>
          <w:szCs w:val="20"/>
        </w:rPr>
        <w:t xml:space="preserve">on </w:t>
      </w:r>
      <w:r w:rsidR="0026094D" w:rsidRPr="000E262D">
        <w:rPr>
          <w:rFonts w:ascii="Times New Roman" w:hAnsi="Times New Roman" w:cs="Times New Roman"/>
          <w:color w:val="000000" w:themeColor="text1"/>
          <w:sz w:val="20"/>
          <w:szCs w:val="20"/>
        </w:rPr>
        <w:t>“</w:t>
      </w:r>
      <w:r w:rsidR="00D23A75" w:rsidRPr="000E262D">
        <w:rPr>
          <w:rFonts w:ascii="Times New Roman" w:hAnsi="Times New Roman" w:cs="Times New Roman"/>
          <w:color w:val="000000" w:themeColor="text1"/>
          <w:sz w:val="20"/>
          <w:szCs w:val="20"/>
        </w:rPr>
        <w:t xml:space="preserve">Europe and </w:t>
      </w:r>
      <w:r w:rsidR="0026094D" w:rsidRPr="000E262D">
        <w:rPr>
          <w:rFonts w:ascii="Times New Roman" w:hAnsi="Times New Roman" w:cs="Times New Roman"/>
          <w:color w:val="000000" w:themeColor="text1"/>
          <w:sz w:val="20"/>
          <w:szCs w:val="20"/>
        </w:rPr>
        <w:t>Asia”</w:t>
      </w:r>
      <w:r w:rsidR="002C5729" w:rsidRPr="000E262D">
        <w:rPr>
          <w:rFonts w:ascii="Times New Roman" w:hAnsi="Times New Roman" w:cs="Times New Roman"/>
          <w:color w:val="000000" w:themeColor="text1"/>
          <w:sz w:val="20"/>
          <w:szCs w:val="20"/>
        </w:rPr>
        <w:t xml:space="preserve">, which conceptualized ASEAN as a </w:t>
      </w:r>
      <w:r w:rsidR="0026094D" w:rsidRPr="000E262D">
        <w:rPr>
          <w:rFonts w:ascii="Times New Roman" w:hAnsi="Times New Roman" w:cs="Times New Roman"/>
          <w:color w:val="000000" w:themeColor="text1"/>
          <w:sz w:val="20"/>
          <w:szCs w:val="20"/>
        </w:rPr>
        <w:t>“</w:t>
      </w:r>
      <w:r w:rsidR="002C5729" w:rsidRPr="000E262D">
        <w:rPr>
          <w:rFonts w:ascii="Times New Roman" w:hAnsi="Times New Roman" w:cs="Times New Roman"/>
          <w:color w:val="000000" w:themeColor="text1"/>
          <w:sz w:val="20"/>
          <w:szCs w:val="20"/>
        </w:rPr>
        <w:t xml:space="preserve">force for liberalization and progress on trade and investment </w:t>
      </w:r>
      <w:r w:rsidR="0026094D" w:rsidRPr="000E262D">
        <w:rPr>
          <w:rFonts w:ascii="Times New Roman" w:hAnsi="Times New Roman" w:cs="Times New Roman"/>
          <w:color w:val="000000" w:themeColor="text1"/>
          <w:sz w:val="20"/>
          <w:szCs w:val="20"/>
        </w:rPr>
        <w:t>issues”</w:t>
      </w:r>
      <w:r w:rsidR="00AD3C5C" w:rsidRPr="000E262D">
        <w:rPr>
          <w:rFonts w:ascii="Times New Roman" w:hAnsi="Times New Roman" w:cs="Times New Roman"/>
          <w:color w:val="000000" w:themeColor="text1"/>
          <w:sz w:val="20"/>
          <w:szCs w:val="20"/>
        </w:rPr>
        <w:t xml:space="preserve"> </w:t>
      </w:r>
      <w:r w:rsidR="002C5729" w:rsidRPr="000E262D">
        <w:rPr>
          <w:rFonts w:ascii="Times New Roman" w:hAnsi="Times New Roman" w:cs="Times New Roman"/>
          <w:color w:val="000000" w:themeColor="text1"/>
          <w:sz w:val="20"/>
          <w:szCs w:val="20"/>
        </w:rPr>
        <w:t>(</w:t>
      </w:r>
      <w:r w:rsidR="00E06411" w:rsidRPr="000E262D">
        <w:rPr>
          <w:rFonts w:ascii="Times New Roman" w:hAnsi="Times New Roman" w:cs="Times New Roman"/>
          <w:color w:val="000000" w:themeColor="text1"/>
          <w:sz w:val="20"/>
          <w:szCs w:val="20"/>
        </w:rPr>
        <w:t>European</w:t>
      </w:r>
      <w:r w:rsidR="00FB5F44" w:rsidRPr="000E262D">
        <w:rPr>
          <w:rFonts w:ascii="Times New Roman" w:hAnsi="Times New Roman" w:cs="Times New Roman"/>
          <w:color w:val="000000" w:themeColor="text1"/>
          <w:sz w:val="20"/>
          <w:szCs w:val="20"/>
        </w:rPr>
        <w:t xml:space="preserve"> </w:t>
      </w:r>
      <w:r w:rsidR="002C5729" w:rsidRPr="000E262D">
        <w:rPr>
          <w:rFonts w:ascii="Times New Roman" w:hAnsi="Times New Roman" w:cs="Times New Roman"/>
          <w:color w:val="000000" w:themeColor="text1"/>
          <w:sz w:val="20"/>
          <w:szCs w:val="20"/>
        </w:rPr>
        <w:t>C</w:t>
      </w:r>
      <w:r w:rsidR="00FB5F44" w:rsidRPr="000E262D">
        <w:rPr>
          <w:rFonts w:ascii="Times New Roman" w:hAnsi="Times New Roman" w:cs="Times New Roman"/>
          <w:color w:val="000000" w:themeColor="text1"/>
          <w:sz w:val="20"/>
          <w:szCs w:val="20"/>
        </w:rPr>
        <w:t>ommission</w:t>
      </w:r>
      <w:r w:rsidR="002C5729" w:rsidRPr="000E262D">
        <w:rPr>
          <w:rFonts w:ascii="Times New Roman" w:hAnsi="Times New Roman" w:cs="Times New Roman"/>
          <w:color w:val="000000" w:themeColor="text1"/>
          <w:sz w:val="20"/>
          <w:szCs w:val="20"/>
        </w:rPr>
        <w:t xml:space="preserve"> 2001</w:t>
      </w:r>
      <w:r w:rsidR="00D960D0" w:rsidRPr="000E262D">
        <w:rPr>
          <w:rFonts w:ascii="Times New Roman" w:hAnsi="Times New Roman" w:cs="Times New Roman"/>
          <w:color w:val="000000" w:themeColor="text1"/>
          <w:sz w:val="20"/>
          <w:szCs w:val="20"/>
        </w:rPr>
        <w:t>:</w:t>
      </w:r>
      <w:r w:rsidR="002C5729" w:rsidRPr="000E262D">
        <w:rPr>
          <w:rFonts w:ascii="Times New Roman" w:hAnsi="Times New Roman" w:cs="Times New Roman"/>
          <w:color w:val="000000" w:themeColor="text1"/>
          <w:sz w:val="20"/>
          <w:szCs w:val="20"/>
        </w:rPr>
        <w:t>16)</w:t>
      </w:r>
      <w:r w:rsidR="00827E43" w:rsidRPr="000E262D">
        <w:rPr>
          <w:rFonts w:ascii="Times New Roman" w:hAnsi="Times New Roman" w:cs="Times New Roman"/>
          <w:color w:val="000000" w:themeColor="text1"/>
          <w:sz w:val="20"/>
          <w:szCs w:val="20"/>
        </w:rPr>
        <w:t>.</w:t>
      </w:r>
      <w:r w:rsidR="002C5729" w:rsidRPr="000E262D">
        <w:rPr>
          <w:rFonts w:ascii="Times New Roman" w:hAnsi="Times New Roman" w:cs="Times New Roman"/>
          <w:color w:val="000000" w:themeColor="text1"/>
          <w:sz w:val="20"/>
          <w:szCs w:val="20"/>
        </w:rPr>
        <w:t xml:space="preserve"> The document explicitly </w:t>
      </w:r>
      <w:r w:rsidR="00D23A75" w:rsidRPr="000E262D">
        <w:rPr>
          <w:rFonts w:ascii="Times New Roman" w:hAnsi="Times New Roman" w:cs="Times New Roman"/>
          <w:color w:val="000000" w:themeColor="text1"/>
          <w:sz w:val="20"/>
          <w:szCs w:val="20"/>
        </w:rPr>
        <w:t xml:space="preserve">encouraged </w:t>
      </w:r>
      <w:r w:rsidR="002C5729" w:rsidRPr="000E262D">
        <w:rPr>
          <w:rFonts w:ascii="Times New Roman" w:hAnsi="Times New Roman" w:cs="Times New Roman"/>
          <w:color w:val="000000" w:themeColor="text1"/>
          <w:sz w:val="20"/>
          <w:szCs w:val="20"/>
        </w:rPr>
        <w:t>Southeast Asian countries</w:t>
      </w:r>
      <w:r w:rsidR="00D23A75" w:rsidRPr="000E262D">
        <w:rPr>
          <w:rFonts w:ascii="Times New Roman" w:hAnsi="Times New Roman" w:cs="Times New Roman"/>
          <w:color w:val="000000" w:themeColor="text1"/>
          <w:sz w:val="20"/>
          <w:szCs w:val="20"/>
        </w:rPr>
        <w:t xml:space="preserve"> to establish </w:t>
      </w:r>
      <w:r w:rsidR="0026094D" w:rsidRPr="000E262D">
        <w:rPr>
          <w:rFonts w:ascii="Times New Roman" w:hAnsi="Times New Roman" w:cs="Times New Roman"/>
          <w:color w:val="000000" w:themeColor="text1"/>
          <w:sz w:val="20"/>
          <w:szCs w:val="20"/>
        </w:rPr>
        <w:t>“</w:t>
      </w:r>
      <w:r w:rsidR="00D23A75" w:rsidRPr="000E262D">
        <w:rPr>
          <w:rFonts w:ascii="Times New Roman" w:hAnsi="Times New Roman" w:cs="Times New Roman"/>
          <w:color w:val="000000" w:themeColor="text1"/>
          <w:sz w:val="20"/>
          <w:szCs w:val="20"/>
        </w:rPr>
        <w:t xml:space="preserve">open markets and a non-discriminatory business </w:t>
      </w:r>
      <w:r w:rsidR="0026094D" w:rsidRPr="000E262D">
        <w:rPr>
          <w:rFonts w:ascii="Times New Roman" w:hAnsi="Times New Roman" w:cs="Times New Roman"/>
          <w:color w:val="000000" w:themeColor="text1"/>
          <w:sz w:val="20"/>
          <w:szCs w:val="20"/>
        </w:rPr>
        <w:t xml:space="preserve">framework” </w:t>
      </w:r>
      <w:r w:rsidR="002C5729" w:rsidRPr="000E262D">
        <w:rPr>
          <w:rFonts w:ascii="Times New Roman" w:hAnsi="Times New Roman" w:cs="Times New Roman"/>
          <w:color w:val="000000" w:themeColor="text1"/>
          <w:sz w:val="20"/>
          <w:szCs w:val="20"/>
        </w:rPr>
        <w:t xml:space="preserve">and stressed the importance of </w:t>
      </w:r>
      <w:r w:rsidR="0026094D" w:rsidRPr="000E262D">
        <w:rPr>
          <w:rFonts w:ascii="Times New Roman" w:hAnsi="Times New Roman" w:cs="Times New Roman"/>
          <w:color w:val="000000" w:themeColor="text1"/>
          <w:sz w:val="20"/>
          <w:szCs w:val="20"/>
        </w:rPr>
        <w:t>“</w:t>
      </w:r>
      <w:r w:rsidR="00D23A75" w:rsidRPr="000E262D">
        <w:rPr>
          <w:rFonts w:ascii="Times New Roman" w:hAnsi="Times New Roman" w:cs="Times New Roman"/>
          <w:color w:val="000000" w:themeColor="text1"/>
          <w:sz w:val="20"/>
          <w:szCs w:val="20"/>
        </w:rPr>
        <w:t xml:space="preserve">the integration of state economies into the free </w:t>
      </w:r>
      <w:r w:rsidR="0026094D" w:rsidRPr="000E262D">
        <w:rPr>
          <w:rFonts w:ascii="Times New Roman" w:hAnsi="Times New Roman" w:cs="Times New Roman"/>
          <w:color w:val="000000" w:themeColor="text1"/>
          <w:sz w:val="20"/>
          <w:szCs w:val="20"/>
        </w:rPr>
        <w:t xml:space="preserve">market” </w:t>
      </w:r>
      <w:r w:rsidR="00D23A75" w:rsidRPr="000E262D">
        <w:rPr>
          <w:rFonts w:ascii="Times New Roman" w:hAnsi="Times New Roman" w:cs="Times New Roman"/>
          <w:color w:val="000000" w:themeColor="text1"/>
          <w:sz w:val="20"/>
          <w:szCs w:val="20"/>
        </w:rPr>
        <w:t>(ibid</w:t>
      </w:r>
      <w:r w:rsidR="00D960D0" w:rsidRPr="000E262D">
        <w:rPr>
          <w:rFonts w:ascii="Times New Roman" w:hAnsi="Times New Roman" w:cs="Times New Roman"/>
          <w:color w:val="000000" w:themeColor="text1"/>
          <w:sz w:val="20"/>
          <w:szCs w:val="20"/>
        </w:rPr>
        <w:t>:</w:t>
      </w:r>
      <w:r w:rsidR="00D23A75" w:rsidRPr="000E262D">
        <w:rPr>
          <w:rFonts w:ascii="Times New Roman" w:hAnsi="Times New Roman" w:cs="Times New Roman"/>
          <w:color w:val="000000" w:themeColor="text1"/>
          <w:sz w:val="20"/>
          <w:szCs w:val="20"/>
        </w:rPr>
        <w:t>5).</w:t>
      </w:r>
      <w:r w:rsidR="00F939B6" w:rsidRPr="000E262D">
        <w:rPr>
          <w:rFonts w:ascii="Times New Roman" w:hAnsi="Times New Roman" w:cs="Times New Roman"/>
          <w:color w:val="000000" w:themeColor="text1"/>
          <w:sz w:val="20"/>
          <w:szCs w:val="20"/>
        </w:rPr>
        <w:t xml:space="preserve"> </w:t>
      </w:r>
      <w:r w:rsidR="00E47042" w:rsidRPr="000E262D">
        <w:rPr>
          <w:rFonts w:ascii="Times New Roman" w:hAnsi="Times New Roman" w:cs="Times New Roman"/>
          <w:color w:val="000000" w:themeColor="text1"/>
          <w:sz w:val="20"/>
          <w:szCs w:val="20"/>
        </w:rPr>
        <w:t xml:space="preserve">Furthermore, </w:t>
      </w:r>
      <w:r w:rsidR="003C2A67" w:rsidRPr="000E262D">
        <w:rPr>
          <w:rFonts w:ascii="Times New Roman" w:hAnsi="Times New Roman" w:cs="Times New Roman"/>
          <w:color w:val="000000" w:themeColor="text1"/>
          <w:sz w:val="20"/>
          <w:szCs w:val="20"/>
        </w:rPr>
        <w:t xml:space="preserve">according to </w:t>
      </w:r>
      <w:r w:rsidR="005F1DBB" w:rsidRPr="000E262D">
        <w:rPr>
          <w:rFonts w:ascii="Times New Roman" w:hAnsi="Times New Roman" w:cs="Times New Roman"/>
          <w:color w:val="000000" w:themeColor="text1"/>
          <w:sz w:val="20"/>
          <w:szCs w:val="20"/>
        </w:rPr>
        <w:t xml:space="preserve">the </w:t>
      </w:r>
      <w:r w:rsidR="005B598A" w:rsidRPr="000E262D">
        <w:rPr>
          <w:rFonts w:ascii="Times New Roman" w:hAnsi="Times New Roman" w:cs="Times New Roman"/>
          <w:color w:val="000000" w:themeColor="text1"/>
          <w:sz w:val="20"/>
          <w:szCs w:val="20"/>
        </w:rPr>
        <w:t>c</w:t>
      </w:r>
      <w:r w:rsidR="005F1DBB" w:rsidRPr="000E262D">
        <w:rPr>
          <w:rFonts w:ascii="Times New Roman" w:hAnsi="Times New Roman" w:cs="Times New Roman"/>
          <w:color w:val="000000" w:themeColor="text1"/>
          <w:sz w:val="20"/>
          <w:szCs w:val="20"/>
        </w:rPr>
        <w:t xml:space="preserve">ommission’s strategy document on regional programming for Asia (2007-2013), </w:t>
      </w:r>
      <w:r w:rsidR="008A4D8E" w:rsidRPr="000E262D">
        <w:rPr>
          <w:rFonts w:ascii="Times New Roman" w:hAnsi="Times New Roman" w:cs="Times New Roman"/>
          <w:color w:val="000000" w:themeColor="text1"/>
          <w:sz w:val="20"/>
          <w:szCs w:val="20"/>
        </w:rPr>
        <w:t>supporting ASEAN’s regional capacity building</w:t>
      </w:r>
      <w:r w:rsidR="00032795" w:rsidRPr="000E262D">
        <w:rPr>
          <w:rFonts w:ascii="Times New Roman" w:hAnsi="Times New Roman" w:cs="Times New Roman"/>
          <w:color w:val="000000" w:themeColor="text1"/>
          <w:sz w:val="20"/>
          <w:szCs w:val="20"/>
        </w:rPr>
        <w:t xml:space="preserve"> and economic integration was identified as the EU’s top priority in </w:t>
      </w:r>
      <w:r w:rsidR="00A862DA" w:rsidRPr="000E262D">
        <w:rPr>
          <w:rFonts w:ascii="Times New Roman" w:hAnsi="Times New Roman" w:cs="Times New Roman"/>
          <w:color w:val="000000" w:themeColor="text1"/>
          <w:sz w:val="20"/>
          <w:szCs w:val="20"/>
        </w:rPr>
        <w:t xml:space="preserve">the </w:t>
      </w:r>
      <w:r w:rsidR="00032795" w:rsidRPr="000E262D">
        <w:rPr>
          <w:rFonts w:ascii="Times New Roman" w:hAnsi="Times New Roman" w:cs="Times New Roman"/>
          <w:color w:val="000000" w:themeColor="text1"/>
          <w:sz w:val="20"/>
          <w:szCs w:val="20"/>
        </w:rPr>
        <w:t>ASEAN region (E</w:t>
      </w:r>
      <w:r w:rsidR="00753C49" w:rsidRPr="000E262D">
        <w:rPr>
          <w:rFonts w:ascii="Times New Roman" w:hAnsi="Times New Roman" w:cs="Times New Roman"/>
          <w:color w:val="000000" w:themeColor="text1"/>
          <w:sz w:val="20"/>
          <w:szCs w:val="20"/>
        </w:rPr>
        <w:t xml:space="preserve">uropean </w:t>
      </w:r>
      <w:r w:rsidR="00032795" w:rsidRPr="000E262D">
        <w:rPr>
          <w:rFonts w:ascii="Times New Roman" w:hAnsi="Times New Roman" w:cs="Times New Roman"/>
          <w:color w:val="000000" w:themeColor="text1"/>
          <w:sz w:val="20"/>
          <w:szCs w:val="20"/>
        </w:rPr>
        <w:t>C</w:t>
      </w:r>
      <w:r w:rsidR="00753C49" w:rsidRPr="000E262D">
        <w:rPr>
          <w:rFonts w:ascii="Times New Roman" w:hAnsi="Times New Roman" w:cs="Times New Roman"/>
          <w:color w:val="000000" w:themeColor="text1"/>
          <w:sz w:val="20"/>
          <w:szCs w:val="20"/>
        </w:rPr>
        <w:t>ommission</w:t>
      </w:r>
      <w:r w:rsidR="00032795" w:rsidRPr="000E262D">
        <w:rPr>
          <w:rFonts w:ascii="Times New Roman" w:hAnsi="Times New Roman" w:cs="Times New Roman"/>
          <w:color w:val="000000" w:themeColor="text1"/>
          <w:sz w:val="20"/>
          <w:szCs w:val="20"/>
        </w:rPr>
        <w:t xml:space="preserve"> 2007). </w:t>
      </w:r>
    </w:p>
    <w:p w14:paraId="1C117A2B" w14:textId="77777777" w:rsidR="00700A71" w:rsidRPr="000E262D" w:rsidRDefault="00700A71" w:rsidP="008A7331">
      <w:pPr>
        <w:rPr>
          <w:rFonts w:ascii="Times New Roman" w:hAnsi="Times New Roman" w:cs="Times New Roman"/>
          <w:color w:val="000000" w:themeColor="text1"/>
          <w:sz w:val="20"/>
          <w:szCs w:val="20"/>
        </w:rPr>
      </w:pPr>
    </w:p>
    <w:p w14:paraId="79817D06" w14:textId="228E2055" w:rsidR="00C96D06" w:rsidRPr="000E262D" w:rsidRDefault="00C96D06"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Apart from </w:t>
      </w:r>
      <w:r w:rsidR="00436115" w:rsidRPr="000E262D">
        <w:rPr>
          <w:rFonts w:ascii="Times New Roman" w:hAnsi="Times New Roman" w:cs="Times New Roman"/>
          <w:color w:val="000000" w:themeColor="text1"/>
          <w:sz w:val="20"/>
          <w:szCs w:val="20"/>
        </w:rPr>
        <w:t xml:space="preserve">promoting the </w:t>
      </w:r>
      <w:r w:rsidRPr="000E262D">
        <w:rPr>
          <w:rFonts w:ascii="Times New Roman" w:hAnsi="Times New Roman" w:cs="Times New Roman"/>
          <w:color w:val="000000" w:themeColor="text1"/>
          <w:sz w:val="20"/>
          <w:szCs w:val="20"/>
        </w:rPr>
        <w:t xml:space="preserve">overarching norm of economic liberalism, the Union attempts to diffuse more specific </w:t>
      </w:r>
      <w:r w:rsidR="00436115" w:rsidRPr="000E262D">
        <w:rPr>
          <w:rFonts w:ascii="Times New Roman" w:hAnsi="Times New Roman" w:cs="Times New Roman"/>
          <w:color w:val="000000" w:themeColor="text1"/>
          <w:sz w:val="20"/>
          <w:szCs w:val="20"/>
        </w:rPr>
        <w:t xml:space="preserve">market-related </w:t>
      </w:r>
      <w:r w:rsidRPr="000E262D">
        <w:rPr>
          <w:rFonts w:ascii="Times New Roman" w:hAnsi="Times New Roman" w:cs="Times New Roman"/>
          <w:color w:val="000000" w:themeColor="text1"/>
          <w:sz w:val="20"/>
          <w:szCs w:val="20"/>
        </w:rPr>
        <w:t>governance model</w:t>
      </w:r>
      <w:r w:rsidR="003F1D89" w:rsidRPr="000E262D">
        <w:rPr>
          <w:rFonts w:ascii="Times New Roman" w:hAnsi="Times New Roman" w:cs="Times New Roman"/>
          <w:color w:val="000000" w:themeColor="text1"/>
          <w:sz w:val="20"/>
          <w:szCs w:val="20"/>
        </w:rPr>
        <w:t>s</w:t>
      </w:r>
      <w:r w:rsidR="00436115" w:rsidRPr="000E262D">
        <w:rPr>
          <w:rFonts w:ascii="Times New Roman" w:hAnsi="Times New Roman" w:cs="Times New Roman"/>
          <w:color w:val="000000" w:themeColor="text1"/>
          <w:sz w:val="20"/>
          <w:szCs w:val="20"/>
        </w:rPr>
        <w:t xml:space="preserve"> in ASEAN</w:t>
      </w:r>
      <w:r w:rsidRPr="000E262D">
        <w:rPr>
          <w:rFonts w:ascii="Times New Roman" w:hAnsi="Times New Roman" w:cs="Times New Roman"/>
          <w:color w:val="000000" w:themeColor="text1"/>
          <w:sz w:val="20"/>
          <w:szCs w:val="20"/>
        </w:rPr>
        <w:t xml:space="preserve">. These diffusion items with middle-level specificity </w:t>
      </w:r>
      <w:r w:rsidR="00436115" w:rsidRPr="000E262D">
        <w:rPr>
          <w:rFonts w:ascii="Times New Roman" w:hAnsi="Times New Roman" w:cs="Times New Roman"/>
          <w:color w:val="000000" w:themeColor="text1"/>
          <w:sz w:val="20"/>
          <w:szCs w:val="20"/>
        </w:rPr>
        <w:t>have often been neglected in the conventional NPE and market power literature</w:t>
      </w:r>
      <w:r w:rsidRPr="000E262D">
        <w:rPr>
          <w:rFonts w:ascii="Times New Roman" w:hAnsi="Times New Roman" w:cs="Times New Roman"/>
          <w:color w:val="000000" w:themeColor="text1"/>
          <w:sz w:val="20"/>
          <w:szCs w:val="20"/>
        </w:rPr>
        <w:t xml:space="preserve">. Specifically, </w:t>
      </w:r>
      <w:r w:rsidR="00436115" w:rsidRPr="000E262D">
        <w:rPr>
          <w:rFonts w:ascii="Times New Roman" w:hAnsi="Times New Roman" w:cs="Times New Roman"/>
          <w:color w:val="000000" w:themeColor="text1"/>
          <w:sz w:val="20"/>
          <w:szCs w:val="20"/>
        </w:rPr>
        <w:t>these middle-level norms</w:t>
      </w:r>
      <w:r w:rsidRPr="000E262D">
        <w:rPr>
          <w:rFonts w:ascii="Times New Roman" w:hAnsi="Times New Roman" w:cs="Times New Roman"/>
          <w:color w:val="000000" w:themeColor="text1"/>
          <w:sz w:val="20"/>
          <w:szCs w:val="20"/>
        </w:rPr>
        <w:t xml:space="preserve"> include </w:t>
      </w:r>
      <w:r w:rsidR="00436115" w:rsidRPr="000E262D">
        <w:rPr>
          <w:rFonts w:ascii="Times New Roman" w:hAnsi="Times New Roman" w:cs="Times New Roman"/>
          <w:color w:val="000000" w:themeColor="text1"/>
          <w:sz w:val="20"/>
          <w:szCs w:val="20"/>
        </w:rPr>
        <w:t>the organizational principles</w:t>
      </w:r>
      <w:r w:rsidRPr="000E262D">
        <w:rPr>
          <w:rFonts w:ascii="Times New Roman" w:hAnsi="Times New Roman" w:cs="Times New Roman"/>
          <w:color w:val="000000" w:themeColor="text1"/>
          <w:sz w:val="20"/>
          <w:szCs w:val="20"/>
        </w:rPr>
        <w:t xml:space="preserve"> </w:t>
      </w:r>
      <w:r w:rsidR="00436115" w:rsidRPr="000E262D">
        <w:rPr>
          <w:rFonts w:ascii="Times New Roman" w:hAnsi="Times New Roman" w:cs="Times New Roman"/>
          <w:color w:val="000000" w:themeColor="text1"/>
          <w:sz w:val="20"/>
          <w:szCs w:val="20"/>
        </w:rPr>
        <w:t xml:space="preserve">which are </w:t>
      </w:r>
      <w:r w:rsidRPr="000E262D">
        <w:rPr>
          <w:rFonts w:ascii="Times New Roman" w:hAnsi="Times New Roman" w:cs="Times New Roman"/>
          <w:color w:val="000000" w:themeColor="text1"/>
          <w:sz w:val="20"/>
          <w:szCs w:val="20"/>
        </w:rPr>
        <w:t>based on the EU’s internal market liberalization</w:t>
      </w:r>
      <w:r w:rsidR="00436115"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standards harmonization and free movement of goods, services, capital and persons, </w:t>
      </w:r>
      <w:r w:rsidRPr="000E262D">
        <w:rPr>
          <w:rFonts w:ascii="Times New Roman" w:hAnsi="Times New Roman" w:cs="Times New Roman"/>
          <w:color w:val="000000" w:themeColor="text1"/>
          <w:sz w:val="20"/>
          <w:szCs w:val="20"/>
        </w:rPr>
        <w:lastRenderedPageBreak/>
        <w:t>as well as the principle of free and open trade compatible with the WTO framework and a rules-based multilateral trading system. These middle-level norms are closely related to the processes of internal market building and external trade practices, serving as operational guidelines for implementing the broader ideas of economic liberalism and economic regionalism.</w:t>
      </w:r>
    </w:p>
    <w:p w14:paraId="326C22D8" w14:textId="77777777" w:rsidR="00C96D06" w:rsidRPr="000E262D" w:rsidRDefault="00C96D06" w:rsidP="008A7331">
      <w:pPr>
        <w:rPr>
          <w:rFonts w:ascii="Times New Roman" w:hAnsi="Times New Roman" w:cs="Times New Roman"/>
          <w:color w:val="000000" w:themeColor="text1"/>
          <w:sz w:val="20"/>
          <w:szCs w:val="20"/>
        </w:rPr>
      </w:pPr>
    </w:p>
    <w:p w14:paraId="5DE1EFFB" w14:textId="145D47EB" w:rsidR="00C96D06" w:rsidRPr="000E262D" w:rsidRDefault="00C96D06"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These organizational principles and governance models can be </w:t>
      </w:r>
      <w:r w:rsidR="003F1D89" w:rsidRPr="000E262D">
        <w:rPr>
          <w:rFonts w:ascii="Times New Roman" w:hAnsi="Times New Roman" w:cs="Times New Roman"/>
          <w:color w:val="000000" w:themeColor="text1"/>
          <w:sz w:val="20"/>
          <w:szCs w:val="20"/>
        </w:rPr>
        <w:t>detected</w:t>
      </w:r>
      <w:r w:rsidRPr="000E262D">
        <w:rPr>
          <w:rFonts w:ascii="Times New Roman" w:hAnsi="Times New Roman" w:cs="Times New Roman"/>
          <w:color w:val="000000" w:themeColor="text1"/>
          <w:sz w:val="20"/>
          <w:szCs w:val="20"/>
        </w:rPr>
        <w:t xml:space="preserve"> in various EU official documents and interviews with EU officials. For example, numerous joint statements after EU–ASEAN meetings stressed the importance of rules-based free trade and WTO compatibility</w:t>
      </w:r>
      <w:r w:rsidR="00436115" w:rsidRPr="000E262D">
        <w:rPr>
          <w:rFonts w:ascii="Times New Roman" w:hAnsi="Times New Roman" w:cs="Times New Roman"/>
          <w:color w:val="000000" w:themeColor="text1"/>
          <w:sz w:val="20"/>
          <w:szCs w:val="20"/>
        </w:rPr>
        <w:t xml:space="preserve"> and</w:t>
      </w:r>
      <w:r w:rsidRPr="000E262D">
        <w:rPr>
          <w:rFonts w:ascii="Times New Roman" w:hAnsi="Times New Roman" w:cs="Times New Roman"/>
          <w:color w:val="000000" w:themeColor="text1"/>
          <w:sz w:val="20"/>
          <w:szCs w:val="20"/>
        </w:rPr>
        <w:t xml:space="preserve"> </w:t>
      </w:r>
      <w:r w:rsidR="008F00A2"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the commitment to uphold free and open trade, and support for a rules-based, transparent, and non-discriminatory multilateral trading system</w:t>
      </w:r>
      <w:r w:rsidR="008F00A2"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 xml:space="preserve">(ASEAN 2018). The EU’s 2015 Communication on EU–ASEAN partnerships also emphasized that ‘recognized international standards and WTO principles’ should form the basis of trade cooperation and regional capacity-building (European Commission 2015a: 6). In addition, the promotion of economic governance models based on the EU’s own vision and experiences can be detected in various interviews with EU officials. Although in recent years the EU has become increasingly cautious about describing itself as a model for ASEAN economic community-building, data collected from interviews suggest that EU elites still have a strong desire to transfer the EU’s </w:t>
      </w:r>
      <w:r w:rsidR="00AE4854" w:rsidRPr="000E262D">
        <w:rPr>
          <w:rFonts w:ascii="Times New Roman" w:hAnsi="Times New Roman" w:cs="Times New Roman"/>
          <w:color w:val="000000" w:themeColor="text1"/>
          <w:sz w:val="20"/>
          <w:szCs w:val="20"/>
        </w:rPr>
        <w:t>market-related operational model</w:t>
      </w:r>
      <w:r w:rsidRPr="000E262D">
        <w:rPr>
          <w:rFonts w:ascii="Times New Roman" w:hAnsi="Times New Roman" w:cs="Times New Roman"/>
          <w:color w:val="000000" w:themeColor="text1"/>
          <w:sz w:val="20"/>
          <w:szCs w:val="20"/>
        </w:rPr>
        <w:t xml:space="preserve"> to ASEAN. As a former EU diplomat stated, </w:t>
      </w:r>
      <w:r w:rsidR="008F00A2" w:rsidRPr="000E262D">
        <w:rPr>
          <w:rFonts w:ascii="Times New Roman" w:hAnsi="Times New Roman" w:cs="Times New Roman"/>
          <w:color w:val="000000" w:themeColor="text1"/>
          <w:sz w:val="20"/>
          <w:szCs w:val="20"/>
        </w:rPr>
        <w:t>“</w:t>
      </w:r>
      <w:r w:rsidR="00AE4854" w:rsidRPr="000E262D">
        <w:rPr>
          <w:rFonts w:ascii="Times New Roman" w:hAnsi="Times New Roman" w:cs="Times New Roman"/>
          <w:color w:val="000000" w:themeColor="text1"/>
          <w:sz w:val="20"/>
          <w:szCs w:val="20"/>
        </w:rPr>
        <w:t>ASEAN still lacks an effective model of economic governance. I</w:t>
      </w:r>
      <w:r w:rsidRPr="000E262D">
        <w:rPr>
          <w:rFonts w:ascii="Times New Roman" w:hAnsi="Times New Roman" w:cs="Times New Roman"/>
          <w:color w:val="000000" w:themeColor="text1"/>
          <w:sz w:val="20"/>
          <w:szCs w:val="20"/>
        </w:rPr>
        <w:t>f you look at ASEAN’s free trade: for trade in goods, yes; for services, not really; they don’t have free movement for capital and people</w:t>
      </w:r>
      <w:r w:rsidR="008F00A2"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w:t>
      </w:r>
      <w:r w:rsidR="008F00A2" w:rsidRPr="000E262D">
        <w:rPr>
          <w:rStyle w:val="a7"/>
          <w:rFonts w:ascii="Times New Roman" w:hAnsi="Times New Roman" w:cs="Times New Roman"/>
          <w:color w:val="000000" w:themeColor="text1"/>
          <w:sz w:val="20"/>
          <w:szCs w:val="20"/>
        </w:rPr>
        <w:footnoteReference w:id="2"/>
      </w:r>
      <w:r w:rsidRPr="000E262D">
        <w:rPr>
          <w:rFonts w:ascii="Times New Roman" w:hAnsi="Times New Roman" w:cs="Times New Roman"/>
          <w:color w:val="000000" w:themeColor="text1"/>
          <w:sz w:val="20"/>
          <w:szCs w:val="20"/>
        </w:rPr>
        <w:t xml:space="preserve"> The interviewee further contended that the EU’s single market and economic governance model can still provide valuable lessons for ASEAN, which ‘can learn from us, and </w:t>
      </w:r>
      <w:proofErr w:type="spellStart"/>
      <w:r w:rsidRPr="000E262D">
        <w:rPr>
          <w:rFonts w:ascii="Times New Roman" w:hAnsi="Times New Roman" w:cs="Times New Roman"/>
          <w:color w:val="000000" w:themeColor="text1"/>
          <w:sz w:val="20"/>
          <w:szCs w:val="20"/>
        </w:rPr>
        <w:t>analyze</w:t>
      </w:r>
      <w:proofErr w:type="spellEnd"/>
      <w:r w:rsidRPr="000E262D">
        <w:rPr>
          <w:rFonts w:ascii="Times New Roman" w:hAnsi="Times New Roman" w:cs="Times New Roman"/>
          <w:color w:val="000000" w:themeColor="text1"/>
          <w:sz w:val="20"/>
          <w:szCs w:val="20"/>
        </w:rPr>
        <w:t xml:space="preserve"> whether these experiences can be transferred into ASEAN’ (ibid.).</w:t>
      </w:r>
    </w:p>
    <w:p w14:paraId="006363ED" w14:textId="7FFD3A2F" w:rsidR="00C72233" w:rsidRPr="000E262D" w:rsidRDefault="00C72233" w:rsidP="008A7331">
      <w:pPr>
        <w:rPr>
          <w:rFonts w:ascii="Times New Roman" w:hAnsi="Times New Roman" w:cs="Times New Roman"/>
          <w:color w:val="000000" w:themeColor="text1"/>
          <w:sz w:val="20"/>
          <w:szCs w:val="20"/>
        </w:rPr>
      </w:pPr>
    </w:p>
    <w:p w14:paraId="6588724D" w14:textId="7A2E6338" w:rsidR="00E36F3D" w:rsidRPr="000E262D" w:rsidRDefault="00C96D06"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Furthermore</w:t>
      </w:r>
      <w:r w:rsidR="00721EEA" w:rsidRPr="000E262D">
        <w:rPr>
          <w:rFonts w:ascii="Times New Roman" w:hAnsi="Times New Roman" w:cs="Times New Roman"/>
          <w:color w:val="000000" w:themeColor="text1"/>
          <w:sz w:val="20"/>
          <w:szCs w:val="20"/>
        </w:rPr>
        <w:t xml:space="preserve">, </w:t>
      </w:r>
      <w:r w:rsidR="00F32F74" w:rsidRPr="000E262D">
        <w:rPr>
          <w:rFonts w:ascii="Times New Roman" w:hAnsi="Times New Roman" w:cs="Times New Roman"/>
          <w:color w:val="000000" w:themeColor="text1"/>
          <w:sz w:val="20"/>
          <w:szCs w:val="20"/>
        </w:rPr>
        <w:t xml:space="preserve">the EU seeks to promote precise market-related policy settings and regulations in ASEAN. These </w:t>
      </w:r>
      <w:r w:rsidR="00721EEA" w:rsidRPr="000E262D">
        <w:rPr>
          <w:rFonts w:ascii="Times New Roman" w:hAnsi="Times New Roman" w:cs="Times New Roman"/>
          <w:color w:val="000000" w:themeColor="text1"/>
          <w:sz w:val="20"/>
          <w:szCs w:val="20"/>
        </w:rPr>
        <w:t xml:space="preserve">diffusion items with </w:t>
      </w:r>
      <w:r w:rsidRPr="000E262D">
        <w:rPr>
          <w:rFonts w:ascii="Times New Roman" w:hAnsi="Times New Roman" w:cs="Times New Roman"/>
          <w:color w:val="000000" w:themeColor="text1"/>
          <w:sz w:val="20"/>
          <w:szCs w:val="20"/>
        </w:rPr>
        <w:t>the highest</w:t>
      </w:r>
      <w:r w:rsidR="00721EEA" w:rsidRPr="000E262D">
        <w:rPr>
          <w:rFonts w:ascii="Times New Roman" w:hAnsi="Times New Roman" w:cs="Times New Roman"/>
          <w:color w:val="000000" w:themeColor="text1"/>
          <w:sz w:val="20"/>
          <w:szCs w:val="20"/>
        </w:rPr>
        <w:t xml:space="preserve"> level of specificity can be</w:t>
      </w:r>
      <w:r w:rsidR="00E36F3D" w:rsidRPr="000E262D">
        <w:rPr>
          <w:rFonts w:ascii="Times New Roman" w:hAnsi="Times New Roman" w:cs="Times New Roman"/>
          <w:color w:val="000000" w:themeColor="text1"/>
          <w:sz w:val="20"/>
          <w:szCs w:val="20"/>
        </w:rPr>
        <w:t xml:space="preserve"> equated with the specific subjects of externalization in </w:t>
      </w:r>
      <w:r w:rsidR="000F1502" w:rsidRPr="000E262D">
        <w:rPr>
          <w:rFonts w:ascii="Times New Roman" w:hAnsi="Times New Roman" w:cs="Times New Roman"/>
          <w:color w:val="000000" w:themeColor="text1"/>
          <w:sz w:val="20"/>
          <w:szCs w:val="20"/>
        </w:rPr>
        <w:t xml:space="preserve">market or </w:t>
      </w:r>
      <w:r w:rsidR="00E36F3D" w:rsidRPr="000E262D">
        <w:rPr>
          <w:rFonts w:ascii="Times New Roman" w:hAnsi="Times New Roman" w:cs="Times New Roman"/>
          <w:color w:val="000000" w:themeColor="text1"/>
          <w:sz w:val="20"/>
          <w:szCs w:val="20"/>
        </w:rPr>
        <w:t xml:space="preserve">regulator power literature. In </w:t>
      </w:r>
      <w:proofErr w:type="spellStart"/>
      <w:r w:rsidR="00E36F3D" w:rsidRPr="000E262D">
        <w:rPr>
          <w:rFonts w:ascii="Times New Roman" w:hAnsi="Times New Roman" w:cs="Times New Roman"/>
          <w:color w:val="000000" w:themeColor="text1"/>
          <w:sz w:val="20"/>
          <w:szCs w:val="20"/>
        </w:rPr>
        <w:t>Damro’s</w:t>
      </w:r>
      <w:proofErr w:type="spellEnd"/>
      <w:r w:rsidR="00E36F3D" w:rsidRPr="000E262D">
        <w:rPr>
          <w:rFonts w:ascii="Times New Roman" w:hAnsi="Times New Roman" w:cs="Times New Roman"/>
          <w:color w:val="000000" w:themeColor="text1"/>
          <w:sz w:val="20"/>
          <w:szCs w:val="20"/>
        </w:rPr>
        <w:t xml:space="preserve"> formulation of MPE, the subjects of the EU’s externalization</w:t>
      </w:r>
      <w:r w:rsidR="00125A36" w:rsidRPr="000E262D">
        <w:rPr>
          <w:rFonts w:ascii="Times New Roman" w:hAnsi="Times New Roman" w:cs="Times New Roman"/>
          <w:color w:val="000000" w:themeColor="text1"/>
          <w:sz w:val="20"/>
          <w:szCs w:val="20"/>
        </w:rPr>
        <w:t xml:space="preserve"> cover all types of internal EU legislations and </w:t>
      </w:r>
      <w:r w:rsidR="001E49D3" w:rsidRPr="000E262D">
        <w:rPr>
          <w:rFonts w:ascii="Times New Roman" w:hAnsi="Times New Roman" w:cs="Times New Roman"/>
          <w:color w:val="000000" w:themeColor="text1"/>
          <w:sz w:val="20"/>
          <w:szCs w:val="20"/>
        </w:rPr>
        <w:t xml:space="preserve">instruments </w:t>
      </w:r>
      <w:r w:rsidR="00125A36" w:rsidRPr="000E262D">
        <w:rPr>
          <w:rFonts w:ascii="Times New Roman" w:hAnsi="Times New Roman" w:cs="Times New Roman"/>
          <w:color w:val="000000" w:themeColor="text1"/>
          <w:sz w:val="20"/>
          <w:szCs w:val="20"/>
        </w:rPr>
        <w:t>(</w:t>
      </w:r>
      <w:proofErr w:type="spellStart"/>
      <w:r w:rsidR="00125A36" w:rsidRPr="000E262D">
        <w:rPr>
          <w:rFonts w:ascii="Times New Roman" w:hAnsi="Times New Roman" w:cs="Times New Roman"/>
          <w:color w:val="000000" w:themeColor="text1"/>
          <w:sz w:val="20"/>
          <w:szCs w:val="20"/>
        </w:rPr>
        <w:t>Damro</w:t>
      </w:r>
      <w:proofErr w:type="spellEnd"/>
      <w:r w:rsidR="00125A36" w:rsidRPr="000E262D">
        <w:rPr>
          <w:rFonts w:ascii="Times New Roman" w:hAnsi="Times New Roman" w:cs="Times New Roman"/>
          <w:color w:val="000000" w:themeColor="text1"/>
          <w:sz w:val="20"/>
          <w:szCs w:val="20"/>
        </w:rPr>
        <w:t xml:space="preserve"> </w:t>
      </w:r>
      <w:r w:rsidR="000963DB" w:rsidRPr="000E262D">
        <w:rPr>
          <w:rFonts w:ascii="Times New Roman" w:hAnsi="Times New Roman" w:cs="Times New Roman"/>
          <w:color w:val="000000" w:themeColor="text1"/>
          <w:sz w:val="20"/>
          <w:szCs w:val="20"/>
        </w:rPr>
        <w:t>2015</w:t>
      </w:r>
      <w:r w:rsidR="00125A36" w:rsidRPr="000E262D">
        <w:rPr>
          <w:rFonts w:ascii="Times New Roman" w:hAnsi="Times New Roman" w:cs="Times New Roman"/>
          <w:color w:val="000000" w:themeColor="text1"/>
          <w:sz w:val="20"/>
          <w:szCs w:val="20"/>
        </w:rPr>
        <w:t xml:space="preserve">). </w:t>
      </w:r>
      <w:r w:rsidR="004E67B3" w:rsidRPr="000E262D">
        <w:rPr>
          <w:rFonts w:ascii="Times New Roman" w:hAnsi="Times New Roman" w:cs="Times New Roman"/>
          <w:color w:val="000000" w:themeColor="text1"/>
          <w:sz w:val="20"/>
          <w:szCs w:val="20"/>
        </w:rPr>
        <w:t xml:space="preserve">The novelty in this research lies in its attempt to </w:t>
      </w:r>
      <w:r w:rsidR="0003197C" w:rsidRPr="000E262D">
        <w:rPr>
          <w:rFonts w:ascii="Times New Roman" w:hAnsi="Times New Roman" w:cs="Times New Roman"/>
          <w:color w:val="000000" w:themeColor="text1"/>
          <w:sz w:val="20"/>
          <w:szCs w:val="20"/>
        </w:rPr>
        <w:t>create a link between NPE and MPE/regulatory power scholarships by examining how the EU’s market liberal norm can be transformed into concrete market-related policy-settings and regulatory measures.</w:t>
      </w:r>
    </w:p>
    <w:p w14:paraId="3E95D408" w14:textId="77777777" w:rsidR="00E36F3D" w:rsidRPr="000E262D" w:rsidRDefault="00E36F3D" w:rsidP="008A7331">
      <w:pPr>
        <w:rPr>
          <w:rFonts w:ascii="Times New Roman" w:hAnsi="Times New Roman" w:cs="Times New Roman"/>
          <w:color w:val="000000" w:themeColor="text1"/>
          <w:sz w:val="20"/>
          <w:szCs w:val="20"/>
        </w:rPr>
      </w:pPr>
    </w:p>
    <w:p w14:paraId="14F40B81" w14:textId="223E1C59" w:rsidR="00486A1F" w:rsidRPr="000E262D" w:rsidRDefault="00125A36"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Drawing on </w:t>
      </w:r>
      <w:r w:rsidR="00EF6F56" w:rsidRPr="000E262D">
        <w:rPr>
          <w:rFonts w:ascii="Times New Roman" w:hAnsi="Times New Roman" w:cs="Times New Roman"/>
          <w:color w:val="000000" w:themeColor="text1"/>
          <w:sz w:val="20"/>
          <w:szCs w:val="20"/>
        </w:rPr>
        <w:t xml:space="preserve">an analysis of </w:t>
      </w:r>
      <w:r w:rsidR="001A633A" w:rsidRPr="000E262D">
        <w:rPr>
          <w:rFonts w:ascii="Times New Roman" w:hAnsi="Times New Roman" w:cs="Times New Roman"/>
          <w:color w:val="000000" w:themeColor="text1"/>
          <w:sz w:val="20"/>
          <w:szCs w:val="20"/>
        </w:rPr>
        <w:t>various</w:t>
      </w:r>
      <w:r w:rsidRPr="000E262D">
        <w:rPr>
          <w:rFonts w:ascii="Times New Roman" w:hAnsi="Times New Roman" w:cs="Times New Roman"/>
          <w:color w:val="000000" w:themeColor="text1"/>
          <w:sz w:val="20"/>
          <w:szCs w:val="20"/>
        </w:rPr>
        <w:t xml:space="preserve"> EU </w:t>
      </w:r>
      <w:r w:rsidR="00EF6F56" w:rsidRPr="000E262D">
        <w:rPr>
          <w:rFonts w:ascii="Times New Roman" w:hAnsi="Times New Roman" w:cs="Times New Roman"/>
          <w:color w:val="000000" w:themeColor="text1"/>
          <w:sz w:val="20"/>
          <w:szCs w:val="20"/>
        </w:rPr>
        <w:t>policy documents</w:t>
      </w:r>
      <w:r w:rsidRPr="000E262D">
        <w:rPr>
          <w:rFonts w:ascii="Times New Roman" w:hAnsi="Times New Roman" w:cs="Times New Roman"/>
          <w:color w:val="000000" w:themeColor="text1"/>
          <w:sz w:val="20"/>
          <w:szCs w:val="20"/>
        </w:rPr>
        <w:t xml:space="preserve"> on EU-ASEAN relations</w:t>
      </w:r>
      <w:r w:rsidR="00EF6F56" w:rsidRPr="000E262D">
        <w:rPr>
          <w:rFonts w:ascii="Times New Roman" w:hAnsi="Times New Roman" w:cs="Times New Roman"/>
          <w:color w:val="000000" w:themeColor="text1"/>
          <w:sz w:val="20"/>
          <w:szCs w:val="20"/>
        </w:rPr>
        <w:t xml:space="preserve"> (</w:t>
      </w:r>
      <w:proofErr w:type="gramStart"/>
      <w:r w:rsidR="00D00253" w:rsidRPr="000E262D">
        <w:rPr>
          <w:rFonts w:ascii="Times New Roman" w:hAnsi="Times New Roman" w:cs="Times New Roman"/>
          <w:color w:val="000000" w:themeColor="text1"/>
          <w:sz w:val="20"/>
          <w:szCs w:val="20"/>
        </w:rPr>
        <w:t>e.g.</w:t>
      </w:r>
      <w:proofErr w:type="gramEnd"/>
      <w:r w:rsidR="00D00253" w:rsidRPr="000E262D">
        <w:rPr>
          <w:rFonts w:ascii="Times New Roman" w:hAnsi="Times New Roman" w:cs="Times New Roman"/>
          <w:color w:val="000000" w:themeColor="text1"/>
          <w:sz w:val="20"/>
          <w:szCs w:val="20"/>
        </w:rPr>
        <w:t xml:space="preserve"> </w:t>
      </w:r>
      <w:r w:rsidR="00EF6F56" w:rsidRPr="000E262D">
        <w:rPr>
          <w:rFonts w:ascii="Times New Roman" w:hAnsi="Times New Roman" w:cs="Times New Roman"/>
          <w:color w:val="000000" w:themeColor="text1"/>
          <w:sz w:val="20"/>
          <w:szCs w:val="20"/>
        </w:rPr>
        <w:t>E</w:t>
      </w:r>
      <w:r w:rsidR="00587357" w:rsidRPr="000E262D">
        <w:rPr>
          <w:rFonts w:ascii="Times New Roman" w:hAnsi="Times New Roman" w:cs="Times New Roman"/>
          <w:color w:val="000000" w:themeColor="text1"/>
          <w:sz w:val="20"/>
          <w:szCs w:val="20"/>
        </w:rPr>
        <w:t>uropean Commission</w:t>
      </w:r>
      <w:r w:rsidR="00EF6F56" w:rsidRPr="000E262D">
        <w:rPr>
          <w:rFonts w:ascii="Times New Roman" w:hAnsi="Times New Roman" w:cs="Times New Roman"/>
          <w:color w:val="000000" w:themeColor="text1"/>
          <w:sz w:val="20"/>
          <w:szCs w:val="20"/>
        </w:rPr>
        <w:t xml:space="preserve"> 2015</w:t>
      </w:r>
      <w:r w:rsidR="00587357" w:rsidRPr="000E262D">
        <w:rPr>
          <w:rFonts w:ascii="Times New Roman" w:hAnsi="Times New Roman" w:cs="Times New Roman"/>
          <w:color w:val="000000" w:themeColor="text1"/>
          <w:sz w:val="20"/>
          <w:szCs w:val="20"/>
        </w:rPr>
        <w:t>a</w:t>
      </w:r>
      <w:r w:rsidR="00EF6F56" w:rsidRPr="000E262D">
        <w:rPr>
          <w:rFonts w:ascii="Times New Roman" w:hAnsi="Times New Roman" w:cs="Times New Roman"/>
          <w:color w:val="000000" w:themeColor="text1"/>
          <w:sz w:val="20"/>
          <w:szCs w:val="20"/>
        </w:rPr>
        <w:t>; EEAS 2016</w:t>
      </w:r>
      <w:r w:rsidR="002440D2" w:rsidRPr="000E262D">
        <w:rPr>
          <w:rFonts w:ascii="Times New Roman" w:hAnsi="Times New Roman" w:cs="Times New Roman"/>
          <w:color w:val="000000" w:themeColor="text1"/>
          <w:sz w:val="20"/>
          <w:szCs w:val="20"/>
        </w:rPr>
        <w:t xml:space="preserve">; </w:t>
      </w:r>
      <w:r w:rsidR="0069538E" w:rsidRPr="000E262D">
        <w:rPr>
          <w:rFonts w:ascii="Times New Roman" w:hAnsi="Times New Roman" w:cs="Times New Roman"/>
          <w:color w:val="000000" w:themeColor="text1"/>
          <w:sz w:val="20"/>
          <w:szCs w:val="20"/>
        </w:rPr>
        <w:t xml:space="preserve">EEAS 2017; </w:t>
      </w:r>
      <w:r w:rsidR="002440D2" w:rsidRPr="000E262D">
        <w:rPr>
          <w:rFonts w:ascii="Times New Roman" w:hAnsi="Times New Roman" w:cs="Times New Roman"/>
          <w:color w:val="000000" w:themeColor="text1"/>
          <w:sz w:val="20"/>
          <w:szCs w:val="20"/>
        </w:rPr>
        <w:t>EEAS 2019</w:t>
      </w:r>
      <w:r w:rsidR="00EF6F56"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the following table </w:t>
      </w:r>
      <w:r w:rsidR="008D51ED" w:rsidRPr="000E262D">
        <w:rPr>
          <w:rFonts w:ascii="Times New Roman" w:hAnsi="Times New Roman" w:cs="Times New Roman"/>
          <w:color w:val="000000" w:themeColor="text1"/>
          <w:sz w:val="20"/>
          <w:szCs w:val="20"/>
        </w:rPr>
        <w:t>outlines</w:t>
      </w:r>
      <w:r w:rsidR="001A633A" w:rsidRPr="000E262D">
        <w:rPr>
          <w:rFonts w:ascii="Times New Roman" w:hAnsi="Times New Roman" w:cs="Times New Roman"/>
          <w:color w:val="000000" w:themeColor="text1"/>
          <w:sz w:val="20"/>
          <w:szCs w:val="20"/>
        </w:rPr>
        <w:t xml:space="preserve"> some</w:t>
      </w:r>
      <w:r w:rsidR="00EF6F56" w:rsidRPr="000E262D">
        <w:rPr>
          <w:rFonts w:ascii="Times New Roman" w:hAnsi="Times New Roman" w:cs="Times New Roman"/>
          <w:color w:val="000000" w:themeColor="text1"/>
          <w:sz w:val="20"/>
          <w:szCs w:val="20"/>
        </w:rPr>
        <w:t xml:space="preserve"> </w:t>
      </w:r>
      <w:r w:rsidR="00A64F39" w:rsidRPr="000E262D">
        <w:rPr>
          <w:rFonts w:ascii="Times New Roman" w:hAnsi="Times New Roman" w:cs="Times New Roman"/>
          <w:color w:val="000000" w:themeColor="text1"/>
          <w:sz w:val="20"/>
          <w:szCs w:val="20"/>
        </w:rPr>
        <w:t xml:space="preserve">examples and </w:t>
      </w:r>
      <w:r w:rsidR="002440D2" w:rsidRPr="000E262D">
        <w:rPr>
          <w:rFonts w:ascii="Times New Roman" w:hAnsi="Times New Roman" w:cs="Times New Roman"/>
          <w:color w:val="000000" w:themeColor="text1"/>
          <w:sz w:val="20"/>
          <w:szCs w:val="20"/>
        </w:rPr>
        <w:t xml:space="preserve">key </w:t>
      </w:r>
      <w:r w:rsidR="008D51ED" w:rsidRPr="000E262D">
        <w:rPr>
          <w:rFonts w:ascii="Times New Roman" w:hAnsi="Times New Roman" w:cs="Times New Roman"/>
          <w:color w:val="000000" w:themeColor="text1"/>
          <w:sz w:val="20"/>
          <w:szCs w:val="20"/>
        </w:rPr>
        <w:t>indicators</w:t>
      </w:r>
      <w:r w:rsidR="00A7317F" w:rsidRPr="000E262D">
        <w:rPr>
          <w:rFonts w:ascii="Times New Roman" w:hAnsi="Times New Roman" w:cs="Times New Roman"/>
          <w:color w:val="000000" w:themeColor="text1"/>
          <w:sz w:val="20"/>
          <w:szCs w:val="20"/>
        </w:rPr>
        <w:t xml:space="preserve"> </w:t>
      </w:r>
      <w:r w:rsidR="001A633A" w:rsidRPr="000E262D">
        <w:rPr>
          <w:rFonts w:ascii="Times New Roman" w:hAnsi="Times New Roman" w:cs="Times New Roman"/>
          <w:color w:val="000000" w:themeColor="text1"/>
          <w:sz w:val="20"/>
          <w:szCs w:val="20"/>
        </w:rPr>
        <w:t>of</w:t>
      </w:r>
      <w:r w:rsidR="006F19CD" w:rsidRPr="000E262D">
        <w:rPr>
          <w:rFonts w:ascii="Times New Roman" w:hAnsi="Times New Roman" w:cs="Times New Roman"/>
          <w:color w:val="000000" w:themeColor="text1"/>
          <w:sz w:val="20"/>
          <w:szCs w:val="20"/>
        </w:rPr>
        <w:t xml:space="preserve"> </w:t>
      </w:r>
      <w:r w:rsidR="008D51ED" w:rsidRPr="000E262D">
        <w:rPr>
          <w:rFonts w:ascii="Times New Roman" w:hAnsi="Times New Roman" w:cs="Times New Roman"/>
          <w:color w:val="000000" w:themeColor="text1"/>
          <w:sz w:val="20"/>
          <w:szCs w:val="20"/>
        </w:rPr>
        <w:t xml:space="preserve">the </w:t>
      </w:r>
      <w:r w:rsidR="001A633A" w:rsidRPr="000E262D">
        <w:rPr>
          <w:rFonts w:ascii="Times New Roman" w:hAnsi="Times New Roman" w:cs="Times New Roman"/>
          <w:color w:val="000000" w:themeColor="text1"/>
          <w:sz w:val="20"/>
          <w:szCs w:val="20"/>
        </w:rPr>
        <w:t>market-related</w:t>
      </w:r>
      <w:r w:rsidR="006F19CD" w:rsidRPr="000E262D">
        <w:rPr>
          <w:rFonts w:ascii="Times New Roman" w:hAnsi="Times New Roman" w:cs="Times New Roman"/>
          <w:color w:val="000000" w:themeColor="text1"/>
          <w:sz w:val="20"/>
          <w:szCs w:val="20"/>
        </w:rPr>
        <w:t xml:space="preserve"> policies and </w:t>
      </w:r>
      <w:r w:rsidR="001A633A" w:rsidRPr="000E262D">
        <w:rPr>
          <w:rFonts w:ascii="Times New Roman" w:hAnsi="Times New Roman" w:cs="Times New Roman"/>
          <w:color w:val="000000" w:themeColor="text1"/>
          <w:sz w:val="20"/>
          <w:szCs w:val="20"/>
        </w:rPr>
        <w:t xml:space="preserve">regulatory </w:t>
      </w:r>
      <w:r w:rsidR="006F19CD" w:rsidRPr="000E262D">
        <w:rPr>
          <w:rFonts w:ascii="Times New Roman" w:hAnsi="Times New Roman" w:cs="Times New Roman"/>
          <w:color w:val="000000" w:themeColor="text1"/>
          <w:sz w:val="20"/>
          <w:szCs w:val="20"/>
        </w:rPr>
        <w:t>measures</w:t>
      </w:r>
      <w:r w:rsidR="00A7317F" w:rsidRPr="000E262D">
        <w:rPr>
          <w:rFonts w:ascii="Times New Roman" w:hAnsi="Times New Roman" w:cs="Times New Roman"/>
          <w:color w:val="000000" w:themeColor="text1"/>
          <w:sz w:val="20"/>
          <w:szCs w:val="20"/>
        </w:rPr>
        <w:t xml:space="preserve"> that the </w:t>
      </w:r>
      <w:r w:rsidR="001A633A" w:rsidRPr="000E262D">
        <w:rPr>
          <w:rFonts w:ascii="Times New Roman" w:hAnsi="Times New Roman" w:cs="Times New Roman"/>
          <w:color w:val="000000" w:themeColor="text1"/>
          <w:sz w:val="20"/>
          <w:szCs w:val="20"/>
        </w:rPr>
        <w:t>EU</w:t>
      </w:r>
      <w:r w:rsidR="00A7317F" w:rsidRPr="000E262D">
        <w:rPr>
          <w:rFonts w:ascii="Times New Roman" w:hAnsi="Times New Roman" w:cs="Times New Roman"/>
          <w:color w:val="000000" w:themeColor="text1"/>
          <w:sz w:val="20"/>
          <w:szCs w:val="20"/>
        </w:rPr>
        <w:t xml:space="preserve"> seeks to externalize</w:t>
      </w:r>
      <w:r w:rsidR="001A633A" w:rsidRPr="000E262D">
        <w:rPr>
          <w:rFonts w:ascii="Times New Roman" w:hAnsi="Times New Roman" w:cs="Times New Roman"/>
          <w:color w:val="000000" w:themeColor="text1"/>
          <w:sz w:val="20"/>
          <w:szCs w:val="20"/>
        </w:rPr>
        <w:t xml:space="preserve"> towards ASEAN stakeholders</w:t>
      </w:r>
      <w:r w:rsidR="00345102" w:rsidRPr="000E262D">
        <w:rPr>
          <w:rFonts w:ascii="Times New Roman" w:hAnsi="Times New Roman" w:cs="Times New Roman"/>
          <w:color w:val="000000" w:themeColor="text1"/>
          <w:sz w:val="20"/>
          <w:szCs w:val="20"/>
        </w:rPr>
        <w:t>.</w:t>
      </w:r>
      <w:r w:rsidR="001A633A" w:rsidRPr="000E262D">
        <w:rPr>
          <w:rFonts w:ascii="Times New Roman" w:hAnsi="Times New Roman" w:cs="Times New Roman"/>
          <w:color w:val="000000" w:themeColor="text1"/>
          <w:sz w:val="20"/>
          <w:szCs w:val="20"/>
        </w:rPr>
        <w:t xml:space="preserve"> </w:t>
      </w:r>
    </w:p>
    <w:p w14:paraId="716A0A1C" w14:textId="77777777" w:rsidR="00EF6F56" w:rsidRPr="000E262D" w:rsidRDefault="00EF6F56" w:rsidP="008A7331">
      <w:pPr>
        <w:rPr>
          <w:rFonts w:ascii="Times New Roman" w:hAnsi="Times New Roman" w:cs="Times New Roman"/>
          <w:color w:val="000000" w:themeColor="text1"/>
          <w:sz w:val="20"/>
          <w:szCs w:val="20"/>
        </w:rPr>
      </w:pPr>
    </w:p>
    <w:p w14:paraId="0C12C17F" w14:textId="02C83D67" w:rsidR="00EF6F56" w:rsidRPr="000E262D" w:rsidRDefault="002440D2"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Table </w:t>
      </w:r>
      <w:r w:rsidR="00C96D06" w:rsidRPr="000E262D">
        <w:rPr>
          <w:rFonts w:ascii="Times New Roman" w:hAnsi="Times New Roman" w:cs="Times New Roman"/>
          <w:color w:val="000000" w:themeColor="text1"/>
          <w:sz w:val="20"/>
          <w:szCs w:val="20"/>
        </w:rPr>
        <w:t>3</w:t>
      </w:r>
      <w:r w:rsidRPr="000E262D">
        <w:rPr>
          <w:rFonts w:ascii="Times New Roman" w:hAnsi="Times New Roman" w:cs="Times New Roman"/>
          <w:color w:val="000000" w:themeColor="text1"/>
          <w:sz w:val="20"/>
          <w:szCs w:val="20"/>
        </w:rPr>
        <w:t xml:space="preserve">. </w:t>
      </w:r>
      <w:r w:rsidR="00D84306" w:rsidRPr="000E262D">
        <w:rPr>
          <w:rFonts w:ascii="Times New Roman" w:hAnsi="Times New Roman" w:cs="Times New Roman"/>
          <w:color w:val="000000" w:themeColor="text1"/>
          <w:sz w:val="20"/>
          <w:szCs w:val="20"/>
        </w:rPr>
        <w:t>Examples of the EU’s externalization of market-related policies and regulatory measures in ASEAN</w:t>
      </w:r>
    </w:p>
    <w:p w14:paraId="5618FFAD" w14:textId="38E3D06B" w:rsidR="00C96D06" w:rsidRPr="000E262D" w:rsidRDefault="009074FB" w:rsidP="008A7331">
      <w:pPr>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lastRenderedPageBreak/>
        <w:drawing>
          <wp:inline distT="0" distB="0" distL="0" distR="0" wp14:anchorId="16BF6A52" wp14:editId="1529F5F6">
            <wp:extent cx="5270500" cy="7045325"/>
            <wp:effectExtent l="0" t="0" r="0" b="3175"/>
            <wp:docPr id="6" name="图片 6"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表格&#10;&#10;描述已自动生成"/>
                    <pic:cNvPicPr/>
                  </pic:nvPicPr>
                  <pic:blipFill>
                    <a:blip r:embed="rId10">
                      <a:extLst>
                        <a:ext uri="{28A0092B-C50C-407E-A947-70E740481C1C}">
                          <a14:useLocalDpi xmlns:a14="http://schemas.microsoft.com/office/drawing/2010/main" val="0"/>
                        </a:ext>
                      </a:extLst>
                    </a:blip>
                    <a:stretch>
                      <a:fillRect/>
                    </a:stretch>
                  </pic:blipFill>
                  <pic:spPr>
                    <a:xfrm>
                      <a:off x="0" y="0"/>
                      <a:ext cx="5270500" cy="7045325"/>
                    </a:xfrm>
                    <a:prstGeom prst="rect">
                      <a:avLst/>
                    </a:prstGeom>
                  </pic:spPr>
                </pic:pic>
              </a:graphicData>
            </a:graphic>
          </wp:inline>
        </w:drawing>
      </w:r>
    </w:p>
    <w:p w14:paraId="4272BDFF" w14:textId="77777777" w:rsidR="00EF6F56" w:rsidRPr="000E262D" w:rsidRDefault="00403FF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Source: developed by the author </w:t>
      </w:r>
    </w:p>
    <w:p w14:paraId="46EFB102" w14:textId="77777777" w:rsidR="00610442" w:rsidRPr="000E262D" w:rsidRDefault="00610442" w:rsidP="008A7331">
      <w:pPr>
        <w:rPr>
          <w:rFonts w:ascii="Times New Roman" w:hAnsi="Times New Roman" w:cs="Times New Roman"/>
          <w:color w:val="000000" w:themeColor="text1"/>
          <w:sz w:val="20"/>
          <w:szCs w:val="20"/>
        </w:rPr>
      </w:pPr>
    </w:p>
    <w:p w14:paraId="1AED8205" w14:textId="321F2C02" w:rsidR="002C19E0" w:rsidRPr="000E262D" w:rsidRDefault="00610442"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By differentiating the EU’s overarching norm of economic liberalism</w:t>
      </w:r>
      <w:r w:rsidR="00C96D06" w:rsidRPr="000E262D">
        <w:rPr>
          <w:rFonts w:ascii="Times New Roman" w:hAnsi="Times New Roman" w:cs="Times New Roman"/>
          <w:color w:val="000000" w:themeColor="text1"/>
          <w:sz w:val="20"/>
          <w:szCs w:val="20"/>
        </w:rPr>
        <w:t xml:space="preserve"> and middle-level governance models</w:t>
      </w:r>
      <w:r w:rsidRPr="000E262D">
        <w:rPr>
          <w:rFonts w:ascii="Times New Roman" w:hAnsi="Times New Roman" w:cs="Times New Roman"/>
          <w:color w:val="000000" w:themeColor="text1"/>
          <w:sz w:val="20"/>
          <w:szCs w:val="20"/>
        </w:rPr>
        <w:t xml:space="preserve"> from precise market-related policies and regulatory measures, the above discussion shows that the investigation into NPE and MPE</w:t>
      </w:r>
      <w:r w:rsidR="00897955" w:rsidRPr="000E262D">
        <w:rPr>
          <w:rFonts w:ascii="Times New Roman" w:hAnsi="Times New Roman" w:cs="Times New Roman"/>
          <w:color w:val="000000" w:themeColor="text1"/>
          <w:sz w:val="20"/>
          <w:szCs w:val="20"/>
        </w:rPr>
        <w:t xml:space="preserve"> or </w:t>
      </w:r>
      <w:r w:rsidRPr="000E262D">
        <w:rPr>
          <w:rFonts w:ascii="Times New Roman" w:hAnsi="Times New Roman" w:cs="Times New Roman"/>
          <w:color w:val="000000" w:themeColor="text1"/>
          <w:sz w:val="20"/>
          <w:szCs w:val="20"/>
        </w:rPr>
        <w:t xml:space="preserve">regulatory power can go hand in hand in empirical research. Furthermore, a closer look into the rationale behind the EU’s promotion of market liberal norms and policies in ASEAN reveals that </w:t>
      </w:r>
      <w:r w:rsidR="00B41E43" w:rsidRPr="000E262D">
        <w:rPr>
          <w:rFonts w:ascii="Times New Roman" w:hAnsi="Times New Roman" w:cs="Times New Roman"/>
          <w:color w:val="000000" w:themeColor="text1"/>
          <w:sz w:val="20"/>
          <w:szCs w:val="20"/>
        </w:rPr>
        <w:t xml:space="preserve">a </w:t>
      </w:r>
      <w:r w:rsidR="001E49D3" w:rsidRPr="000E262D">
        <w:rPr>
          <w:rFonts w:ascii="Times New Roman" w:hAnsi="Times New Roman" w:cs="Times New Roman"/>
          <w:color w:val="000000" w:themeColor="text1"/>
          <w:sz w:val="20"/>
          <w:szCs w:val="20"/>
        </w:rPr>
        <w:t>“</w:t>
      </w:r>
      <w:r w:rsidR="00B41E43" w:rsidRPr="000E262D">
        <w:rPr>
          <w:rFonts w:ascii="Times New Roman" w:hAnsi="Times New Roman" w:cs="Times New Roman"/>
          <w:color w:val="000000" w:themeColor="text1"/>
          <w:sz w:val="20"/>
          <w:szCs w:val="20"/>
        </w:rPr>
        <w:t>normative</w:t>
      </w:r>
      <w:r w:rsidR="001E49D3" w:rsidRPr="000E262D">
        <w:rPr>
          <w:rFonts w:ascii="Times New Roman" w:hAnsi="Times New Roman" w:cs="Times New Roman"/>
          <w:color w:val="000000" w:themeColor="text1"/>
          <w:sz w:val="20"/>
          <w:szCs w:val="20"/>
        </w:rPr>
        <w:t>”</w:t>
      </w:r>
      <w:r w:rsidR="00B41E43" w:rsidRPr="000E262D">
        <w:rPr>
          <w:rFonts w:ascii="Times New Roman" w:hAnsi="Times New Roman" w:cs="Times New Roman"/>
          <w:color w:val="000000" w:themeColor="text1"/>
          <w:sz w:val="20"/>
          <w:szCs w:val="20"/>
        </w:rPr>
        <w:t xml:space="preserve"> dimension of the EU’s economic liberalism (Parker and </w:t>
      </w:r>
      <w:r w:rsidR="00EC2FC8" w:rsidRPr="000E262D">
        <w:rPr>
          <w:rFonts w:ascii="Times New Roman" w:hAnsi="Times New Roman" w:cs="Times New Roman"/>
          <w:color w:val="000000" w:themeColor="text1"/>
          <w:sz w:val="20"/>
          <w:szCs w:val="20"/>
        </w:rPr>
        <w:t>Rosamond,</w:t>
      </w:r>
      <w:r w:rsidR="00B41E43" w:rsidRPr="000E262D">
        <w:rPr>
          <w:rFonts w:ascii="Times New Roman" w:hAnsi="Times New Roman" w:cs="Times New Roman"/>
          <w:color w:val="000000" w:themeColor="text1"/>
          <w:sz w:val="20"/>
          <w:szCs w:val="20"/>
        </w:rPr>
        <w:t xml:space="preserve"> 2013) co-exists with the </w:t>
      </w:r>
      <w:r w:rsidR="001E49D3" w:rsidRPr="000E262D">
        <w:rPr>
          <w:rFonts w:ascii="Times New Roman" w:hAnsi="Times New Roman" w:cs="Times New Roman"/>
          <w:color w:val="000000" w:themeColor="text1"/>
          <w:sz w:val="20"/>
          <w:szCs w:val="20"/>
        </w:rPr>
        <w:t>u</w:t>
      </w:r>
      <w:r w:rsidR="00B41E43" w:rsidRPr="000E262D">
        <w:rPr>
          <w:rFonts w:ascii="Times New Roman" w:hAnsi="Times New Roman" w:cs="Times New Roman"/>
          <w:color w:val="000000" w:themeColor="text1"/>
          <w:sz w:val="20"/>
          <w:szCs w:val="20"/>
        </w:rPr>
        <w:t>nion’s pursuit of strategic self-interests.</w:t>
      </w:r>
      <w:r w:rsidR="009C6CF5" w:rsidRPr="000E262D">
        <w:rPr>
          <w:rFonts w:ascii="Times New Roman" w:hAnsi="Times New Roman" w:cs="Times New Roman"/>
          <w:color w:val="000000" w:themeColor="text1"/>
          <w:sz w:val="20"/>
          <w:szCs w:val="20"/>
        </w:rPr>
        <w:t xml:space="preserve"> Based on documentary </w:t>
      </w:r>
      <w:r w:rsidR="009C6CF5" w:rsidRPr="000E262D">
        <w:rPr>
          <w:rFonts w:ascii="Times New Roman" w:hAnsi="Times New Roman" w:cs="Times New Roman"/>
          <w:color w:val="000000" w:themeColor="text1"/>
          <w:sz w:val="20"/>
          <w:szCs w:val="20"/>
        </w:rPr>
        <w:lastRenderedPageBreak/>
        <w:t>analysis and interview data, the research identifies the pursuit of economic and commercial interests as the primary motivation underlying the EU’s trade policy in ASEAN. Specifically, interviewees from the EU share a common view that economic interests, such as boosting investment flows and creating more opportunities for European firms, remain the main driver for the EU’s trade relations with ASEAN.</w:t>
      </w:r>
      <w:r w:rsidR="00E06411" w:rsidRPr="000E262D">
        <w:rPr>
          <w:rStyle w:val="a7"/>
          <w:rFonts w:ascii="Times New Roman" w:hAnsi="Times New Roman" w:cs="Times New Roman"/>
          <w:color w:val="000000" w:themeColor="text1"/>
          <w:sz w:val="20"/>
          <w:szCs w:val="20"/>
        </w:rPr>
        <w:footnoteReference w:id="3"/>
      </w:r>
      <w:r w:rsidR="009C6CF5" w:rsidRPr="000E262D">
        <w:rPr>
          <w:rFonts w:ascii="Times New Roman" w:hAnsi="Times New Roman" w:cs="Times New Roman"/>
          <w:color w:val="000000" w:themeColor="text1"/>
          <w:sz w:val="20"/>
          <w:szCs w:val="20"/>
        </w:rPr>
        <w:t xml:space="preserve"> This observation is supported by the EU’s intention to upgrade </w:t>
      </w:r>
      <w:r w:rsidR="000D4AF5" w:rsidRPr="000E262D">
        <w:rPr>
          <w:rFonts w:ascii="Times New Roman" w:hAnsi="Times New Roman" w:cs="Times New Roman"/>
          <w:color w:val="000000" w:themeColor="text1"/>
          <w:sz w:val="20"/>
          <w:szCs w:val="20"/>
        </w:rPr>
        <w:t xml:space="preserve">the </w:t>
      </w:r>
      <w:r w:rsidR="009C6CF5" w:rsidRPr="000E262D">
        <w:rPr>
          <w:rFonts w:ascii="Times New Roman" w:hAnsi="Times New Roman" w:cs="Times New Roman"/>
          <w:color w:val="000000" w:themeColor="text1"/>
          <w:sz w:val="20"/>
          <w:szCs w:val="20"/>
        </w:rPr>
        <w:t xml:space="preserve">EU-ASEAN partnership to a </w:t>
      </w:r>
      <w:r w:rsidR="000D4AF5" w:rsidRPr="000E262D">
        <w:rPr>
          <w:rFonts w:ascii="Times New Roman" w:hAnsi="Times New Roman" w:cs="Times New Roman"/>
          <w:color w:val="000000" w:themeColor="text1"/>
          <w:sz w:val="20"/>
          <w:szCs w:val="20"/>
        </w:rPr>
        <w:t>“</w:t>
      </w:r>
      <w:r w:rsidR="009C6CF5" w:rsidRPr="000E262D">
        <w:rPr>
          <w:rFonts w:ascii="Times New Roman" w:hAnsi="Times New Roman" w:cs="Times New Roman"/>
          <w:color w:val="000000" w:themeColor="text1"/>
          <w:sz w:val="20"/>
          <w:szCs w:val="20"/>
        </w:rPr>
        <w:t>strategic level</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 xml:space="preserve">. The 2015 joint communication explicitly stated that </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the EU has a huge stake in the success of ASEAN</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 xml:space="preserve"> which is largely due to ASEAN’s </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high rates of economic growth as well as demographic dynamics</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 xml:space="preserve"> (E</w:t>
      </w:r>
      <w:r w:rsidR="00684516" w:rsidRPr="000E262D">
        <w:rPr>
          <w:rFonts w:ascii="Times New Roman" w:hAnsi="Times New Roman" w:cs="Times New Roman"/>
          <w:color w:val="000000" w:themeColor="text1"/>
          <w:sz w:val="20"/>
          <w:szCs w:val="20"/>
        </w:rPr>
        <w:t xml:space="preserve">uropean </w:t>
      </w:r>
      <w:r w:rsidR="002C19E0" w:rsidRPr="000E262D">
        <w:rPr>
          <w:rFonts w:ascii="Times New Roman" w:hAnsi="Times New Roman" w:cs="Times New Roman"/>
          <w:color w:val="000000" w:themeColor="text1"/>
          <w:sz w:val="20"/>
          <w:szCs w:val="20"/>
        </w:rPr>
        <w:t>C</w:t>
      </w:r>
      <w:r w:rsidR="00684516" w:rsidRPr="000E262D">
        <w:rPr>
          <w:rFonts w:ascii="Times New Roman" w:hAnsi="Times New Roman" w:cs="Times New Roman"/>
          <w:color w:val="000000" w:themeColor="text1"/>
          <w:sz w:val="20"/>
          <w:szCs w:val="20"/>
        </w:rPr>
        <w:t xml:space="preserve">ommission </w:t>
      </w:r>
      <w:r w:rsidR="002C19E0" w:rsidRPr="000E262D">
        <w:rPr>
          <w:rFonts w:ascii="Times New Roman" w:hAnsi="Times New Roman" w:cs="Times New Roman"/>
          <w:color w:val="000000" w:themeColor="text1"/>
          <w:sz w:val="20"/>
          <w:szCs w:val="20"/>
        </w:rPr>
        <w:t>2015</w:t>
      </w:r>
      <w:r w:rsidR="00684516" w:rsidRPr="000E262D">
        <w:rPr>
          <w:rFonts w:ascii="Times New Roman" w:hAnsi="Times New Roman" w:cs="Times New Roman"/>
          <w:color w:val="000000" w:themeColor="text1"/>
          <w:sz w:val="20"/>
          <w:szCs w:val="20"/>
        </w:rPr>
        <w:t>a</w:t>
      </w:r>
      <w:r w:rsidR="00D960D0"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 xml:space="preserve">1). However, this does not mean that the EU has only pursued its self-interests in the region. In fact, this study observes that the EU’s externalization of economic liberalism in ASEAN is also driven by the EU’s normative considerations. For example, one EU diplomat pointed out that </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we believe that the EU’s experience of economic integration can trigger prosperity</w:t>
      </w:r>
      <w:r w:rsidR="000D4AF5" w:rsidRPr="000E262D">
        <w:rPr>
          <w:rFonts w:ascii="Times New Roman" w:hAnsi="Times New Roman" w:cs="Times New Roman"/>
          <w:color w:val="000000" w:themeColor="text1"/>
          <w:sz w:val="20"/>
          <w:szCs w:val="20"/>
        </w:rPr>
        <w:t xml:space="preserve"> </w:t>
      </w:r>
      <w:r w:rsidR="002C19E0" w:rsidRPr="000E262D">
        <w:rPr>
          <w:rFonts w:ascii="Times New Roman" w:hAnsi="Times New Roman" w:cs="Times New Roman"/>
          <w:color w:val="000000" w:themeColor="text1"/>
          <w:sz w:val="20"/>
          <w:szCs w:val="20"/>
        </w:rPr>
        <w:t>and strengthen security and stability in Southeast Asia</w:t>
      </w:r>
      <w:r w:rsidR="000D4AF5" w:rsidRPr="000E262D">
        <w:rPr>
          <w:rFonts w:ascii="Times New Roman" w:hAnsi="Times New Roman" w:cs="Times New Roman"/>
          <w:color w:val="000000" w:themeColor="text1"/>
          <w:sz w:val="20"/>
          <w:szCs w:val="20"/>
        </w:rPr>
        <w:t>”</w:t>
      </w:r>
      <w:r w:rsidR="00684516" w:rsidRPr="000E262D">
        <w:rPr>
          <w:rFonts w:ascii="Times New Roman" w:hAnsi="Times New Roman" w:cs="Times New Roman"/>
          <w:color w:val="000000" w:themeColor="text1"/>
          <w:sz w:val="20"/>
          <w:szCs w:val="20"/>
        </w:rPr>
        <w:t>.</w:t>
      </w:r>
      <w:r w:rsidR="00684516" w:rsidRPr="000E262D">
        <w:rPr>
          <w:rStyle w:val="a7"/>
          <w:rFonts w:ascii="Times New Roman" w:hAnsi="Times New Roman" w:cs="Times New Roman"/>
          <w:color w:val="000000" w:themeColor="text1"/>
          <w:sz w:val="20"/>
          <w:szCs w:val="20"/>
        </w:rPr>
        <w:footnoteReference w:id="4"/>
      </w:r>
      <w:r w:rsidR="002C19E0" w:rsidRPr="000E262D">
        <w:rPr>
          <w:rFonts w:ascii="Times New Roman" w:hAnsi="Times New Roman" w:cs="Times New Roman"/>
          <w:color w:val="000000" w:themeColor="text1"/>
          <w:sz w:val="20"/>
          <w:szCs w:val="20"/>
        </w:rPr>
        <w:t xml:space="preserve"> Another EU official</w:t>
      </w:r>
      <w:r w:rsidR="00CB3E3E" w:rsidRPr="000E262D">
        <w:rPr>
          <w:rFonts w:ascii="Times New Roman" w:hAnsi="Times New Roman" w:cs="Times New Roman"/>
          <w:color w:val="000000" w:themeColor="text1"/>
          <w:sz w:val="20"/>
          <w:szCs w:val="20"/>
        </w:rPr>
        <w:t xml:space="preserve"> </w:t>
      </w:r>
      <w:r w:rsidR="002C19E0" w:rsidRPr="000E262D">
        <w:rPr>
          <w:rFonts w:ascii="Times New Roman" w:hAnsi="Times New Roman" w:cs="Times New Roman"/>
          <w:color w:val="000000" w:themeColor="text1"/>
          <w:sz w:val="20"/>
          <w:szCs w:val="20"/>
        </w:rPr>
        <w:t xml:space="preserve">shared a similar view and claimed that </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as a regional organisation, the EU intrinsically believes in the model of regional cooperation and regional integration</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w:t>
      </w:r>
      <w:r w:rsidR="00684516" w:rsidRPr="000E262D">
        <w:rPr>
          <w:rStyle w:val="a7"/>
          <w:rFonts w:ascii="Times New Roman" w:hAnsi="Times New Roman" w:cs="Times New Roman"/>
          <w:color w:val="000000" w:themeColor="text1"/>
          <w:sz w:val="20"/>
          <w:szCs w:val="20"/>
        </w:rPr>
        <w:footnoteReference w:id="5"/>
      </w:r>
      <w:r w:rsidR="002C19E0" w:rsidRPr="000E262D">
        <w:rPr>
          <w:rFonts w:ascii="Times New Roman" w:hAnsi="Times New Roman" w:cs="Times New Roman"/>
          <w:color w:val="000000" w:themeColor="text1"/>
          <w:sz w:val="20"/>
          <w:szCs w:val="20"/>
        </w:rPr>
        <w:t xml:space="preserve"> Thus, the EU intends to </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help regional organizations, including ASEAN, address problems such as the absence of security architecture and lack of an internal market</w:t>
      </w:r>
      <w:r w:rsidR="000D4AF5" w:rsidRPr="000E262D">
        <w:rPr>
          <w:rFonts w:ascii="Times New Roman" w:hAnsi="Times New Roman" w:cs="Times New Roman"/>
          <w:color w:val="000000" w:themeColor="text1"/>
          <w:sz w:val="20"/>
          <w:szCs w:val="20"/>
        </w:rPr>
        <w:t>”</w:t>
      </w:r>
      <w:r w:rsidR="002C19E0" w:rsidRPr="000E262D">
        <w:rPr>
          <w:rFonts w:ascii="Times New Roman" w:hAnsi="Times New Roman" w:cs="Times New Roman"/>
          <w:color w:val="000000" w:themeColor="text1"/>
          <w:sz w:val="20"/>
          <w:szCs w:val="20"/>
        </w:rPr>
        <w:t xml:space="preserve"> (ibid). These observations suggest that, apart from achieving economic interests, the EU also seeks to pursue altruistic policy goals that it sees as being in ASEAN’s interests. </w:t>
      </w:r>
    </w:p>
    <w:p w14:paraId="24A1C413" w14:textId="5D41CAC6" w:rsidR="00610442" w:rsidRPr="000E262D" w:rsidRDefault="00610442" w:rsidP="008A7331">
      <w:pPr>
        <w:rPr>
          <w:rFonts w:ascii="Times New Roman" w:hAnsi="Times New Roman" w:cs="Times New Roman"/>
          <w:color w:val="000000" w:themeColor="text1"/>
          <w:sz w:val="20"/>
          <w:szCs w:val="20"/>
        </w:rPr>
      </w:pPr>
    </w:p>
    <w:p w14:paraId="400CFFE6" w14:textId="7A0726FC" w:rsidR="00DC3439" w:rsidRPr="000E262D" w:rsidRDefault="00DC3439" w:rsidP="008A7331">
      <w:pPr>
        <w:rPr>
          <w:rFonts w:ascii="Times New Roman" w:hAnsi="Times New Roman" w:cs="Times New Roman"/>
          <w:b/>
          <w:bCs/>
          <w:i/>
          <w:iCs/>
          <w:color w:val="000000" w:themeColor="text1"/>
          <w:sz w:val="20"/>
          <w:szCs w:val="20"/>
        </w:rPr>
      </w:pPr>
      <w:r w:rsidRPr="000E262D">
        <w:rPr>
          <w:rFonts w:ascii="Times New Roman" w:hAnsi="Times New Roman" w:cs="Times New Roman"/>
          <w:b/>
          <w:bCs/>
          <w:i/>
          <w:iCs/>
          <w:color w:val="000000" w:themeColor="text1"/>
          <w:sz w:val="20"/>
          <w:szCs w:val="20"/>
        </w:rPr>
        <w:t>Effectiveness of diffusion</w:t>
      </w:r>
    </w:p>
    <w:p w14:paraId="2411A0A4" w14:textId="51B5A2AD" w:rsidR="00DC3439" w:rsidRPr="000E262D" w:rsidRDefault="00DC3439" w:rsidP="008A7331">
      <w:pPr>
        <w:rPr>
          <w:rFonts w:ascii="Times New Roman" w:hAnsi="Times New Roman" w:cs="Times New Roman"/>
          <w:color w:val="000000" w:themeColor="text1"/>
          <w:sz w:val="20"/>
          <w:szCs w:val="20"/>
        </w:rPr>
      </w:pPr>
    </w:p>
    <w:p w14:paraId="56C35E06" w14:textId="40AED644" w:rsidR="00EC43ED" w:rsidRPr="000E262D" w:rsidRDefault="00EC43ED"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By evaluating the diffusion outcome against the list of indicators developed in Table 1, this sub-section shows that the effectiveness of </w:t>
      </w:r>
      <w:r w:rsidR="00BA4F35" w:rsidRPr="000E262D">
        <w:rPr>
          <w:rFonts w:ascii="Times New Roman" w:hAnsi="Times New Roman" w:cs="Times New Roman"/>
          <w:color w:val="000000" w:themeColor="text1"/>
          <w:sz w:val="20"/>
          <w:szCs w:val="20"/>
          <w:lang w:val="en-US"/>
        </w:rPr>
        <w:t>the EU’s projection of normative and market power</w:t>
      </w:r>
      <w:r w:rsidRPr="000E262D">
        <w:rPr>
          <w:rFonts w:ascii="Times New Roman" w:hAnsi="Times New Roman" w:cs="Times New Roman"/>
          <w:color w:val="000000" w:themeColor="text1"/>
          <w:sz w:val="20"/>
          <w:szCs w:val="20"/>
        </w:rPr>
        <w:t xml:space="preserve"> cannot be viewed as fixed and static; rather, ASEAN’s receptiveness to the EU’s market-related norms and policies have changed over the past two decades. As will be </w:t>
      </w:r>
      <w:r w:rsidR="00BA4F35" w:rsidRPr="000E262D">
        <w:rPr>
          <w:rFonts w:ascii="Times New Roman" w:hAnsi="Times New Roman" w:cs="Times New Roman"/>
          <w:color w:val="000000" w:themeColor="text1"/>
          <w:sz w:val="20"/>
          <w:szCs w:val="20"/>
        </w:rPr>
        <w:t>detailed</w:t>
      </w:r>
      <w:r w:rsidRPr="000E262D">
        <w:rPr>
          <w:rFonts w:ascii="Times New Roman" w:hAnsi="Times New Roman" w:cs="Times New Roman"/>
          <w:color w:val="000000" w:themeColor="text1"/>
          <w:sz w:val="20"/>
          <w:szCs w:val="20"/>
        </w:rPr>
        <w:t xml:space="preserve"> in the later section, between the late 1990s and 2007, ASEAN was more receptive to the EU’s overarching idea of market liberalism as well as its single-market-building governance model. While this does not necessarily suggest that ASEAN had taken concrete steps and actions to pursue an EU-modelled single market, interview data collected from this research reveals that the EU’s ideas and model of economic integration had a strong impact on shaping the opinions of ASEAN key players in internal debates in the field of economic integration at the early stage of AEC development. Specifically, the EU’s overarching economic liberalism norm and its model of single-market building served as a more significant conceptual guide or a stronger reference point to ASEAN’s regional economic cooperation during the period of 1990s – 2007 in comparison </w:t>
      </w:r>
      <w:r w:rsidR="00BA4F35" w:rsidRPr="000E262D">
        <w:rPr>
          <w:rFonts w:ascii="Times New Roman" w:hAnsi="Times New Roman" w:cs="Times New Roman"/>
          <w:color w:val="000000" w:themeColor="text1"/>
          <w:sz w:val="20"/>
          <w:szCs w:val="20"/>
        </w:rPr>
        <w:t>to the recent decade</w:t>
      </w:r>
      <w:r w:rsidRPr="000E262D">
        <w:rPr>
          <w:rFonts w:ascii="Times New Roman" w:hAnsi="Times New Roman" w:cs="Times New Roman"/>
          <w:color w:val="000000" w:themeColor="text1"/>
          <w:sz w:val="20"/>
          <w:szCs w:val="20"/>
        </w:rPr>
        <w:t xml:space="preserve">. During this phase, indicator 3 can be observed, showing the EU’s influence on the construction of policy problems and agendas in the area of economic regional cooperation in ASEAN. Specifically, the EU’s vision of economic regionalism and its model of single market building served as an important external impetus for ASEAN to reconsider and reconceptualize its economic cooperation framework and objectives. </w:t>
      </w:r>
    </w:p>
    <w:p w14:paraId="1FFAF18F" w14:textId="77777777" w:rsidR="00EC43ED" w:rsidRPr="000E262D" w:rsidRDefault="00EC43ED" w:rsidP="008A7331">
      <w:pPr>
        <w:widowControl/>
        <w:rPr>
          <w:rFonts w:ascii="Times New Roman" w:hAnsi="Times New Roman" w:cs="Times New Roman"/>
          <w:color w:val="000000" w:themeColor="text1"/>
          <w:sz w:val="20"/>
          <w:szCs w:val="20"/>
        </w:rPr>
      </w:pPr>
    </w:p>
    <w:p w14:paraId="7911CB92" w14:textId="0D61E0F9" w:rsidR="00EC43ED" w:rsidRPr="000E262D" w:rsidRDefault="000963DB"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lastRenderedPageBreak/>
        <w:t xml:space="preserve">Numerous </w:t>
      </w:r>
      <w:r w:rsidR="00EC43ED" w:rsidRPr="000E262D">
        <w:rPr>
          <w:rFonts w:ascii="Times New Roman" w:hAnsi="Times New Roman" w:cs="Times New Roman"/>
          <w:color w:val="000000" w:themeColor="text1"/>
          <w:sz w:val="20"/>
          <w:szCs w:val="20"/>
        </w:rPr>
        <w:t>observations can be made from this case study, showing the existence of a certain degree of convergence between the EU’s single market model and ASEAN’s conceptualization of economic integration project at the initial stage of designing and formulating AEC. First, data collected from the research reveals that the EU’s model of single market played a crucial role in influencing ASEAN’s conceptualization of economic cooperation framework. Notably, a number of interviewees explicitly recognized the EU’s 1992 single market project as an important external impetus that prompted ASEAN policymakers to reconsider Southeast Asian region’s economic integration, especially at the early stage of designing ASEAN’s economic integration framework.</w:t>
      </w:r>
      <w:r w:rsidR="003F5548" w:rsidRPr="000E262D">
        <w:rPr>
          <w:rStyle w:val="a7"/>
          <w:rFonts w:ascii="Times New Roman" w:hAnsi="Times New Roman" w:cs="Times New Roman"/>
          <w:color w:val="000000" w:themeColor="text1"/>
          <w:sz w:val="20"/>
          <w:szCs w:val="20"/>
        </w:rPr>
        <w:footnoteReference w:id="6"/>
      </w:r>
      <w:r w:rsidR="00EC43ED" w:rsidRPr="000E262D">
        <w:rPr>
          <w:rFonts w:ascii="Times New Roman" w:hAnsi="Times New Roman" w:cs="Times New Roman"/>
          <w:color w:val="000000" w:themeColor="text1"/>
          <w:sz w:val="20"/>
          <w:szCs w:val="20"/>
        </w:rPr>
        <w:t xml:space="preserve"> </w:t>
      </w:r>
    </w:p>
    <w:p w14:paraId="3ABB8AF6" w14:textId="77777777" w:rsidR="00EC43ED" w:rsidRPr="000E262D" w:rsidRDefault="00EC43ED" w:rsidP="008A7331">
      <w:pPr>
        <w:widowControl/>
        <w:rPr>
          <w:rFonts w:ascii="Times New Roman" w:hAnsi="Times New Roman" w:cs="Times New Roman"/>
          <w:color w:val="000000" w:themeColor="text1"/>
          <w:sz w:val="20"/>
          <w:szCs w:val="20"/>
        </w:rPr>
      </w:pPr>
    </w:p>
    <w:p w14:paraId="47CEE100" w14:textId="7687E16E" w:rsidR="00EC43ED" w:rsidRPr="000E262D" w:rsidRDefault="00EC43ED"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In the early 1990s, in light of the stalemate in the GATT Uruguay Round and increasing competitive pressures facing ASEAN by the development of NAFTA and the EU’s single market, the ASEAN Ministerial Meeting called for a more integrated and more effective intra-regional economic cooperation in ASEAN region (Allison 2015), which was echoed by the ASEAN Economic Ministers Meeting later in the same year (AEM 1990). Despite some ASEAN member states’ scepticism and reluctance to pursue an ambitious economic and trade liberalization strategy, the ASEAN Free Trade Area (AFTA) covered a number of components that seemingly draw from the EC’s model of deep integration, exemplified by the elimination of NTBTs, the harmonization of standards, and the reciprocal recognition of tests and certification of products.</w:t>
      </w:r>
      <w:r w:rsidR="00BD5CDD" w:rsidRPr="000E262D">
        <w:rPr>
          <w:rStyle w:val="a7"/>
          <w:rFonts w:ascii="Times New Roman" w:hAnsi="Times New Roman" w:cs="Times New Roman"/>
          <w:color w:val="000000" w:themeColor="text1"/>
          <w:sz w:val="20"/>
          <w:szCs w:val="20"/>
        </w:rPr>
        <w:footnoteReference w:id="7"/>
      </w:r>
      <w:r w:rsidRPr="000E262D">
        <w:rPr>
          <w:rFonts w:ascii="Times New Roman" w:hAnsi="Times New Roman" w:cs="Times New Roman"/>
          <w:color w:val="000000" w:themeColor="text1"/>
          <w:sz w:val="20"/>
          <w:szCs w:val="20"/>
        </w:rPr>
        <w:t xml:space="preserve"> It is noteworthy that in the 1990s, some ASEAN member states’ policymakers openly supported an EU-modelled approach to economic integration. For instance, Malaysian Prime Minister Mahathir Mohamad commented on the AFTA agreement in relation to the EU’s single market, stating that ‘movement towards a free trade arrangement is not as big a change as a single European Market, but for us, it is significant’ (cited in Kurus 1995:414). Later in 1997, he made another statement calling for the development of an ASEAN single market and economic union based on the EU’s model.</w:t>
      </w:r>
      <w:r w:rsidRPr="000E262D">
        <w:rPr>
          <w:rStyle w:val="a7"/>
          <w:rFonts w:ascii="Times New Roman" w:hAnsi="Times New Roman" w:cs="Times New Roman"/>
          <w:color w:val="000000" w:themeColor="text1"/>
          <w:sz w:val="20"/>
          <w:szCs w:val="20"/>
        </w:rPr>
        <w:footnoteReference w:id="8"/>
      </w:r>
      <w:r w:rsidRPr="000E262D">
        <w:rPr>
          <w:rFonts w:ascii="Times New Roman" w:hAnsi="Times New Roman" w:cs="Times New Roman"/>
          <w:color w:val="000000" w:themeColor="text1"/>
          <w:sz w:val="20"/>
          <w:szCs w:val="20"/>
        </w:rPr>
        <w:t xml:space="preserve"> </w:t>
      </w:r>
    </w:p>
    <w:p w14:paraId="669A8A79" w14:textId="77777777" w:rsidR="00EC43ED" w:rsidRPr="000E262D" w:rsidRDefault="00EC43ED" w:rsidP="008A7331">
      <w:pPr>
        <w:widowControl/>
        <w:rPr>
          <w:rFonts w:ascii="Times New Roman" w:hAnsi="Times New Roman" w:cs="Times New Roman"/>
          <w:color w:val="000000" w:themeColor="text1"/>
          <w:sz w:val="20"/>
          <w:szCs w:val="20"/>
        </w:rPr>
      </w:pPr>
    </w:p>
    <w:p w14:paraId="51BF3D1E" w14:textId="77777777" w:rsidR="00EC43ED" w:rsidRPr="000E262D" w:rsidRDefault="00EC43ED"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In the early 2000s, some ASEAN member states’ leaders made similar statements. For example, in 2002, Singapore Prime Minister Goh </w:t>
      </w:r>
      <w:proofErr w:type="spellStart"/>
      <w:r w:rsidRPr="000E262D">
        <w:rPr>
          <w:rFonts w:ascii="Times New Roman" w:hAnsi="Times New Roman" w:cs="Times New Roman"/>
          <w:color w:val="000000" w:themeColor="text1"/>
          <w:sz w:val="20"/>
          <w:szCs w:val="20"/>
        </w:rPr>
        <w:t>Chok</w:t>
      </w:r>
      <w:proofErr w:type="spellEnd"/>
      <w:r w:rsidRPr="000E262D">
        <w:rPr>
          <w:rFonts w:ascii="Times New Roman" w:hAnsi="Times New Roman" w:cs="Times New Roman"/>
          <w:color w:val="000000" w:themeColor="text1"/>
          <w:sz w:val="20"/>
          <w:szCs w:val="20"/>
        </w:rPr>
        <w:t xml:space="preserve"> Tong contended that Southeast Asia should seek to model itself on the European Economic Community of the 1950s with the creation of a single market for goods and services. He noted that ‘the first step of moving to a single market I think can be taken over time…I myself would like to see ASEAN move into a single market, as I put it, in a European Economic Community mode’.</w:t>
      </w:r>
      <w:r w:rsidRPr="000E262D">
        <w:rPr>
          <w:rStyle w:val="a7"/>
          <w:rFonts w:ascii="Times New Roman" w:hAnsi="Times New Roman" w:cs="Times New Roman"/>
          <w:color w:val="000000" w:themeColor="text1"/>
          <w:sz w:val="20"/>
          <w:szCs w:val="20"/>
        </w:rPr>
        <w:footnoteReference w:id="9"/>
      </w:r>
      <w:r w:rsidRPr="000E262D">
        <w:rPr>
          <w:rFonts w:ascii="Times New Roman" w:hAnsi="Times New Roman" w:cs="Times New Roman"/>
          <w:color w:val="000000" w:themeColor="text1"/>
          <w:sz w:val="20"/>
          <w:szCs w:val="20"/>
        </w:rPr>
        <w:t xml:space="preserve"> Furthermore, in 2003, both Prime Ministers of Thailand and Singapore attempted to ‘urge more hesitant members of ASEAN to think big’ and encouraged the region to look to Western Europe’s experience of integration, especially against the backdrop of the wake of failure of the global trade talks.</w:t>
      </w:r>
      <w:r w:rsidRPr="000E262D">
        <w:rPr>
          <w:rStyle w:val="a7"/>
          <w:rFonts w:ascii="Times New Roman" w:hAnsi="Times New Roman" w:cs="Times New Roman"/>
          <w:color w:val="000000" w:themeColor="text1"/>
          <w:sz w:val="20"/>
          <w:szCs w:val="20"/>
        </w:rPr>
        <w:footnoteReference w:id="10"/>
      </w:r>
    </w:p>
    <w:p w14:paraId="309876B9" w14:textId="77777777" w:rsidR="00EC43ED" w:rsidRPr="000E262D" w:rsidRDefault="00EC43ED" w:rsidP="008A7331">
      <w:pPr>
        <w:pStyle w:val="af3"/>
        <w:shd w:val="clear" w:color="auto" w:fill="FFFFFF"/>
        <w:spacing w:before="0" w:beforeAutospacing="0" w:after="255" w:afterAutospacing="0"/>
        <w:jc w:val="both"/>
        <w:rPr>
          <w:rFonts w:ascii="Times New Roman" w:hAnsi="Times New Roman" w:cs="Times New Roman"/>
          <w:color w:val="000000" w:themeColor="text1"/>
          <w:sz w:val="20"/>
          <w:szCs w:val="20"/>
        </w:rPr>
      </w:pPr>
    </w:p>
    <w:p w14:paraId="640F7457" w14:textId="2C635EFB" w:rsidR="00EC43ED" w:rsidRPr="000E262D" w:rsidRDefault="00EC43ED"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lastRenderedPageBreak/>
        <w:t xml:space="preserve">In addition, the outbreak of Asian Financial Crisis, along with the rise of China and other rising markets in the late 1990s constituted another impetus for ASEAN to reconsider its economic integration plan by looking at the EU’s experience. A series of guiding documents on ASEAN economic integration published in the following years demonstrates a high level of convergence with the EU’s blueprint. For instance, the ASEAN Vision 2020 published in 1997 for the first time raised the idea of a common market in ASEAN’s official discourse, implicitly acknowledging the added value of the EU’s single market. The Bali Concord II adopted in 2003 aiming to create an ASEAN Economic community explicitly stated that the objective is to establish ‘a single market and production base’ (ASEAN 2003). The wording of these documents implies that, during this phase, the overarching ideas and blueprints produced by the EU’s single market had a high degree of receptiveness in ASEAN. </w:t>
      </w:r>
    </w:p>
    <w:p w14:paraId="3FEF2557" w14:textId="77777777" w:rsidR="00EC43ED" w:rsidRPr="000E262D" w:rsidRDefault="00EC43ED" w:rsidP="008A7331">
      <w:pPr>
        <w:widowControl/>
        <w:rPr>
          <w:rFonts w:ascii="Times New Roman" w:hAnsi="Times New Roman" w:cs="Times New Roman"/>
          <w:color w:val="000000" w:themeColor="text1"/>
          <w:sz w:val="20"/>
          <w:szCs w:val="20"/>
        </w:rPr>
      </w:pPr>
    </w:p>
    <w:p w14:paraId="7C9A2BA1" w14:textId="772BBB8E" w:rsidR="00C36AB4" w:rsidRPr="000E262D" w:rsidRDefault="00EC43ED"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However, since 2007 ASEAN has become less receptive to the EU’s model of single market building. During the last decade, ASEAN’s approach to EU diffusion tends to focus on more concrete policy settings and prescriptions at the functional level. When evaluating the </w:t>
      </w:r>
      <w:r w:rsidR="00710B6A" w:rsidRPr="000E262D">
        <w:rPr>
          <w:rFonts w:ascii="Times New Roman" w:hAnsi="Times New Roman" w:cs="Times New Roman"/>
          <w:color w:val="000000" w:themeColor="text1"/>
          <w:sz w:val="20"/>
          <w:szCs w:val="20"/>
        </w:rPr>
        <w:t xml:space="preserve">effectiveness of </w:t>
      </w:r>
      <w:r w:rsidRPr="000E262D">
        <w:rPr>
          <w:rFonts w:ascii="Times New Roman" w:hAnsi="Times New Roman" w:cs="Times New Roman"/>
          <w:color w:val="000000" w:themeColor="text1"/>
          <w:sz w:val="20"/>
          <w:szCs w:val="20"/>
        </w:rPr>
        <w:t>EU</w:t>
      </w:r>
      <w:r w:rsidR="00710B6A" w:rsidRPr="000E262D">
        <w:rPr>
          <w:rFonts w:ascii="Times New Roman" w:hAnsi="Times New Roman" w:cs="Times New Roman"/>
          <w:color w:val="000000" w:themeColor="text1"/>
          <w:sz w:val="20"/>
          <w:szCs w:val="20"/>
        </w:rPr>
        <w:t xml:space="preserve"> diffusion</w:t>
      </w:r>
      <w:r w:rsidRPr="000E262D">
        <w:rPr>
          <w:rFonts w:ascii="Times New Roman" w:hAnsi="Times New Roman" w:cs="Times New Roman"/>
          <w:color w:val="000000" w:themeColor="text1"/>
          <w:sz w:val="20"/>
          <w:szCs w:val="20"/>
        </w:rPr>
        <w:t xml:space="preserve"> against the list of indicators during this timeframe, a number of key indicators </w:t>
      </w:r>
      <w:r w:rsidR="00C36AB4" w:rsidRPr="000E262D">
        <w:rPr>
          <w:rFonts w:ascii="Times New Roman" w:hAnsi="Times New Roman" w:cs="Times New Roman"/>
          <w:color w:val="000000" w:themeColor="text1"/>
          <w:sz w:val="20"/>
          <w:szCs w:val="20"/>
        </w:rPr>
        <w:t>in Tabl</w:t>
      </w:r>
      <w:r w:rsidR="00E20674" w:rsidRPr="000E262D">
        <w:rPr>
          <w:rFonts w:ascii="Times New Roman" w:hAnsi="Times New Roman" w:cs="Times New Roman"/>
          <w:color w:val="000000" w:themeColor="text1"/>
          <w:sz w:val="20"/>
          <w:szCs w:val="20"/>
        </w:rPr>
        <w:t>e</w:t>
      </w:r>
      <w:r w:rsidR="00C36AB4" w:rsidRPr="000E262D">
        <w:rPr>
          <w:rFonts w:ascii="Times New Roman" w:hAnsi="Times New Roman" w:cs="Times New Roman"/>
          <w:color w:val="000000" w:themeColor="text1"/>
          <w:sz w:val="20"/>
          <w:szCs w:val="20"/>
        </w:rPr>
        <w:t xml:space="preserve"> 1 </w:t>
      </w:r>
      <w:r w:rsidRPr="000E262D">
        <w:rPr>
          <w:rFonts w:ascii="Times New Roman" w:hAnsi="Times New Roman" w:cs="Times New Roman"/>
          <w:color w:val="000000" w:themeColor="text1"/>
          <w:sz w:val="20"/>
          <w:szCs w:val="20"/>
        </w:rPr>
        <w:t>(</w:t>
      </w:r>
      <w:r w:rsidR="00C36AB4" w:rsidRPr="000E262D">
        <w:rPr>
          <w:rFonts w:ascii="Times New Roman" w:hAnsi="Times New Roman" w:cs="Times New Roman"/>
          <w:color w:val="000000" w:themeColor="text1"/>
          <w:sz w:val="20"/>
          <w:szCs w:val="20"/>
        </w:rPr>
        <w:t>i.e.,</w:t>
      </w:r>
      <w:r w:rsidRPr="000E262D">
        <w:rPr>
          <w:rFonts w:ascii="Times New Roman" w:hAnsi="Times New Roman" w:cs="Times New Roman"/>
          <w:color w:val="000000" w:themeColor="text1"/>
          <w:sz w:val="20"/>
          <w:szCs w:val="20"/>
        </w:rPr>
        <w:t xml:space="preserve"> Indicator 1, 3 and 6) can be observed</w:t>
      </w:r>
      <w:r w:rsidR="00710B6A" w:rsidRPr="000E262D">
        <w:rPr>
          <w:rFonts w:ascii="Times New Roman" w:hAnsi="Times New Roman" w:cs="Times New Roman"/>
          <w:color w:val="000000" w:themeColor="text1"/>
          <w:sz w:val="20"/>
          <w:szCs w:val="20"/>
        </w:rPr>
        <w:t>.</w:t>
      </w:r>
      <w:r w:rsidR="00C36AB4" w:rsidRPr="000E262D">
        <w:rPr>
          <w:rFonts w:ascii="Times New Roman" w:hAnsi="Times New Roman" w:cs="Times New Roman"/>
          <w:color w:val="000000" w:themeColor="text1"/>
          <w:sz w:val="20"/>
          <w:szCs w:val="20"/>
        </w:rPr>
        <w:t xml:space="preserve"> Specifically, ASEAN has initiated and implemented various new policies in the field of economic and trade liberalization as a result of the EU’s direct support (Indicator 1). For example, with support from ARISE Plus, four integrated initiatives aiming at facilitating the building of the AEC were established and can be seen as significant evidence of EU policy </w:t>
      </w:r>
      <w:r w:rsidR="00710B6A" w:rsidRPr="000E262D">
        <w:rPr>
          <w:rFonts w:ascii="Times New Roman" w:hAnsi="Times New Roman" w:cs="Times New Roman"/>
          <w:color w:val="000000" w:themeColor="text1"/>
          <w:sz w:val="20"/>
          <w:szCs w:val="20"/>
        </w:rPr>
        <w:t>externalization</w:t>
      </w:r>
      <w:r w:rsidR="00C36AB4" w:rsidRPr="000E262D">
        <w:rPr>
          <w:rFonts w:ascii="Times New Roman" w:hAnsi="Times New Roman" w:cs="Times New Roman"/>
          <w:color w:val="000000" w:themeColor="text1"/>
          <w:sz w:val="20"/>
          <w:szCs w:val="20"/>
        </w:rPr>
        <w:t>. These four initiatives are: ASEAN Customs Transit System (ACTS), ASEAN Risk Assessment Centre for Food Safety (ARAC), ASEAN Solutions for Investments, Services and Trade (ASSIST), and ASEAN Trade Repository (ATR).</w:t>
      </w:r>
      <w:r w:rsidR="00C36AB4" w:rsidRPr="000E262D">
        <w:rPr>
          <w:rStyle w:val="a7"/>
          <w:rFonts w:ascii="Times New Roman" w:hAnsi="Times New Roman" w:cs="Times New Roman"/>
          <w:color w:val="000000" w:themeColor="text1"/>
          <w:sz w:val="20"/>
          <w:szCs w:val="20"/>
        </w:rPr>
        <w:footnoteReference w:id="11"/>
      </w:r>
      <w:r w:rsidR="00C36AB4" w:rsidRPr="000E262D">
        <w:rPr>
          <w:rFonts w:ascii="Times New Roman" w:hAnsi="Times New Roman" w:cs="Times New Roman"/>
          <w:color w:val="000000" w:themeColor="text1"/>
          <w:sz w:val="20"/>
          <w:szCs w:val="20"/>
        </w:rPr>
        <w:t xml:space="preserve"> Another telling example of the EU’s effective diffusion of specific policy initiatives can be found in ASEAN’s newly developed statistical system </w:t>
      </w:r>
      <w:proofErr w:type="spellStart"/>
      <w:r w:rsidR="00C36AB4" w:rsidRPr="000E262D">
        <w:rPr>
          <w:rFonts w:ascii="Times New Roman" w:hAnsi="Times New Roman" w:cs="Times New Roman"/>
          <w:color w:val="000000" w:themeColor="text1"/>
          <w:sz w:val="20"/>
          <w:szCs w:val="20"/>
        </w:rPr>
        <w:t>ASEANStats</w:t>
      </w:r>
      <w:proofErr w:type="spellEnd"/>
      <w:r w:rsidR="00C36AB4" w:rsidRPr="000E262D">
        <w:rPr>
          <w:rFonts w:ascii="Times New Roman" w:hAnsi="Times New Roman" w:cs="Times New Roman"/>
          <w:color w:val="000000" w:themeColor="text1"/>
          <w:sz w:val="20"/>
          <w:szCs w:val="20"/>
        </w:rPr>
        <w:t xml:space="preserve"> which draws significant lessons from the EU’s Eurostat (Interview 16). ASEAN’s progress in terms of collecting reliable and accurate statistical data to monitor the process and results of regional integration is regarded as one of ‘the biggest and most visible success story of EU-ASEAN cooperation in recent years’ (European Commission 2013a:31)</w:t>
      </w:r>
    </w:p>
    <w:p w14:paraId="4188C1A4" w14:textId="77777777" w:rsidR="00C36AB4" w:rsidRPr="000E262D" w:rsidRDefault="00C36AB4" w:rsidP="008A7331">
      <w:pPr>
        <w:widowControl/>
        <w:rPr>
          <w:rFonts w:ascii="Times New Roman" w:hAnsi="Times New Roman" w:cs="Times New Roman"/>
          <w:color w:val="000000" w:themeColor="text1"/>
          <w:sz w:val="20"/>
          <w:szCs w:val="20"/>
        </w:rPr>
      </w:pPr>
    </w:p>
    <w:p w14:paraId="367977B0" w14:textId="5D7C5323" w:rsidR="00C36AB4" w:rsidRPr="000E262D" w:rsidRDefault="00C36AB4" w:rsidP="008A7331">
      <w:pPr>
        <w:widowControl/>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Second, this research also finds that some of the EU’s policy initiatives have played a role in shaping and constructing the policy problems and agendas in ASEAN (indicator 3). For example, the EU’s practices in terms of liberalizing aviation market </w:t>
      </w:r>
      <w:r w:rsidR="00BD5CDD" w:rsidRPr="000E262D">
        <w:rPr>
          <w:rFonts w:ascii="Times New Roman" w:hAnsi="Times New Roman" w:cs="Times New Roman"/>
          <w:color w:val="000000" w:themeColor="text1"/>
          <w:sz w:val="20"/>
          <w:szCs w:val="20"/>
        </w:rPr>
        <w:t>have</w:t>
      </w:r>
      <w:r w:rsidRPr="000E262D">
        <w:rPr>
          <w:rFonts w:ascii="Times New Roman" w:hAnsi="Times New Roman" w:cs="Times New Roman"/>
          <w:color w:val="000000" w:themeColor="text1"/>
          <w:sz w:val="20"/>
          <w:szCs w:val="20"/>
        </w:rPr>
        <w:t xml:space="preserve"> been regarded as an important reference point and source of inspiration which has contributed to shaping ASEAN’s internal policy agenda of creating an ASEAN Single Aviation Market (ASAM). Specifically, ASEAN’s roadmap for the technical elements of the ASAM explicitly considers the EU’s Single European Sky Air Traffic Management Research Programme and other regional concepts and developments as a crucial reference point which may be adopted for harmonization and air traffic management procedures in ASEAN.</w:t>
      </w:r>
      <w:r w:rsidRPr="000E262D">
        <w:rPr>
          <w:rStyle w:val="a7"/>
          <w:rFonts w:ascii="Times New Roman" w:hAnsi="Times New Roman" w:cs="Times New Roman"/>
          <w:color w:val="000000" w:themeColor="text1"/>
          <w:sz w:val="20"/>
          <w:szCs w:val="20"/>
        </w:rPr>
        <w:footnoteReference w:id="12"/>
      </w:r>
      <w:r w:rsidRPr="000E262D">
        <w:rPr>
          <w:rFonts w:ascii="Times New Roman" w:hAnsi="Times New Roman" w:cs="Times New Roman"/>
          <w:color w:val="000000" w:themeColor="text1"/>
          <w:sz w:val="20"/>
          <w:szCs w:val="20"/>
        </w:rPr>
        <w:t xml:space="preserve"> Another telling example is ASEAN’s adoption of the cosmetics regulatory scheme in 2008 to improve its cosmetics harmonization based on the EU’s cosmetics control as a model (</w:t>
      </w:r>
      <w:proofErr w:type="spellStart"/>
      <w:r w:rsidRPr="000E262D">
        <w:rPr>
          <w:rFonts w:ascii="Times New Roman" w:hAnsi="Times New Roman" w:cs="Times New Roman"/>
          <w:color w:val="000000" w:themeColor="text1"/>
          <w:sz w:val="20"/>
          <w:szCs w:val="20"/>
        </w:rPr>
        <w:t>Jinachai</w:t>
      </w:r>
      <w:proofErr w:type="spellEnd"/>
      <w:r w:rsidRPr="000E262D">
        <w:rPr>
          <w:rFonts w:ascii="Times New Roman" w:hAnsi="Times New Roman" w:cs="Times New Roman"/>
          <w:color w:val="000000" w:themeColor="text1"/>
          <w:sz w:val="20"/>
          <w:szCs w:val="20"/>
        </w:rPr>
        <w:t xml:space="preserve"> </w:t>
      </w:r>
      <w:r w:rsidR="000963DB" w:rsidRPr="000E262D">
        <w:rPr>
          <w:rFonts w:ascii="Times New Roman" w:hAnsi="Times New Roman" w:cs="Times New Roman"/>
          <w:color w:val="000000" w:themeColor="text1"/>
          <w:sz w:val="20"/>
          <w:szCs w:val="20"/>
        </w:rPr>
        <w:t xml:space="preserve">and </w:t>
      </w:r>
      <w:proofErr w:type="spellStart"/>
      <w:r w:rsidR="000963DB" w:rsidRPr="000E262D">
        <w:rPr>
          <w:rFonts w:ascii="Times New Roman" w:hAnsi="Times New Roman" w:cs="Times New Roman"/>
          <w:color w:val="000000" w:themeColor="text1"/>
          <w:sz w:val="20"/>
          <w:szCs w:val="20"/>
        </w:rPr>
        <w:t>Anantachoti</w:t>
      </w:r>
      <w:proofErr w:type="spellEnd"/>
      <w:r w:rsidR="000963DB"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2014).</w:t>
      </w:r>
    </w:p>
    <w:p w14:paraId="6CF15CDF" w14:textId="77777777" w:rsidR="00C36AB4" w:rsidRPr="000E262D" w:rsidRDefault="00C36AB4" w:rsidP="008A7331">
      <w:pPr>
        <w:widowControl/>
        <w:rPr>
          <w:rFonts w:ascii="Times New Roman" w:hAnsi="Times New Roman" w:cs="Times New Roman"/>
          <w:color w:val="000000" w:themeColor="text1"/>
          <w:sz w:val="20"/>
          <w:szCs w:val="20"/>
        </w:rPr>
      </w:pPr>
    </w:p>
    <w:p w14:paraId="1B64944E" w14:textId="1922AED7" w:rsidR="00C36AB4" w:rsidRPr="000E262D" w:rsidRDefault="00C36AB4"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lastRenderedPageBreak/>
        <w:t>Additionally, the research also observes that the EU’s initiatives, especially its trade-related assistance programmes aiming to facilitate ASEAN’s economic integration, have been considered having positive impact on ASEAN (Indicator 6). According to the EU’s evaluation of trade-related assistance in third countries and interview data, various EU-initiated projects such as APRIS, ARISE, ARISE Plus, ECAP and COMPASS have received positive responses and comments from ASEAN stakeholders that involved in the programmes (European Commission 2013:668).</w:t>
      </w:r>
    </w:p>
    <w:p w14:paraId="717AA87E" w14:textId="77777777" w:rsidR="00DC3439" w:rsidRPr="000E262D" w:rsidRDefault="00DC3439" w:rsidP="008A7331">
      <w:pPr>
        <w:rPr>
          <w:rFonts w:ascii="Times New Roman" w:hAnsi="Times New Roman" w:cs="Times New Roman"/>
          <w:color w:val="000000" w:themeColor="text1"/>
          <w:sz w:val="20"/>
          <w:szCs w:val="20"/>
          <w:lang w:val="en-US"/>
        </w:rPr>
      </w:pPr>
    </w:p>
    <w:p w14:paraId="6CEBC09A" w14:textId="35E69543" w:rsidR="00D23A75" w:rsidRPr="000E262D" w:rsidRDefault="00E3708E" w:rsidP="008A7331">
      <w:pPr>
        <w:rPr>
          <w:rFonts w:ascii="Times New Roman" w:hAnsi="Times New Roman" w:cs="Times New Roman"/>
          <w:b/>
          <w:bCs/>
          <w:i/>
          <w:iCs/>
          <w:color w:val="000000" w:themeColor="text1"/>
          <w:sz w:val="20"/>
          <w:szCs w:val="20"/>
          <w:lang w:val="en-US"/>
        </w:rPr>
      </w:pPr>
      <w:r w:rsidRPr="000E262D">
        <w:rPr>
          <w:rFonts w:ascii="Times New Roman" w:hAnsi="Times New Roman" w:cs="Times New Roman"/>
          <w:b/>
          <w:bCs/>
          <w:i/>
          <w:iCs/>
          <w:color w:val="000000" w:themeColor="text1"/>
          <w:sz w:val="20"/>
          <w:szCs w:val="20"/>
          <w:lang w:val="en-US"/>
        </w:rPr>
        <w:t>Explaining the diffusion mechanisms</w:t>
      </w:r>
    </w:p>
    <w:p w14:paraId="2B48BA86" w14:textId="77777777" w:rsidR="002A53BA" w:rsidRPr="000E262D" w:rsidRDefault="002A53BA" w:rsidP="008A7331">
      <w:pPr>
        <w:rPr>
          <w:rFonts w:ascii="Times New Roman" w:hAnsi="Times New Roman" w:cs="Times New Roman"/>
          <w:color w:val="000000" w:themeColor="text1"/>
          <w:sz w:val="20"/>
          <w:szCs w:val="20"/>
        </w:rPr>
      </w:pPr>
    </w:p>
    <w:p w14:paraId="202873C8" w14:textId="4CC845E4" w:rsidR="00DE02CF" w:rsidRPr="000E262D" w:rsidRDefault="007D7505"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This section shifts its focus from the </w:t>
      </w:r>
      <w:r w:rsidR="008B57CA" w:rsidRPr="000E262D">
        <w:rPr>
          <w:rFonts w:ascii="Times New Roman" w:hAnsi="Times New Roman" w:cs="Times New Roman"/>
          <w:color w:val="000000" w:themeColor="text1"/>
          <w:sz w:val="20"/>
          <w:szCs w:val="20"/>
        </w:rPr>
        <w:t>effectiveness</w:t>
      </w:r>
      <w:r w:rsidRPr="000E262D">
        <w:rPr>
          <w:rFonts w:ascii="Times New Roman" w:hAnsi="Times New Roman" w:cs="Times New Roman"/>
          <w:color w:val="000000" w:themeColor="text1"/>
          <w:sz w:val="20"/>
          <w:szCs w:val="20"/>
        </w:rPr>
        <w:t xml:space="preserve"> of externalization towards diffusion mechanisms.</w:t>
      </w:r>
      <w:r w:rsidR="000B45B7" w:rsidRPr="000E262D">
        <w:rPr>
          <w:rFonts w:ascii="Times New Roman" w:hAnsi="Times New Roman" w:cs="Times New Roman"/>
          <w:color w:val="000000" w:themeColor="text1"/>
          <w:sz w:val="20"/>
          <w:szCs w:val="20"/>
        </w:rPr>
        <w:t xml:space="preserve"> This research reveals that the EU’s projection of normative and market power in ASEAN has relied on a combination of EU-driven and ASEAN-driven diffusion mechanisms</w:t>
      </w:r>
      <w:r w:rsidR="00E35883" w:rsidRPr="000E262D">
        <w:rPr>
          <w:rFonts w:ascii="Times New Roman" w:hAnsi="Times New Roman" w:cs="Times New Roman"/>
          <w:color w:val="000000" w:themeColor="text1"/>
          <w:sz w:val="20"/>
          <w:szCs w:val="20"/>
        </w:rPr>
        <w:t xml:space="preserve">. Specifically, </w:t>
      </w:r>
      <w:r w:rsidR="00DE02CF" w:rsidRPr="000E262D">
        <w:rPr>
          <w:rFonts w:ascii="Times New Roman" w:hAnsi="Times New Roman" w:cs="Times New Roman"/>
          <w:color w:val="000000" w:themeColor="text1"/>
          <w:sz w:val="20"/>
          <w:szCs w:val="20"/>
        </w:rPr>
        <w:t xml:space="preserve">among </w:t>
      </w:r>
      <w:r w:rsidRPr="000E262D">
        <w:rPr>
          <w:rFonts w:ascii="Times New Roman" w:hAnsi="Times New Roman" w:cs="Times New Roman"/>
          <w:color w:val="000000" w:themeColor="text1"/>
          <w:sz w:val="20"/>
          <w:szCs w:val="20"/>
        </w:rPr>
        <w:t>the sender-driven</w:t>
      </w:r>
      <w:r w:rsidR="00DE02CF" w:rsidRPr="000E262D">
        <w:rPr>
          <w:rFonts w:ascii="Times New Roman" w:hAnsi="Times New Roman" w:cs="Times New Roman"/>
          <w:color w:val="000000" w:themeColor="text1"/>
          <w:sz w:val="20"/>
          <w:szCs w:val="20"/>
        </w:rPr>
        <w:t xml:space="preserve"> mechanisms</w:t>
      </w:r>
      <w:r w:rsidRPr="000E262D">
        <w:rPr>
          <w:rFonts w:ascii="Times New Roman" w:hAnsi="Times New Roman" w:cs="Times New Roman"/>
          <w:color w:val="000000" w:themeColor="text1"/>
          <w:sz w:val="20"/>
          <w:szCs w:val="20"/>
        </w:rPr>
        <w:t xml:space="preserve"> outli</w:t>
      </w:r>
      <w:r w:rsidR="00F87B72" w:rsidRPr="000E262D">
        <w:rPr>
          <w:rFonts w:ascii="Times New Roman" w:hAnsi="Times New Roman" w:cs="Times New Roman"/>
          <w:color w:val="000000" w:themeColor="text1"/>
          <w:sz w:val="20"/>
          <w:szCs w:val="20"/>
        </w:rPr>
        <w:t>n</w:t>
      </w:r>
      <w:r w:rsidRPr="000E262D">
        <w:rPr>
          <w:rFonts w:ascii="Times New Roman" w:hAnsi="Times New Roman" w:cs="Times New Roman"/>
          <w:color w:val="000000" w:themeColor="text1"/>
          <w:sz w:val="20"/>
          <w:szCs w:val="20"/>
        </w:rPr>
        <w:t>ed in the analytical framework</w:t>
      </w:r>
      <w:r w:rsidR="00DE02CF" w:rsidRPr="000E262D">
        <w:rPr>
          <w:rFonts w:ascii="Times New Roman" w:hAnsi="Times New Roman" w:cs="Times New Roman"/>
          <w:color w:val="000000" w:themeColor="text1"/>
          <w:sz w:val="20"/>
          <w:szCs w:val="20"/>
        </w:rPr>
        <w:t>, positive incentives</w:t>
      </w:r>
      <w:r w:rsidR="00B003BC" w:rsidRPr="000E262D">
        <w:rPr>
          <w:rFonts w:ascii="Times New Roman" w:hAnsi="Times New Roman" w:cs="Times New Roman"/>
          <w:color w:val="000000" w:themeColor="text1"/>
          <w:sz w:val="20"/>
          <w:szCs w:val="20"/>
        </w:rPr>
        <w:t xml:space="preserve"> and socialization </w:t>
      </w:r>
      <w:r w:rsidRPr="000E262D">
        <w:rPr>
          <w:rFonts w:ascii="Times New Roman" w:hAnsi="Times New Roman" w:cs="Times New Roman"/>
          <w:color w:val="000000" w:themeColor="text1"/>
          <w:sz w:val="20"/>
          <w:szCs w:val="20"/>
        </w:rPr>
        <w:t>have</w:t>
      </w:r>
      <w:r w:rsidR="00DE02CF" w:rsidRPr="000E262D">
        <w:rPr>
          <w:rFonts w:ascii="Times New Roman" w:hAnsi="Times New Roman" w:cs="Times New Roman"/>
          <w:color w:val="000000" w:themeColor="text1"/>
          <w:sz w:val="20"/>
          <w:szCs w:val="20"/>
        </w:rPr>
        <w:t xml:space="preserve"> played a leading role in </w:t>
      </w:r>
      <w:r w:rsidR="00CA663C" w:rsidRPr="000E262D">
        <w:rPr>
          <w:rFonts w:ascii="Times New Roman" w:hAnsi="Times New Roman" w:cs="Times New Roman"/>
          <w:color w:val="000000" w:themeColor="text1"/>
          <w:sz w:val="20"/>
          <w:szCs w:val="20"/>
        </w:rPr>
        <w:t>the EU’s externalization of market-related</w:t>
      </w:r>
      <w:r w:rsidR="00DE02CF" w:rsidRPr="000E262D">
        <w:rPr>
          <w:rFonts w:ascii="Times New Roman" w:hAnsi="Times New Roman" w:cs="Times New Roman"/>
          <w:color w:val="000000" w:themeColor="text1"/>
          <w:sz w:val="20"/>
          <w:szCs w:val="20"/>
        </w:rPr>
        <w:t xml:space="preserve"> </w:t>
      </w:r>
      <w:r w:rsidR="00CA663C" w:rsidRPr="000E262D">
        <w:rPr>
          <w:rFonts w:ascii="Times New Roman" w:hAnsi="Times New Roman" w:cs="Times New Roman"/>
          <w:color w:val="000000" w:themeColor="text1"/>
          <w:sz w:val="20"/>
          <w:szCs w:val="20"/>
        </w:rPr>
        <w:t>norms</w:t>
      </w:r>
      <w:r w:rsidR="00DE02CF" w:rsidRPr="000E262D">
        <w:rPr>
          <w:rFonts w:ascii="Times New Roman" w:hAnsi="Times New Roman" w:cs="Times New Roman"/>
          <w:color w:val="000000" w:themeColor="text1"/>
          <w:sz w:val="20"/>
          <w:szCs w:val="20"/>
        </w:rPr>
        <w:t xml:space="preserve"> and </w:t>
      </w:r>
      <w:r w:rsidRPr="000E262D">
        <w:rPr>
          <w:rFonts w:ascii="Times New Roman" w:hAnsi="Times New Roman" w:cs="Times New Roman"/>
          <w:color w:val="000000" w:themeColor="text1"/>
          <w:sz w:val="20"/>
          <w:szCs w:val="20"/>
        </w:rPr>
        <w:t>regulatory measures</w:t>
      </w:r>
      <w:r w:rsidR="00DE02CF" w:rsidRPr="000E262D">
        <w:rPr>
          <w:rFonts w:ascii="Times New Roman" w:hAnsi="Times New Roman" w:cs="Times New Roman"/>
          <w:color w:val="000000" w:themeColor="text1"/>
          <w:sz w:val="20"/>
          <w:szCs w:val="20"/>
        </w:rPr>
        <w:t xml:space="preserve">. </w:t>
      </w:r>
      <w:r w:rsidR="00BF60F3" w:rsidRPr="000E262D">
        <w:rPr>
          <w:rFonts w:ascii="Times New Roman" w:hAnsi="Times New Roman" w:cs="Times New Roman"/>
          <w:color w:val="000000" w:themeColor="text1"/>
          <w:sz w:val="20"/>
          <w:szCs w:val="20"/>
        </w:rPr>
        <w:t>This finding departs from some existing case studies which suggest that EU-driven positive incentives and socialization play a marginalized role in the process of EU diffusion of regional integration in Southeast Asia (</w:t>
      </w:r>
      <w:proofErr w:type="spellStart"/>
      <w:r w:rsidR="00BF60F3" w:rsidRPr="000E262D">
        <w:rPr>
          <w:rFonts w:ascii="Times New Roman" w:hAnsi="Times New Roman" w:cs="Times New Roman"/>
          <w:color w:val="000000" w:themeColor="text1"/>
          <w:sz w:val="20"/>
          <w:szCs w:val="20"/>
        </w:rPr>
        <w:t>Jetschke</w:t>
      </w:r>
      <w:proofErr w:type="spellEnd"/>
      <w:r w:rsidR="00BF60F3" w:rsidRPr="000E262D">
        <w:rPr>
          <w:rFonts w:ascii="Times New Roman" w:hAnsi="Times New Roman" w:cs="Times New Roman"/>
          <w:color w:val="000000" w:themeColor="text1"/>
          <w:sz w:val="20"/>
          <w:szCs w:val="20"/>
        </w:rPr>
        <w:t xml:space="preserve"> and Murray 2012).</w:t>
      </w:r>
      <w:r w:rsidR="00E35883" w:rsidRPr="000E262D">
        <w:rPr>
          <w:rFonts w:ascii="Times New Roman" w:hAnsi="Times New Roman" w:cs="Times New Roman"/>
          <w:color w:val="000000" w:themeColor="text1"/>
          <w:sz w:val="20"/>
          <w:szCs w:val="20"/>
        </w:rPr>
        <w:t xml:space="preserve"> With regard to recipient-driven mechanisms, it is observed that ASEAN prioritized the mechanisms of competition and emulation in the early stage of AEC building, while shifting towards the mechanisms of learning in the recent decade. </w:t>
      </w:r>
    </w:p>
    <w:p w14:paraId="4AEE95F9" w14:textId="77777777" w:rsidR="00DE02CF" w:rsidRPr="000E262D" w:rsidRDefault="00DE02CF" w:rsidP="008A7331">
      <w:pPr>
        <w:rPr>
          <w:rFonts w:ascii="Times New Roman" w:hAnsi="Times New Roman" w:cs="Times New Roman"/>
          <w:color w:val="000000" w:themeColor="text1"/>
          <w:sz w:val="20"/>
          <w:szCs w:val="20"/>
        </w:rPr>
      </w:pPr>
    </w:p>
    <w:p w14:paraId="3D850AFA" w14:textId="43F8D07E" w:rsidR="00DE02CF" w:rsidRPr="000E262D" w:rsidRDefault="00F87B72"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Data collected from the </w:t>
      </w:r>
      <w:r w:rsidR="0028679F" w:rsidRPr="000E262D">
        <w:rPr>
          <w:rFonts w:ascii="Times New Roman" w:hAnsi="Times New Roman" w:cs="Times New Roman"/>
          <w:color w:val="000000" w:themeColor="text1"/>
          <w:sz w:val="20"/>
          <w:szCs w:val="20"/>
        </w:rPr>
        <w:t>research</w:t>
      </w:r>
      <w:r w:rsidRPr="000E262D">
        <w:rPr>
          <w:rFonts w:ascii="Times New Roman" w:hAnsi="Times New Roman" w:cs="Times New Roman"/>
          <w:color w:val="000000" w:themeColor="text1"/>
          <w:sz w:val="20"/>
          <w:szCs w:val="20"/>
        </w:rPr>
        <w:t xml:space="preserve"> shows that </w:t>
      </w:r>
      <w:r w:rsidR="00783320" w:rsidRPr="000E262D">
        <w:rPr>
          <w:rFonts w:ascii="Times New Roman" w:hAnsi="Times New Roman" w:cs="Times New Roman"/>
          <w:color w:val="000000" w:themeColor="text1"/>
          <w:sz w:val="20"/>
          <w:szCs w:val="20"/>
        </w:rPr>
        <w:t>t</w:t>
      </w:r>
      <w:r w:rsidR="00DE02CF" w:rsidRPr="000E262D">
        <w:rPr>
          <w:rFonts w:ascii="Times New Roman" w:hAnsi="Times New Roman" w:cs="Times New Roman"/>
          <w:color w:val="000000" w:themeColor="text1"/>
          <w:sz w:val="20"/>
          <w:szCs w:val="20"/>
        </w:rPr>
        <w:t xml:space="preserve">he EU has provided considerable financial support and technical assistance to ASEAN </w:t>
      </w:r>
      <w:r w:rsidRPr="000E262D">
        <w:rPr>
          <w:rFonts w:ascii="Times New Roman" w:hAnsi="Times New Roman" w:cs="Times New Roman"/>
          <w:color w:val="000000" w:themeColor="text1"/>
          <w:sz w:val="20"/>
          <w:szCs w:val="20"/>
        </w:rPr>
        <w:t>in order to</w:t>
      </w:r>
      <w:r w:rsidR="00DE02CF" w:rsidRPr="000E262D">
        <w:rPr>
          <w:rFonts w:ascii="Times New Roman" w:hAnsi="Times New Roman" w:cs="Times New Roman"/>
          <w:color w:val="000000" w:themeColor="text1"/>
          <w:sz w:val="20"/>
          <w:szCs w:val="20"/>
        </w:rPr>
        <w:t xml:space="preserve"> promote market liberalization and economic integration in the region. According to several EU diplomats, the EU has </w:t>
      </w:r>
      <w:r w:rsidR="000D4AF5"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spent a lot of political capital and money to support ASEAN’s economic integration</w:t>
      </w:r>
      <w:r w:rsidR="000D4AF5" w:rsidRPr="000E262D">
        <w:rPr>
          <w:rFonts w:ascii="Times New Roman" w:hAnsi="Times New Roman" w:cs="Times New Roman"/>
          <w:color w:val="000000" w:themeColor="text1"/>
          <w:sz w:val="20"/>
          <w:szCs w:val="20"/>
        </w:rPr>
        <w:t>”</w:t>
      </w:r>
      <w:r w:rsidR="00744891" w:rsidRPr="000E262D">
        <w:rPr>
          <w:rStyle w:val="a7"/>
          <w:rFonts w:ascii="Times New Roman" w:hAnsi="Times New Roman" w:cs="Times New Roman"/>
          <w:color w:val="000000" w:themeColor="text1"/>
          <w:sz w:val="20"/>
          <w:szCs w:val="20"/>
        </w:rPr>
        <w:footnoteReference w:id="13"/>
      </w:r>
      <w:r w:rsidR="00DE02CF" w:rsidRPr="000E262D">
        <w:rPr>
          <w:rFonts w:ascii="Times New Roman" w:hAnsi="Times New Roman" w:cs="Times New Roman"/>
          <w:color w:val="000000" w:themeColor="text1"/>
          <w:sz w:val="20"/>
          <w:szCs w:val="20"/>
        </w:rPr>
        <w:t xml:space="preserve"> and </w:t>
      </w:r>
      <w:r w:rsidRPr="000E262D">
        <w:rPr>
          <w:rFonts w:ascii="Times New Roman" w:hAnsi="Times New Roman" w:cs="Times New Roman"/>
          <w:color w:val="000000" w:themeColor="text1"/>
          <w:sz w:val="20"/>
          <w:szCs w:val="20"/>
        </w:rPr>
        <w:t>plans</w:t>
      </w:r>
      <w:r w:rsidR="00DE02CF" w:rsidRPr="000E262D">
        <w:rPr>
          <w:rFonts w:ascii="Times New Roman" w:hAnsi="Times New Roman" w:cs="Times New Roman"/>
          <w:color w:val="000000" w:themeColor="text1"/>
          <w:sz w:val="20"/>
          <w:szCs w:val="20"/>
        </w:rPr>
        <w:t xml:space="preserve"> to increase such support to ASEAN in the future.</w:t>
      </w:r>
      <w:r w:rsidR="00744891" w:rsidRPr="000E262D">
        <w:rPr>
          <w:rStyle w:val="a7"/>
          <w:rFonts w:ascii="Times New Roman" w:hAnsi="Times New Roman" w:cs="Times New Roman"/>
          <w:color w:val="000000" w:themeColor="text1"/>
          <w:sz w:val="20"/>
          <w:szCs w:val="20"/>
        </w:rPr>
        <w:footnoteReference w:id="14"/>
      </w:r>
      <w:r w:rsidR="00DE02CF" w:rsidRPr="000E262D">
        <w:rPr>
          <w:rFonts w:ascii="Times New Roman" w:hAnsi="Times New Roman" w:cs="Times New Roman"/>
          <w:color w:val="000000" w:themeColor="text1"/>
          <w:sz w:val="20"/>
          <w:szCs w:val="20"/>
        </w:rPr>
        <w:t xml:space="preserve"> </w:t>
      </w:r>
      <w:r w:rsidR="00B003BC" w:rsidRPr="000E262D">
        <w:rPr>
          <w:rFonts w:ascii="Times New Roman" w:hAnsi="Times New Roman" w:cs="Times New Roman"/>
          <w:color w:val="000000" w:themeColor="text1"/>
          <w:sz w:val="20"/>
          <w:szCs w:val="20"/>
        </w:rPr>
        <w:t xml:space="preserve">The </w:t>
      </w:r>
      <w:r w:rsidR="00DE02CF" w:rsidRPr="000E262D">
        <w:rPr>
          <w:rFonts w:ascii="Times New Roman" w:hAnsi="Times New Roman" w:cs="Times New Roman"/>
          <w:color w:val="000000" w:themeColor="text1"/>
          <w:sz w:val="20"/>
          <w:szCs w:val="20"/>
        </w:rPr>
        <w:t>implementation of a diverse range of T</w:t>
      </w:r>
      <w:r w:rsidR="00783320" w:rsidRPr="000E262D">
        <w:rPr>
          <w:rFonts w:ascii="Times New Roman" w:hAnsi="Times New Roman" w:cs="Times New Roman"/>
          <w:color w:val="000000" w:themeColor="text1"/>
          <w:sz w:val="20"/>
          <w:szCs w:val="20"/>
        </w:rPr>
        <w:t xml:space="preserve">rade-related </w:t>
      </w:r>
      <w:r w:rsidR="00DE02CF" w:rsidRPr="000E262D">
        <w:rPr>
          <w:rFonts w:ascii="Times New Roman" w:hAnsi="Times New Roman" w:cs="Times New Roman"/>
          <w:color w:val="000000" w:themeColor="text1"/>
          <w:sz w:val="20"/>
          <w:szCs w:val="20"/>
        </w:rPr>
        <w:t>A</w:t>
      </w:r>
      <w:r w:rsidR="0062712B" w:rsidRPr="000E262D">
        <w:rPr>
          <w:rFonts w:ascii="Times New Roman" w:hAnsi="Times New Roman" w:cs="Times New Roman"/>
          <w:color w:val="000000" w:themeColor="text1"/>
          <w:sz w:val="20"/>
          <w:szCs w:val="20"/>
        </w:rPr>
        <w:t>ssistance (TRA)</w:t>
      </w:r>
      <w:r w:rsidR="00DE02CF" w:rsidRPr="000E262D">
        <w:rPr>
          <w:rFonts w:ascii="Times New Roman" w:hAnsi="Times New Roman" w:cs="Times New Roman"/>
          <w:color w:val="000000" w:themeColor="text1"/>
          <w:sz w:val="20"/>
          <w:szCs w:val="20"/>
        </w:rPr>
        <w:t xml:space="preserve"> projects can be seen as major forms of EU-driven positive incentives.</w:t>
      </w:r>
      <w:r w:rsidR="0028679F" w:rsidRPr="000E262D">
        <w:rPr>
          <w:rFonts w:ascii="Times New Roman" w:hAnsi="Times New Roman" w:cs="Times New Roman"/>
          <w:color w:val="000000" w:themeColor="text1"/>
          <w:sz w:val="20"/>
          <w:szCs w:val="20"/>
        </w:rPr>
        <w:t xml:space="preserve"> </w:t>
      </w:r>
      <w:r w:rsidR="00BF04B9" w:rsidRPr="000E262D">
        <w:rPr>
          <w:rFonts w:ascii="Times New Roman" w:hAnsi="Times New Roman" w:cs="Times New Roman"/>
          <w:color w:val="000000" w:themeColor="text1"/>
          <w:sz w:val="20"/>
          <w:szCs w:val="20"/>
        </w:rPr>
        <w:t>Notably, b</w:t>
      </w:r>
      <w:r w:rsidR="00DE02CF" w:rsidRPr="000E262D">
        <w:rPr>
          <w:rFonts w:ascii="Times New Roman" w:hAnsi="Times New Roman" w:cs="Times New Roman"/>
          <w:color w:val="000000" w:themeColor="text1"/>
          <w:sz w:val="20"/>
          <w:szCs w:val="20"/>
        </w:rPr>
        <w:t xml:space="preserve">etween 2003 and 2018 the EU implemented over a dozen development assistance projects relating to economic and trade areas. Statistics show that between 2004 and 2010 the EU dedicated around 24.8 million </w:t>
      </w:r>
      <w:r w:rsidR="00772F4E" w:rsidRPr="000E262D">
        <w:rPr>
          <w:rFonts w:ascii="Times New Roman" w:hAnsi="Times New Roman" w:cs="Times New Roman"/>
          <w:color w:val="000000" w:themeColor="text1"/>
          <w:sz w:val="20"/>
          <w:szCs w:val="20"/>
        </w:rPr>
        <w:t xml:space="preserve">Euros </w:t>
      </w:r>
      <w:r w:rsidR="00DE02CF" w:rsidRPr="000E262D">
        <w:rPr>
          <w:rFonts w:ascii="Times New Roman" w:hAnsi="Times New Roman" w:cs="Times New Roman"/>
          <w:color w:val="000000" w:themeColor="text1"/>
          <w:sz w:val="20"/>
          <w:szCs w:val="20"/>
        </w:rPr>
        <w:t>to TRA projects in ASEAN (European Commission 2013</w:t>
      </w:r>
      <w:r w:rsidR="009C18A9"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110). Moreover, in the budget cycle of 2014–2020, the EU plans to invest 85 million </w:t>
      </w:r>
      <w:r w:rsidR="00772F4E" w:rsidRPr="000E262D">
        <w:rPr>
          <w:rFonts w:ascii="Times New Roman" w:hAnsi="Times New Roman" w:cs="Times New Roman"/>
          <w:color w:val="000000" w:themeColor="text1"/>
          <w:sz w:val="20"/>
          <w:szCs w:val="20"/>
        </w:rPr>
        <w:t xml:space="preserve">Euros </w:t>
      </w:r>
      <w:r w:rsidR="00DE02CF" w:rsidRPr="000E262D">
        <w:rPr>
          <w:rFonts w:ascii="Times New Roman" w:hAnsi="Times New Roman" w:cs="Times New Roman"/>
          <w:color w:val="000000" w:themeColor="text1"/>
          <w:sz w:val="20"/>
          <w:szCs w:val="20"/>
        </w:rPr>
        <w:t>on projects aiming to improve sustainable and inclusive economic integration in ASEAN. This figure accounts for around 43% of the EU’s overall financial assistance to ASEAN (EEAS 2015).</w:t>
      </w:r>
      <w:r w:rsidR="005B7BEE" w:rsidRPr="000E262D">
        <w:rPr>
          <w:rFonts w:ascii="Times New Roman" w:hAnsi="Times New Roman" w:cs="Times New Roman"/>
          <w:color w:val="000000" w:themeColor="text1"/>
          <w:sz w:val="20"/>
          <w:szCs w:val="20"/>
        </w:rPr>
        <w:t xml:space="preserve"> </w:t>
      </w:r>
      <w:r w:rsidR="00DE02CF" w:rsidRPr="000E262D">
        <w:rPr>
          <w:rFonts w:ascii="Times New Roman" w:hAnsi="Times New Roman" w:cs="Times New Roman"/>
          <w:color w:val="000000" w:themeColor="text1"/>
          <w:sz w:val="20"/>
          <w:szCs w:val="20"/>
        </w:rPr>
        <w:t xml:space="preserve">These TRA projects, which are characterized by the EU’s non-reciprocal financial and technical support, can therefore be regarded as </w:t>
      </w:r>
      <w:r w:rsidR="00F30CE1" w:rsidRPr="000E262D">
        <w:rPr>
          <w:rFonts w:ascii="Times New Roman" w:hAnsi="Times New Roman" w:cs="Times New Roman"/>
          <w:color w:val="000000" w:themeColor="text1"/>
          <w:sz w:val="20"/>
          <w:szCs w:val="20"/>
        </w:rPr>
        <w:t xml:space="preserve">evidence </w:t>
      </w:r>
      <w:r w:rsidR="002220CF" w:rsidRPr="000E262D">
        <w:rPr>
          <w:rFonts w:ascii="Times New Roman" w:hAnsi="Times New Roman" w:cs="Times New Roman"/>
          <w:color w:val="000000" w:themeColor="text1"/>
          <w:sz w:val="20"/>
          <w:szCs w:val="20"/>
        </w:rPr>
        <w:t>of</w:t>
      </w:r>
      <w:r w:rsidR="00DE02CF" w:rsidRPr="000E262D">
        <w:rPr>
          <w:rFonts w:ascii="Times New Roman" w:hAnsi="Times New Roman" w:cs="Times New Roman"/>
          <w:color w:val="000000" w:themeColor="text1"/>
          <w:sz w:val="20"/>
          <w:szCs w:val="20"/>
        </w:rPr>
        <w:t xml:space="preserve"> positive incentives. </w:t>
      </w:r>
    </w:p>
    <w:p w14:paraId="3402EE77" w14:textId="77777777" w:rsidR="00DE02CF" w:rsidRPr="000E262D" w:rsidRDefault="00DE02CF" w:rsidP="008A7331">
      <w:pPr>
        <w:rPr>
          <w:rFonts w:ascii="Times New Roman" w:hAnsi="Times New Roman" w:cs="Times New Roman"/>
          <w:color w:val="000000" w:themeColor="text1"/>
          <w:sz w:val="20"/>
          <w:szCs w:val="20"/>
        </w:rPr>
      </w:pPr>
    </w:p>
    <w:p w14:paraId="5C69759F" w14:textId="3AED0AD8" w:rsidR="00DE02CF" w:rsidRPr="000E262D" w:rsidRDefault="00B003BC"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Moreover,</w:t>
      </w:r>
      <w:r w:rsidR="00DE02CF"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t</w:t>
      </w:r>
      <w:r w:rsidR="00DE02CF" w:rsidRPr="000E262D">
        <w:rPr>
          <w:rFonts w:ascii="Times New Roman" w:hAnsi="Times New Roman" w:cs="Times New Roman"/>
          <w:color w:val="000000" w:themeColor="text1"/>
          <w:sz w:val="20"/>
          <w:szCs w:val="20"/>
        </w:rPr>
        <w:t>he EU’s sociali</w:t>
      </w:r>
      <w:r w:rsidR="0033247B" w:rsidRPr="000E262D">
        <w:rPr>
          <w:rFonts w:ascii="Times New Roman" w:hAnsi="Times New Roman" w:cs="Times New Roman"/>
          <w:color w:val="000000" w:themeColor="text1"/>
          <w:sz w:val="20"/>
          <w:szCs w:val="20"/>
        </w:rPr>
        <w:t>z</w:t>
      </w:r>
      <w:r w:rsidR="00DE02CF" w:rsidRPr="000E262D">
        <w:rPr>
          <w:rFonts w:ascii="Times New Roman" w:hAnsi="Times New Roman" w:cs="Times New Roman"/>
          <w:color w:val="000000" w:themeColor="text1"/>
          <w:sz w:val="20"/>
          <w:szCs w:val="20"/>
        </w:rPr>
        <w:t xml:space="preserve">ation efforts have often been intertwined with financial and technical assistance, which </w:t>
      </w:r>
      <w:r w:rsidR="005B7BEE" w:rsidRPr="000E262D">
        <w:rPr>
          <w:rFonts w:ascii="Times New Roman" w:hAnsi="Times New Roman" w:cs="Times New Roman"/>
          <w:color w:val="000000" w:themeColor="text1"/>
          <w:sz w:val="20"/>
          <w:szCs w:val="20"/>
        </w:rPr>
        <w:t>supports</w:t>
      </w:r>
      <w:r w:rsidR="00DE02CF" w:rsidRPr="000E262D">
        <w:rPr>
          <w:rFonts w:ascii="Times New Roman" w:hAnsi="Times New Roman" w:cs="Times New Roman"/>
          <w:color w:val="000000" w:themeColor="text1"/>
          <w:sz w:val="20"/>
          <w:szCs w:val="20"/>
        </w:rPr>
        <w:t xml:space="preserve"> the assumption made by diffusion research that diffusion mechanism boundaries are often blurred in practice. EU-initiated sociali</w:t>
      </w:r>
      <w:r w:rsidR="009A18F6" w:rsidRPr="000E262D">
        <w:rPr>
          <w:rFonts w:ascii="Times New Roman" w:hAnsi="Times New Roman" w:cs="Times New Roman"/>
          <w:color w:val="000000" w:themeColor="text1"/>
          <w:sz w:val="20"/>
          <w:szCs w:val="20"/>
        </w:rPr>
        <w:t>z</w:t>
      </w:r>
      <w:r w:rsidR="00DE02CF" w:rsidRPr="000E262D">
        <w:rPr>
          <w:rFonts w:ascii="Times New Roman" w:hAnsi="Times New Roman" w:cs="Times New Roman"/>
          <w:color w:val="000000" w:themeColor="text1"/>
          <w:sz w:val="20"/>
          <w:szCs w:val="20"/>
        </w:rPr>
        <w:t>ation can be found in most TRA projects, in which the exchange of information, ideas</w:t>
      </w:r>
      <w:r w:rsidR="00580139"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and experiences takes place between EU experts and ASEAN stakeholders. Numerous TRA projects, such as ARISE Plus, COMPASS</w:t>
      </w:r>
      <w:r w:rsidR="00A94812"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and ECAP, include a large number of seminars, workshops</w:t>
      </w:r>
      <w:r w:rsidR="00A94812"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or study visits</w:t>
      </w:r>
      <w:r w:rsidR="00A94812"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where EU officials and diplomats can</w:t>
      </w:r>
      <w:r w:rsidR="007358A0" w:rsidRPr="000E262D">
        <w:rPr>
          <w:rFonts w:ascii="Times New Roman" w:hAnsi="Times New Roman" w:cs="Times New Roman"/>
          <w:color w:val="000000" w:themeColor="text1"/>
          <w:sz w:val="20"/>
          <w:szCs w:val="20"/>
        </w:rPr>
        <w:t xml:space="preserve"> share the union’s best practices and knowledge with ASEAN.</w:t>
      </w:r>
      <w:r w:rsidR="0033247B" w:rsidRPr="000E262D">
        <w:rPr>
          <w:rStyle w:val="a7"/>
          <w:rFonts w:ascii="Times New Roman" w:hAnsi="Times New Roman" w:cs="Times New Roman"/>
          <w:color w:val="000000" w:themeColor="text1"/>
          <w:sz w:val="20"/>
          <w:szCs w:val="20"/>
        </w:rPr>
        <w:footnoteReference w:id="15"/>
      </w:r>
      <w:r w:rsidR="007358A0" w:rsidRPr="000E262D">
        <w:rPr>
          <w:rFonts w:ascii="Times New Roman" w:hAnsi="Times New Roman" w:cs="Times New Roman"/>
          <w:color w:val="000000" w:themeColor="text1"/>
          <w:sz w:val="20"/>
          <w:szCs w:val="20"/>
        </w:rPr>
        <w:t xml:space="preserve"> </w:t>
      </w:r>
      <w:r w:rsidR="00DE02CF" w:rsidRPr="000E262D">
        <w:rPr>
          <w:rFonts w:ascii="Times New Roman" w:hAnsi="Times New Roman" w:cs="Times New Roman"/>
          <w:color w:val="000000" w:themeColor="text1"/>
          <w:sz w:val="20"/>
          <w:szCs w:val="20"/>
        </w:rPr>
        <w:t>For example, under the COMPASS project, sociali</w:t>
      </w:r>
      <w:r w:rsidR="0033247B" w:rsidRPr="000E262D">
        <w:rPr>
          <w:rFonts w:ascii="Times New Roman" w:hAnsi="Times New Roman" w:cs="Times New Roman"/>
          <w:color w:val="000000" w:themeColor="text1"/>
          <w:sz w:val="20"/>
          <w:szCs w:val="20"/>
        </w:rPr>
        <w:t>z</w:t>
      </w:r>
      <w:r w:rsidR="00DE02CF" w:rsidRPr="000E262D">
        <w:rPr>
          <w:rFonts w:ascii="Times New Roman" w:hAnsi="Times New Roman" w:cs="Times New Roman"/>
          <w:color w:val="000000" w:themeColor="text1"/>
          <w:sz w:val="20"/>
          <w:szCs w:val="20"/>
        </w:rPr>
        <w:t xml:space="preserve">ation efforts took the form of </w:t>
      </w:r>
      <w:r w:rsidR="00A94812"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technical cooperation to provide advisory services, studies, </w:t>
      </w:r>
      <w:r w:rsidR="00DE02CF" w:rsidRPr="000E262D">
        <w:rPr>
          <w:rFonts w:ascii="Times New Roman" w:hAnsi="Times New Roman" w:cs="Times New Roman"/>
          <w:color w:val="000000" w:themeColor="text1"/>
          <w:sz w:val="20"/>
          <w:szCs w:val="20"/>
        </w:rPr>
        <w:lastRenderedPageBreak/>
        <w:t xml:space="preserve">workshops, to key officials of ASEAN Member States and the ASEAN Secretariat officers (National Statistical Offices, Customs, Central Banks, </w:t>
      </w:r>
      <w:proofErr w:type="spellStart"/>
      <w:r w:rsidR="00DE02CF" w:rsidRPr="000E262D">
        <w:rPr>
          <w:rFonts w:ascii="Times New Roman" w:hAnsi="Times New Roman" w:cs="Times New Roman"/>
          <w:color w:val="000000" w:themeColor="text1"/>
          <w:sz w:val="20"/>
          <w:szCs w:val="20"/>
        </w:rPr>
        <w:t>ASEANstates</w:t>
      </w:r>
      <w:proofErr w:type="spellEnd"/>
      <w:r w:rsidR="00DE02CF" w:rsidRPr="000E262D">
        <w:rPr>
          <w:rFonts w:ascii="Times New Roman" w:hAnsi="Times New Roman" w:cs="Times New Roman"/>
          <w:color w:val="000000" w:themeColor="text1"/>
          <w:sz w:val="20"/>
          <w:szCs w:val="20"/>
        </w:rPr>
        <w:t>)</w:t>
      </w:r>
      <w:r w:rsidR="00A94812" w:rsidRPr="000E262D">
        <w:rPr>
          <w:rFonts w:ascii="Times New Roman" w:hAnsi="Times New Roman" w:cs="Times New Roman"/>
          <w:color w:val="000000" w:themeColor="text1"/>
          <w:sz w:val="20"/>
          <w:szCs w:val="20"/>
        </w:rPr>
        <w:t xml:space="preserve">” </w:t>
      </w:r>
      <w:r w:rsidR="00DE02CF" w:rsidRPr="000E262D">
        <w:rPr>
          <w:rFonts w:ascii="Times New Roman" w:hAnsi="Times New Roman" w:cs="Times New Roman"/>
          <w:color w:val="000000" w:themeColor="text1"/>
          <w:sz w:val="20"/>
          <w:szCs w:val="20"/>
        </w:rPr>
        <w:t xml:space="preserve">(EU–ASEAN COMPASS 2013). In a similar vein, </w:t>
      </w:r>
      <w:r w:rsidR="00A94812" w:rsidRPr="000E262D">
        <w:rPr>
          <w:rFonts w:ascii="Times New Roman" w:hAnsi="Times New Roman" w:cs="Times New Roman"/>
          <w:color w:val="000000" w:themeColor="text1"/>
          <w:sz w:val="20"/>
          <w:szCs w:val="20"/>
        </w:rPr>
        <w:t xml:space="preserve">the </w:t>
      </w:r>
      <w:r w:rsidR="00DE02CF" w:rsidRPr="000E262D">
        <w:rPr>
          <w:rFonts w:ascii="Times New Roman" w:hAnsi="Times New Roman" w:cs="Times New Roman"/>
          <w:color w:val="000000" w:themeColor="text1"/>
          <w:sz w:val="20"/>
          <w:szCs w:val="20"/>
        </w:rPr>
        <w:t>ARISE Plus</w:t>
      </w:r>
      <w:r w:rsidR="00137B70" w:rsidRPr="000E262D">
        <w:rPr>
          <w:rFonts w:ascii="Times New Roman" w:hAnsi="Times New Roman" w:cs="Times New Roman"/>
          <w:color w:val="000000" w:themeColor="text1"/>
          <w:sz w:val="20"/>
          <w:szCs w:val="20"/>
        </w:rPr>
        <w:t xml:space="preserve"> project</w:t>
      </w:r>
      <w:r w:rsidR="00DE02CF" w:rsidRPr="000E262D">
        <w:rPr>
          <w:rFonts w:ascii="Times New Roman" w:hAnsi="Times New Roman" w:cs="Times New Roman"/>
          <w:color w:val="000000" w:themeColor="text1"/>
          <w:sz w:val="20"/>
          <w:szCs w:val="20"/>
        </w:rPr>
        <w:t xml:space="preserve"> has involved obvious EU-driven socialisation efforts, exemplified by various types of workshops, roundtable discussions, seminars</w:t>
      </w:r>
      <w:r w:rsidR="00A94812"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and forums on issues such as </w:t>
      </w:r>
      <w:r w:rsidR="007358A0" w:rsidRPr="000E262D">
        <w:rPr>
          <w:rFonts w:ascii="Times New Roman" w:hAnsi="Times New Roman" w:cs="Times New Roman"/>
          <w:color w:val="000000" w:themeColor="text1"/>
          <w:sz w:val="20"/>
          <w:szCs w:val="20"/>
        </w:rPr>
        <w:t>non-tariff measures (NTMs)</w:t>
      </w:r>
      <w:r w:rsidR="00DE02CF" w:rsidRPr="000E262D">
        <w:rPr>
          <w:rFonts w:ascii="Times New Roman" w:hAnsi="Times New Roman" w:cs="Times New Roman"/>
          <w:color w:val="000000" w:themeColor="text1"/>
          <w:sz w:val="20"/>
          <w:szCs w:val="20"/>
        </w:rPr>
        <w:t>, trade statistics</w:t>
      </w:r>
      <w:r w:rsidR="00A94812"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and customs transit systems.</w:t>
      </w:r>
      <w:r w:rsidR="00DE02CF" w:rsidRPr="000E262D">
        <w:rPr>
          <w:rFonts w:ascii="Times New Roman" w:hAnsi="Times New Roman" w:cs="Times New Roman"/>
          <w:color w:val="000000" w:themeColor="text1"/>
          <w:sz w:val="20"/>
          <w:szCs w:val="20"/>
          <w:vertAlign w:val="superscript"/>
        </w:rPr>
        <w:footnoteReference w:id="16"/>
      </w:r>
      <w:r w:rsidR="00DE02CF" w:rsidRPr="000E262D">
        <w:rPr>
          <w:rFonts w:ascii="Times New Roman" w:hAnsi="Times New Roman" w:cs="Times New Roman"/>
          <w:color w:val="000000" w:themeColor="text1"/>
          <w:sz w:val="20"/>
          <w:szCs w:val="20"/>
        </w:rPr>
        <w:t xml:space="preserve"> </w:t>
      </w:r>
      <w:r w:rsidR="005874C4" w:rsidRPr="000E262D">
        <w:rPr>
          <w:rFonts w:ascii="Times New Roman" w:hAnsi="Times New Roman" w:cs="Times New Roman"/>
          <w:color w:val="000000" w:themeColor="text1"/>
          <w:sz w:val="20"/>
          <w:szCs w:val="20"/>
        </w:rPr>
        <w:t>With</w:t>
      </w:r>
      <w:r w:rsidR="00137B70" w:rsidRPr="000E262D">
        <w:rPr>
          <w:rFonts w:ascii="Times New Roman" w:hAnsi="Times New Roman" w:cs="Times New Roman"/>
          <w:color w:val="000000" w:themeColor="text1"/>
          <w:sz w:val="20"/>
          <w:szCs w:val="20"/>
        </w:rPr>
        <w:t xml:space="preserve"> a dynamic combination of financial</w:t>
      </w:r>
      <w:r w:rsidR="007358A0" w:rsidRPr="000E262D">
        <w:rPr>
          <w:rFonts w:ascii="Times New Roman" w:hAnsi="Times New Roman" w:cs="Times New Roman"/>
          <w:color w:val="000000" w:themeColor="text1"/>
          <w:sz w:val="20"/>
          <w:szCs w:val="20"/>
        </w:rPr>
        <w:t xml:space="preserve"> and </w:t>
      </w:r>
      <w:r w:rsidR="00137B70" w:rsidRPr="000E262D">
        <w:rPr>
          <w:rFonts w:ascii="Times New Roman" w:hAnsi="Times New Roman" w:cs="Times New Roman"/>
          <w:color w:val="000000" w:themeColor="text1"/>
          <w:sz w:val="20"/>
          <w:szCs w:val="20"/>
        </w:rPr>
        <w:t>technical support and information sharing, ARISE Plus serves as a flagship project</w:t>
      </w:r>
      <w:r w:rsidR="005874C4" w:rsidRPr="000E262D">
        <w:rPr>
          <w:rFonts w:ascii="Times New Roman" w:hAnsi="Times New Roman" w:cs="Times New Roman"/>
          <w:color w:val="000000" w:themeColor="text1"/>
          <w:sz w:val="20"/>
          <w:szCs w:val="20"/>
        </w:rPr>
        <w:t xml:space="preserve"> through which the EU promote</w:t>
      </w:r>
      <w:r w:rsidR="00A94812" w:rsidRPr="000E262D">
        <w:rPr>
          <w:rFonts w:ascii="Times New Roman" w:hAnsi="Times New Roman" w:cs="Times New Roman"/>
          <w:color w:val="000000" w:themeColor="text1"/>
          <w:sz w:val="20"/>
          <w:szCs w:val="20"/>
        </w:rPr>
        <w:t>s</w:t>
      </w:r>
      <w:r w:rsidR="005874C4" w:rsidRPr="000E262D">
        <w:rPr>
          <w:rFonts w:ascii="Times New Roman" w:hAnsi="Times New Roman" w:cs="Times New Roman"/>
          <w:color w:val="000000" w:themeColor="text1"/>
          <w:sz w:val="20"/>
          <w:szCs w:val="20"/>
        </w:rPr>
        <w:t xml:space="preserve"> the idea of economic regionalism and externalizes its policies and regulations especially in terms of trade facilitation and transparency, standards and conformity assessment, customs, transport and ACTS, as well as economic integration monitoring and statistics (ASEAN Plus 2020).</w:t>
      </w:r>
    </w:p>
    <w:p w14:paraId="79D5524D" w14:textId="77777777" w:rsidR="008E585C" w:rsidRPr="000E262D" w:rsidRDefault="008E585C" w:rsidP="008A7331">
      <w:pPr>
        <w:rPr>
          <w:rFonts w:ascii="Times New Roman" w:hAnsi="Times New Roman" w:cs="Times New Roman"/>
          <w:color w:val="000000" w:themeColor="text1"/>
          <w:sz w:val="20"/>
          <w:szCs w:val="20"/>
        </w:rPr>
      </w:pPr>
    </w:p>
    <w:p w14:paraId="67734D02" w14:textId="1C9706FB"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When </w:t>
      </w:r>
      <w:r w:rsidR="00BD5A1D" w:rsidRPr="000E262D">
        <w:rPr>
          <w:rFonts w:ascii="Times New Roman" w:hAnsi="Times New Roman" w:cs="Times New Roman"/>
          <w:color w:val="000000" w:themeColor="text1"/>
          <w:sz w:val="20"/>
          <w:szCs w:val="20"/>
        </w:rPr>
        <w:t>assessing</w:t>
      </w:r>
      <w:r w:rsidRPr="000E262D">
        <w:rPr>
          <w:rFonts w:ascii="Times New Roman" w:hAnsi="Times New Roman" w:cs="Times New Roman"/>
          <w:color w:val="000000" w:themeColor="text1"/>
          <w:sz w:val="20"/>
          <w:szCs w:val="20"/>
        </w:rPr>
        <w:t xml:space="preserve"> ASEAN-driven diffusion mechanisms, this </w:t>
      </w:r>
      <w:r w:rsidR="002220CF" w:rsidRPr="000E262D">
        <w:rPr>
          <w:rFonts w:ascii="Times New Roman" w:hAnsi="Times New Roman" w:cs="Times New Roman"/>
          <w:color w:val="000000" w:themeColor="text1"/>
          <w:sz w:val="20"/>
          <w:szCs w:val="20"/>
        </w:rPr>
        <w:t>study</w:t>
      </w:r>
      <w:r w:rsidRPr="000E262D">
        <w:rPr>
          <w:rFonts w:ascii="Times New Roman" w:hAnsi="Times New Roman" w:cs="Times New Roman"/>
          <w:color w:val="000000" w:themeColor="text1"/>
          <w:sz w:val="20"/>
          <w:szCs w:val="20"/>
        </w:rPr>
        <w:t xml:space="preserve"> finds that ASEAN’s reaction to </w:t>
      </w:r>
      <w:r w:rsidR="00781EA0" w:rsidRPr="000E262D">
        <w:rPr>
          <w:rFonts w:ascii="Times New Roman" w:hAnsi="Times New Roman" w:cs="Times New Roman"/>
          <w:color w:val="000000" w:themeColor="text1"/>
          <w:sz w:val="20"/>
          <w:szCs w:val="20"/>
        </w:rPr>
        <w:t xml:space="preserve">the </w:t>
      </w:r>
      <w:r w:rsidRPr="000E262D">
        <w:rPr>
          <w:rFonts w:ascii="Times New Roman" w:hAnsi="Times New Roman" w:cs="Times New Roman"/>
          <w:color w:val="000000" w:themeColor="text1"/>
          <w:sz w:val="20"/>
          <w:szCs w:val="20"/>
        </w:rPr>
        <w:t>EU</w:t>
      </w:r>
      <w:r w:rsidR="002220CF" w:rsidRPr="000E262D">
        <w:rPr>
          <w:rFonts w:ascii="Times New Roman" w:hAnsi="Times New Roman" w:cs="Times New Roman"/>
          <w:color w:val="000000" w:themeColor="text1"/>
          <w:sz w:val="20"/>
          <w:szCs w:val="20"/>
        </w:rPr>
        <w:t>’s promotion of economic liberalism</w:t>
      </w:r>
      <w:r w:rsidRPr="000E262D">
        <w:rPr>
          <w:rFonts w:ascii="Times New Roman" w:hAnsi="Times New Roman" w:cs="Times New Roman"/>
          <w:color w:val="000000" w:themeColor="text1"/>
          <w:sz w:val="20"/>
          <w:szCs w:val="20"/>
        </w:rPr>
        <w:t xml:space="preserve"> </w:t>
      </w:r>
      <w:r w:rsidR="00BD5A1D" w:rsidRPr="000E262D">
        <w:rPr>
          <w:rFonts w:ascii="Times New Roman" w:hAnsi="Times New Roman" w:cs="Times New Roman"/>
          <w:color w:val="000000" w:themeColor="text1"/>
          <w:sz w:val="20"/>
          <w:szCs w:val="20"/>
        </w:rPr>
        <w:t>has shifted over time.</w:t>
      </w:r>
      <w:r w:rsidRPr="000E262D">
        <w:rPr>
          <w:rFonts w:ascii="Times New Roman" w:hAnsi="Times New Roman" w:cs="Times New Roman"/>
          <w:color w:val="000000" w:themeColor="text1"/>
          <w:sz w:val="20"/>
          <w:szCs w:val="20"/>
        </w:rPr>
        <w:t xml:space="preserve"> </w:t>
      </w:r>
      <w:r w:rsidR="00E20674" w:rsidRPr="000E262D">
        <w:rPr>
          <w:rFonts w:ascii="Times New Roman" w:hAnsi="Times New Roman" w:cs="Times New Roman"/>
          <w:color w:val="000000" w:themeColor="text1"/>
          <w:sz w:val="20"/>
          <w:szCs w:val="20"/>
        </w:rPr>
        <w:t xml:space="preserve">As mentioned </w:t>
      </w:r>
      <w:r w:rsidR="0028679F" w:rsidRPr="000E262D">
        <w:rPr>
          <w:rFonts w:ascii="Times New Roman" w:hAnsi="Times New Roman" w:cs="Times New Roman"/>
          <w:color w:val="000000" w:themeColor="text1"/>
          <w:sz w:val="20"/>
          <w:szCs w:val="20"/>
        </w:rPr>
        <w:t>earlier,</w:t>
      </w:r>
      <w:r w:rsidR="002220CF" w:rsidRPr="000E262D">
        <w:rPr>
          <w:rFonts w:ascii="Times New Roman" w:hAnsi="Times New Roman" w:cs="Times New Roman"/>
          <w:color w:val="000000" w:themeColor="text1"/>
          <w:sz w:val="20"/>
          <w:szCs w:val="20"/>
        </w:rPr>
        <w:t xml:space="preserve"> </w:t>
      </w:r>
      <w:r w:rsidR="00BD5A1D" w:rsidRPr="000E262D">
        <w:rPr>
          <w:rFonts w:ascii="Times New Roman" w:hAnsi="Times New Roman" w:cs="Times New Roman"/>
          <w:color w:val="000000" w:themeColor="text1"/>
          <w:sz w:val="20"/>
          <w:szCs w:val="20"/>
        </w:rPr>
        <w:t>between the</w:t>
      </w:r>
      <w:r w:rsidRPr="000E262D">
        <w:rPr>
          <w:rFonts w:ascii="Times New Roman" w:hAnsi="Times New Roman" w:cs="Times New Roman"/>
          <w:color w:val="000000" w:themeColor="text1"/>
          <w:sz w:val="20"/>
          <w:szCs w:val="20"/>
        </w:rPr>
        <w:t xml:space="preserve"> late 1990s </w:t>
      </w:r>
      <w:r w:rsidR="00BD5A1D" w:rsidRPr="000E262D">
        <w:rPr>
          <w:rFonts w:ascii="Times New Roman" w:hAnsi="Times New Roman" w:cs="Times New Roman"/>
          <w:color w:val="000000" w:themeColor="text1"/>
          <w:sz w:val="20"/>
          <w:szCs w:val="20"/>
        </w:rPr>
        <w:t>and</w:t>
      </w:r>
      <w:r w:rsidRPr="000E262D">
        <w:rPr>
          <w:rFonts w:ascii="Times New Roman" w:hAnsi="Times New Roman" w:cs="Times New Roman"/>
          <w:color w:val="000000" w:themeColor="text1"/>
          <w:sz w:val="20"/>
          <w:szCs w:val="20"/>
        </w:rPr>
        <w:t xml:space="preserve"> 2007, ASEAN tended to imitate the EU’s </w:t>
      </w:r>
      <w:r w:rsidR="002220CF" w:rsidRPr="000E262D">
        <w:rPr>
          <w:rFonts w:ascii="Times New Roman" w:hAnsi="Times New Roman" w:cs="Times New Roman"/>
          <w:color w:val="000000" w:themeColor="text1"/>
          <w:sz w:val="20"/>
          <w:szCs w:val="20"/>
        </w:rPr>
        <w:t>overarching idea of economic liberalism</w:t>
      </w:r>
      <w:r w:rsidR="0028679F" w:rsidRPr="000E262D">
        <w:rPr>
          <w:rFonts w:ascii="Times New Roman" w:hAnsi="Times New Roman" w:cs="Times New Roman"/>
          <w:color w:val="000000" w:themeColor="text1"/>
          <w:sz w:val="20"/>
          <w:szCs w:val="20"/>
        </w:rPr>
        <w:t xml:space="preserve"> and</w:t>
      </w:r>
      <w:r w:rsidR="003D155A"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single market</w:t>
      </w:r>
      <w:r w:rsidR="003D155A" w:rsidRPr="000E262D">
        <w:rPr>
          <w:rFonts w:ascii="Times New Roman" w:hAnsi="Times New Roman" w:cs="Times New Roman"/>
          <w:color w:val="000000" w:themeColor="text1"/>
          <w:sz w:val="20"/>
          <w:szCs w:val="20"/>
        </w:rPr>
        <w:t xml:space="preserve"> model</w:t>
      </w:r>
      <w:r w:rsidRPr="000E262D">
        <w:rPr>
          <w:rFonts w:ascii="Times New Roman" w:hAnsi="Times New Roman" w:cs="Times New Roman"/>
          <w:color w:val="000000" w:themeColor="text1"/>
          <w:sz w:val="20"/>
          <w:szCs w:val="20"/>
        </w:rPr>
        <w:t xml:space="preserve">. </w:t>
      </w:r>
      <w:r w:rsidR="00BD5A1D" w:rsidRPr="000E262D">
        <w:rPr>
          <w:rFonts w:ascii="Times New Roman" w:hAnsi="Times New Roman" w:cs="Times New Roman"/>
          <w:color w:val="000000" w:themeColor="text1"/>
          <w:sz w:val="20"/>
          <w:szCs w:val="20"/>
        </w:rPr>
        <w:t>In this phase, t</w:t>
      </w:r>
      <w:r w:rsidRPr="000E262D">
        <w:rPr>
          <w:rFonts w:ascii="Times New Roman" w:hAnsi="Times New Roman" w:cs="Times New Roman"/>
          <w:color w:val="000000" w:themeColor="text1"/>
          <w:sz w:val="20"/>
          <w:szCs w:val="20"/>
        </w:rPr>
        <w:t>wo specific mechanisms</w:t>
      </w:r>
      <w:r w:rsidR="0064458D"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competition and emulation</w:t>
      </w:r>
      <w:r w:rsidR="0064458D"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played a crucial role in ASEAN’s internalization of EU-like ideas of economic liberalism</w:t>
      </w:r>
      <w:r w:rsidR="00E0423B" w:rsidRPr="000E262D">
        <w:rPr>
          <w:rFonts w:ascii="Times New Roman" w:hAnsi="Times New Roman" w:cs="Times New Roman"/>
          <w:color w:val="000000" w:themeColor="text1"/>
          <w:sz w:val="20"/>
          <w:szCs w:val="20"/>
        </w:rPr>
        <w:t xml:space="preserve"> and governance model</w:t>
      </w:r>
      <w:r w:rsidR="00BD5A1D" w:rsidRPr="000E262D">
        <w:rPr>
          <w:rFonts w:ascii="Times New Roman" w:hAnsi="Times New Roman" w:cs="Times New Roman"/>
          <w:color w:val="000000" w:themeColor="text1"/>
          <w:sz w:val="20"/>
          <w:szCs w:val="20"/>
        </w:rPr>
        <w:t>.</w:t>
      </w:r>
      <w:r w:rsidR="0028679F"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One important reason behind ASEAN’s institutional adaptation and the idea of AEC lies in ASEAN leaders’ fear of losing global competitiveness after the financial crisis.</w:t>
      </w:r>
      <w:r w:rsidR="00C5044E" w:rsidRPr="000E262D">
        <w:rPr>
          <w:rStyle w:val="a7"/>
          <w:rFonts w:ascii="Times New Roman" w:hAnsi="Times New Roman" w:cs="Times New Roman"/>
          <w:color w:val="000000" w:themeColor="text1"/>
          <w:sz w:val="20"/>
          <w:szCs w:val="20"/>
        </w:rPr>
        <w:footnoteReference w:id="17"/>
      </w:r>
      <w:r w:rsidRPr="000E262D">
        <w:rPr>
          <w:rFonts w:ascii="Times New Roman" w:hAnsi="Times New Roman" w:cs="Times New Roman"/>
          <w:color w:val="000000" w:themeColor="text1"/>
          <w:sz w:val="20"/>
          <w:szCs w:val="20"/>
        </w:rPr>
        <w:t xml:space="preserve"> </w:t>
      </w:r>
      <w:r w:rsidR="004D334B" w:rsidRPr="000E262D">
        <w:rPr>
          <w:rFonts w:ascii="Times New Roman" w:hAnsi="Times New Roman" w:cs="Times New Roman"/>
          <w:color w:val="000000" w:themeColor="text1"/>
          <w:sz w:val="20"/>
          <w:szCs w:val="20"/>
        </w:rPr>
        <w:t>T</w:t>
      </w:r>
      <w:r w:rsidRPr="000E262D">
        <w:rPr>
          <w:rFonts w:ascii="Times New Roman" w:hAnsi="Times New Roman" w:cs="Times New Roman"/>
          <w:color w:val="000000" w:themeColor="text1"/>
          <w:sz w:val="20"/>
          <w:szCs w:val="20"/>
        </w:rPr>
        <w:t xml:space="preserve">he necessity for ASEAN to strengthen its comparative advantage after the financial crisis constituted an important rationale for embracing deeper economic liberalization and integration. In such a situation, the EU’s norms and models of economic </w:t>
      </w:r>
      <w:r w:rsidR="004D334B" w:rsidRPr="000E262D">
        <w:rPr>
          <w:rFonts w:ascii="Times New Roman" w:hAnsi="Times New Roman" w:cs="Times New Roman"/>
          <w:color w:val="000000" w:themeColor="text1"/>
          <w:sz w:val="20"/>
          <w:szCs w:val="20"/>
        </w:rPr>
        <w:t>integration</w:t>
      </w:r>
      <w:r w:rsidRPr="000E262D">
        <w:rPr>
          <w:rFonts w:ascii="Times New Roman" w:hAnsi="Times New Roman" w:cs="Times New Roman"/>
          <w:color w:val="000000" w:themeColor="text1"/>
          <w:sz w:val="20"/>
          <w:szCs w:val="20"/>
        </w:rPr>
        <w:t xml:space="preserve"> stood out as </w:t>
      </w:r>
      <w:r w:rsidR="00146BDB"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best </w:t>
      </w:r>
      <w:r w:rsidR="00146BDB" w:rsidRPr="000E262D">
        <w:rPr>
          <w:rFonts w:ascii="Times New Roman" w:hAnsi="Times New Roman" w:cs="Times New Roman"/>
          <w:color w:val="000000" w:themeColor="text1"/>
          <w:sz w:val="20"/>
          <w:szCs w:val="20"/>
        </w:rPr>
        <w:t xml:space="preserve">practices” </w:t>
      </w:r>
      <w:r w:rsidRPr="000E262D">
        <w:rPr>
          <w:rFonts w:ascii="Times New Roman" w:hAnsi="Times New Roman" w:cs="Times New Roman"/>
          <w:color w:val="000000" w:themeColor="text1"/>
          <w:sz w:val="20"/>
          <w:szCs w:val="20"/>
        </w:rPr>
        <w:t>that ASEAN wanted to draw on.</w:t>
      </w:r>
      <w:r w:rsidR="00C5044E" w:rsidRPr="000E262D">
        <w:rPr>
          <w:rStyle w:val="a7"/>
          <w:rFonts w:ascii="Times New Roman" w:hAnsi="Times New Roman" w:cs="Times New Roman"/>
          <w:color w:val="000000" w:themeColor="text1"/>
          <w:sz w:val="20"/>
          <w:szCs w:val="20"/>
        </w:rPr>
        <w:footnoteReference w:id="18"/>
      </w:r>
      <w:r w:rsidRPr="000E262D">
        <w:rPr>
          <w:rFonts w:ascii="Times New Roman" w:hAnsi="Times New Roman" w:cs="Times New Roman"/>
          <w:color w:val="000000" w:themeColor="text1"/>
          <w:sz w:val="20"/>
          <w:szCs w:val="20"/>
        </w:rPr>
        <w:t xml:space="preserve"> As </w:t>
      </w:r>
      <w:r w:rsidR="00C5044E" w:rsidRPr="000E262D">
        <w:rPr>
          <w:rFonts w:ascii="Times New Roman" w:hAnsi="Times New Roman" w:cs="Times New Roman"/>
          <w:color w:val="000000" w:themeColor="text1"/>
          <w:sz w:val="20"/>
          <w:szCs w:val="20"/>
        </w:rPr>
        <w:t xml:space="preserve">one </w:t>
      </w:r>
      <w:r w:rsidRPr="000E262D">
        <w:rPr>
          <w:rFonts w:ascii="Times New Roman" w:hAnsi="Times New Roman" w:cs="Times New Roman"/>
          <w:color w:val="000000" w:themeColor="text1"/>
          <w:sz w:val="20"/>
          <w:szCs w:val="20"/>
        </w:rPr>
        <w:t>former ASEAN diplomat recognized, in the early years of AEC formation, the EU provided a lot of inspiration for ASEAN, given the EU’s successful experience of integration and economic prosperity.</w:t>
      </w:r>
      <w:r w:rsidR="00C5044E" w:rsidRPr="000E262D">
        <w:rPr>
          <w:rStyle w:val="a7"/>
          <w:rFonts w:ascii="Times New Roman" w:hAnsi="Times New Roman" w:cs="Times New Roman"/>
          <w:color w:val="000000" w:themeColor="text1"/>
          <w:sz w:val="20"/>
          <w:szCs w:val="20"/>
        </w:rPr>
        <w:footnoteReference w:id="19"/>
      </w:r>
      <w:r w:rsidRPr="000E262D">
        <w:rPr>
          <w:rFonts w:ascii="Times New Roman" w:hAnsi="Times New Roman" w:cs="Times New Roman"/>
          <w:color w:val="000000" w:themeColor="text1"/>
          <w:sz w:val="20"/>
          <w:szCs w:val="20"/>
        </w:rPr>
        <w:t xml:space="preserve"> This suggests that the mechanism of competition played a crucial role in helping ASEAN adopt EU-like ideas and approaches to economic integration during the early years of AEC-building. As a result of unsolicited external pressures (ASEAN’s loss of competitiveness and credibility after the financial crisis), ASEAN attempted to adjust their ideas or policies towards </w:t>
      </w:r>
      <w:r w:rsidR="00665BD1"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best </w:t>
      </w:r>
      <w:r w:rsidR="003D739E" w:rsidRPr="000E262D">
        <w:rPr>
          <w:rFonts w:ascii="Times New Roman" w:hAnsi="Times New Roman" w:cs="Times New Roman"/>
          <w:color w:val="000000" w:themeColor="text1"/>
          <w:sz w:val="20"/>
          <w:szCs w:val="20"/>
        </w:rPr>
        <w:t>solutions</w:t>
      </w:r>
      <w:r w:rsidR="00665BD1"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in order to obtain competitive advantages.</w:t>
      </w:r>
    </w:p>
    <w:p w14:paraId="4D5E354B" w14:textId="77777777" w:rsidR="00DE02CF" w:rsidRPr="000E262D" w:rsidRDefault="00DE02CF" w:rsidP="008A7331">
      <w:pPr>
        <w:rPr>
          <w:rFonts w:ascii="Times New Roman" w:hAnsi="Times New Roman" w:cs="Times New Roman"/>
          <w:color w:val="000000" w:themeColor="text1"/>
          <w:sz w:val="20"/>
          <w:szCs w:val="20"/>
        </w:rPr>
      </w:pPr>
    </w:p>
    <w:p w14:paraId="7DB36415" w14:textId="58D7A05C" w:rsidR="00DE02CF" w:rsidRPr="000E262D" w:rsidRDefault="005B3777"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Furthermore, </w:t>
      </w:r>
      <w:r w:rsidR="00DE02CF" w:rsidRPr="000E262D">
        <w:rPr>
          <w:rFonts w:ascii="Times New Roman" w:hAnsi="Times New Roman" w:cs="Times New Roman"/>
          <w:color w:val="000000" w:themeColor="text1"/>
          <w:sz w:val="20"/>
          <w:szCs w:val="20"/>
        </w:rPr>
        <w:t xml:space="preserve">this research </w:t>
      </w:r>
      <w:r w:rsidRPr="000E262D">
        <w:rPr>
          <w:rFonts w:ascii="Times New Roman" w:hAnsi="Times New Roman" w:cs="Times New Roman"/>
          <w:color w:val="000000" w:themeColor="text1"/>
          <w:sz w:val="20"/>
          <w:szCs w:val="20"/>
        </w:rPr>
        <w:t>finds</w:t>
      </w:r>
      <w:r w:rsidR="00DE02CF" w:rsidRPr="000E262D">
        <w:rPr>
          <w:rFonts w:ascii="Times New Roman" w:hAnsi="Times New Roman" w:cs="Times New Roman"/>
          <w:color w:val="000000" w:themeColor="text1"/>
          <w:sz w:val="20"/>
          <w:szCs w:val="20"/>
        </w:rPr>
        <w:t xml:space="preserve"> that ASEAN’s </w:t>
      </w:r>
      <w:r w:rsidR="0028679F" w:rsidRPr="000E262D">
        <w:rPr>
          <w:rFonts w:ascii="Times New Roman" w:hAnsi="Times New Roman" w:cs="Times New Roman"/>
          <w:color w:val="000000" w:themeColor="text1"/>
          <w:sz w:val="20"/>
          <w:szCs w:val="20"/>
        </w:rPr>
        <w:t>receptiveness</w:t>
      </w:r>
      <w:r w:rsidR="00DE02CF" w:rsidRPr="000E262D">
        <w:rPr>
          <w:rFonts w:ascii="Times New Roman" w:hAnsi="Times New Roman" w:cs="Times New Roman"/>
          <w:color w:val="000000" w:themeColor="text1"/>
          <w:sz w:val="20"/>
          <w:szCs w:val="20"/>
        </w:rPr>
        <w:t xml:space="preserve"> of</w:t>
      </w:r>
      <w:r w:rsidR="004D334B" w:rsidRPr="000E262D">
        <w:rPr>
          <w:rFonts w:ascii="Times New Roman" w:hAnsi="Times New Roman" w:cs="Times New Roman"/>
          <w:color w:val="000000" w:themeColor="text1"/>
          <w:sz w:val="20"/>
          <w:szCs w:val="20"/>
        </w:rPr>
        <w:t xml:space="preserve"> the EU’s market-related norm</w:t>
      </w:r>
      <w:r w:rsidR="005F3545" w:rsidRPr="000E262D">
        <w:rPr>
          <w:rFonts w:ascii="Times New Roman" w:hAnsi="Times New Roman" w:cs="Times New Roman"/>
          <w:color w:val="000000" w:themeColor="text1"/>
          <w:sz w:val="20"/>
          <w:szCs w:val="20"/>
        </w:rPr>
        <w:t>s</w:t>
      </w:r>
      <w:r w:rsidR="004D334B" w:rsidRPr="000E262D">
        <w:rPr>
          <w:rFonts w:ascii="Times New Roman" w:hAnsi="Times New Roman" w:cs="Times New Roman"/>
          <w:color w:val="000000" w:themeColor="text1"/>
          <w:sz w:val="20"/>
          <w:szCs w:val="20"/>
        </w:rPr>
        <w:t xml:space="preserve"> </w:t>
      </w:r>
      <w:r w:rsidR="00DE02CF" w:rsidRPr="000E262D">
        <w:rPr>
          <w:rFonts w:ascii="Times New Roman" w:hAnsi="Times New Roman" w:cs="Times New Roman"/>
          <w:color w:val="000000" w:themeColor="text1"/>
          <w:sz w:val="20"/>
          <w:szCs w:val="20"/>
        </w:rPr>
        <w:t xml:space="preserve">is also connected to the mechanism of emulation, through which ASEAN hoped to obtain legitimacy or secure its survival in an uncertain environment. </w:t>
      </w:r>
      <w:r w:rsidR="00C31862" w:rsidRPr="000E262D">
        <w:rPr>
          <w:rFonts w:ascii="Times New Roman" w:hAnsi="Times New Roman" w:cs="Times New Roman"/>
          <w:color w:val="000000" w:themeColor="text1"/>
          <w:sz w:val="20"/>
          <w:szCs w:val="20"/>
        </w:rPr>
        <w:t>O</w:t>
      </w:r>
      <w:r w:rsidR="00DE02CF" w:rsidRPr="000E262D">
        <w:rPr>
          <w:rFonts w:ascii="Times New Roman" w:hAnsi="Times New Roman" w:cs="Times New Roman"/>
          <w:color w:val="000000" w:themeColor="text1"/>
          <w:sz w:val="20"/>
          <w:szCs w:val="20"/>
        </w:rPr>
        <w:t xml:space="preserve">ne feature of emulation is political actors’ attempts to copy already proven ideas or policy items from their source model. Evidence of ASEAN’s attempt to imitate the EU’s overarching ideas and economic governance model can be found in various ASEAN documents as well as interviews. One ASEAN official recognized that during the decade following the financial crisis, </w:t>
      </w:r>
      <w:r w:rsidR="00665BD1"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we indeed had a broad vision to </w:t>
      </w:r>
      <w:r w:rsidR="003D739E" w:rsidRPr="000E262D">
        <w:rPr>
          <w:rFonts w:ascii="Times New Roman" w:hAnsi="Times New Roman" w:cs="Times New Roman"/>
          <w:color w:val="000000" w:themeColor="text1"/>
          <w:sz w:val="20"/>
          <w:szCs w:val="20"/>
        </w:rPr>
        <w:t>imitate</w:t>
      </w:r>
      <w:r w:rsidR="00DE02CF" w:rsidRPr="000E262D">
        <w:rPr>
          <w:rFonts w:ascii="Times New Roman" w:hAnsi="Times New Roman" w:cs="Times New Roman"/>
          <w:color w:val="000000" w:themeColor="text1"/>
          <w:sz w:val="20"/>
          <w:szCs w:val="20"/>
        </w:rPr>
        <w:t xml:space="preserve"> the EU’s way of economic </w:t>
      </w:r>
      <w:r w:rsidR="00665BD1" w:rsidRPr="000E262D">
        <w:rPr>
          <w:rFonts w:ascii="Times New Roman" w:hAnsi="Times New Roman" w:cs="Times New Roman"/>
          <w:color w:val="000000" w:themeColor="text1"/>
          <w:sz w:val="20"/>
          <w:szCs w:val="20"/>
        </w:rPr>
        <w:t>integration”</w:t>
      </w:r>
      <w:r w:rsidR="00DE02CF" w:rsidRPr="000E262D">
        <w:rPr>
          <w:rFonts w:ascii="Times New Roman" w:hAnsi="Times New Roman" w:cs="Times New Roman"/>
          <w:color w:val="000000" w:themeColor="text1"/>
          <w:sz w:val="20"/>
          <w:szCs w:val="20"/>
        </w:rPr>
        <w:t>.</w:t>
      </w:r>
      <w:r w:rsidRPr="000E262D">
        <w:rPr>
          <w:rStyle w:val="a7"/>
          <w:rFonts w:ascii="Times New Roman" w:hAnsi="Times New Roman" w:cs="Times New Roman"/>
          <w:color w:val="000000" w:themeColor="text1"/>
          <w:sz w:val="20"/>
          <w:szCs w:val="20"/>
        </w:rPr>
        <w:footnoteReference w:id="20"/>
      </w:r>
      <w:r w:rsidR="00DE02CF" w:rsidRPr="000E262D">
        <w:rPr>
          <w:rFonts w:ascii="Times New Roman" w:hAnsi="Times New Roman" w:cs="Times New Roman"/>
          <w:color w:val="000000" w:themeColor="text1"/>
          <w:sz w:val="20"/>
          <w:szCs w:val="20"/>
        </w:rPr>
        <w:t xml:space="preserve"> Other evidence of emulation can be found in discourse from high-level ASEAN officials and policy experts. For example, as early as 1997, Malaysian Prime Minister Mahathir Mohamad suggested pursuing the objective of being </w:t>
      </w:r>
      <w:r w:rsidR="00665BD1"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a single market and an economic union à la the </w:t>
      </w:r>
      <w:r w:rsidR="00665BD1" w:rsidRPr="000E262D">
        <w:rPr>
          <w:rFonts w:ascii="Times New Roman" w:hAnsi="Times New Roman" w:cs="Times New Roman"/>
          <w:color w:val="000000" w:themeColor="text1"/>
          <w:sz w:val="20"/>
          <w:szCs w:val="20"/>
        </w:rPr>
        <w:t xml:space="preserve">EU” </w:t>
      </w:r>
      <w:r w:rsidR="00DE02CF" w:rsidRPr="000E262D">
        <w:rPr>
          <w:rFonts w:ascii="Times New Roman" w:hAnsi="Times New Roman" w:cs="Times New Roman"/>
          <w:color w:val="000000" w:themeColor="text1"/>
          <w:sz w:val="20"/>
          <w:szCs w:val="20"/>
        </w:rPr>
        <w:t>during the Economic Minister’s meeting in October 1997 (Kurus</w:t>
      </w:r>
      <w:r w:rsidR="009D4F97" w:rsidRPr="000E262D">
        <w:rPr>
          <w:rFonts w:ascii="Times New Roman" w:hAnsi="Times New Roman" w:cs="Times New Roman"/>
          <w:color w:val="000000" w:themeColor="text1"/>
          <w:sz w:val="20"/>
          <w:szCs w:val="20"/>
        </w:rPr>
        <w:t xml:space="preserve"> </w:t>
      </w:r>
      <w:r w:rsidR="00DE02CF" w:rsidRPr="000E262D">
        <w:rPr>
          <w:rFonts w:ascii="Times New Roman" w:hAnsi="Times New Roman" w:cs="Times New Roman"/>
          <w:color w:val="000000" w:themeColor="text1"/>
          <w:sz w:val="20"/>
          <w:szCs w:val="20"/>
        </w:rPr>
        <w:t xml:space="preserve">1995). </w:t>
      </w:r>
    </w:p>
    <w:p w14:paraId="13837A26" w14:textId="77777777" w:rsidR="00DE02CF" w:rsidRPr="000E262D" w:rsidRDefault="00DE02CF" w:rsidP="008A7331">
      <w:pPr>
        <w:rPr>
          <w:rFonts w:ascii="Times New Roman" w:hAnsi="Times New Roman" w:cs="Times New Roman"/>
          <w:color w:val="000000" w:themeColor="text1"/>
          <w:sz w:val="20"/>
          <w:szCs w:val="20"/>
        </w:rPr>
      </w:pPr>
    </w:p>
    <w:p w14:paraId="51B79FEB" w14:textId="40F03144" w:rsidR="002B0615"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Moving on to the </w:t>
      </w:r>
      <w:r w:rsidR="001B66A5" w:rsidRPr="000E262D">
        <w:rPr>
          <w:rFonts w:ascii="Times New Roman" w:hAnsi="Times New Roman" w:cs="Times New Roman"/>
          <w:color w:val="000000" w:themeColor="text1"/>
          <w:sz w:val="20"/>
          <w:szCs w:val="20"/>
        </w:rPr>
        <w:t>later stage</w:t>
      </w:r>
      <w:r w:rsidRPr="000E262D">
        <w:rPr>
          <w:rFonts w:ascii="Times New Roman" w:hAnsi="Times New Roman" w:cs="Times New Roman"/>
          <w:color w:val="000000" w:themeColor="text1"/>
          <w:sz w:val="20"/>
          <w:szCs w:val="20"/>
        </w:rPr>
        <w:t xml:space="preserve"> (</w:t>
      </w:r>
      <w:r w:rsidR="009D4F97" w:rsidRPr="000E262D">
        <w:rPr>
          <w:rFonts w:ascii="Times New Roman" w:hAnsi="Times New Roman" w:cs="Times New Roman"/>
          <w:color w:val="000000" w:themeColor="text1"/>
          <w:sz w:val="20"/>
          <w:szCs w:val="20"/>
        </w:rPr>
        <w:t>since 2007</w:t>
      </w:r>
      <w:r w:rsidR="00E20674"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ASEAN’s utilization of indirect mechanisms underwent a significant change. During this time, the mechanism of learning became the primary ASEAN-driven mechanism characterizing its interaction with </w:t>
      </w:r>
      <w:r w:rsidR="00361A0F" w:rsidRPr="000E262D">
        <w:rPr>
          <w:rFonts w:ascii="Times New Roman" w:hAnsi="Times New Roman" w:cs="Times New Roman"/>
          <w:color w:val="000000" w:themeColor="text1"/>
          <w:sz w:val="20"/>
          <w:szCs w:val="20"/>
        </w:rPr>
        <w:t>the EU</w:t>
      </w:r>
      <w:r w:rsidRPr="000E262D">
        <w:rPr>
          <w:rFonts w:ascii="Times New Roman" w:hAnsi="Times New Roman" w:cs="Times New Roman"/>
          <w:color w:val="000000" w:themeColor="text1"/>
          <w:sz w:val="20"/>
          <w:szCs w:val="20"/>
        </w:rPr>
        <w:t xml:space="preserve">. </w:t>
      </w:r>
      <w:r w:rsidR="00742EE5" w:rsidRPr="000E262D">
        <w:rPr>
          <w:rFonts w:ascii="Times New Roman" w:hAnsi="Times New Roman" w:cs="Times New Roman"/>
          <w:color w:val="000000" w:themeColor="text1"/>
          <w:sz w:val="20"/>
          <w:szCs w:val="20"/>
        </w:rPr>
        <w:t>U</w:t>
      </w:r>
      <w:r w:rsidRPr="000E262D">
        <w:rPr>
          <w:rFonts w:ascii="Times New Roman" w:hAnsi="Times New Roman" w:cs="Times New Roman"/>
          <w:color w:val="000000" w:themeColor="text1"/>
          <w:sz w:val="20"/>
          <w:szCs w:val="20"/>
        </w:rPr>
        <w:t xml:space="preserve">nlike emulation, learning involves a process of reflection by the adopter in order to find effective solutions to a given problem. Data collected from interviews suggest that during </w:t>
      </w:r>
      <w:r w:rsidR="005D7929" w:rsidRPr="000E262D">
        <w:rPr>
          <w:rFonts w:ascii="Times New Roman" w:hAnsi="Times New Roman" w:cs="Times New Roman"/>
          <w:color w:val="000000" w:themeColor="text1"/>
          <w:sz w:val="20"/>
          <w:szCs w:val="20"/>
        </w:rPr>
        <w:t xml:space="preserve">this </w:t>
      </w:r>
      <w:r w:rsidR="00742EE5" w:rsidRPr="000E262D">
        <w:rPr>
          <w:rFonts w:ascii="Times New Roman" w:hAnsi="Times New Roman" w:cs="Times New Roman"/>
          <w:color w:val="000000" w:themeColor="text1"/>
          <w:sz w:val="20"/>
          <w:szCs w:val="20"/>
        </w:rPr>
        <w:t>phase</w:t>
      </w:r>
      <w:r w:rsidRPr="000E262D">
        <w:rPr>
          <w:rFonts w:ascii="Times New Roman" w:hAnsi="Times New Roman" w:cs="Times New Roman"/>
          <w:color w:val="000000" w:themeColor="text1"/>
          <w:sz w:val="20"/>
          <w:szCs w:val="20"/>
        </w:rPr>
        <w:t>, ASEAN has gradually relinquished the desire to imitate the EU’s economic regionalism model</w:t>
      </w:r>
      <w:r w:rsidR="002E24A5" w:rsidRPr="000E262D">
        <w:rPr>
          <w:rFonts w:ascii="Times New Roman" w:hAnsi="Times New Roman" w:cs="Times New Roman"/>
          <w:color w:val="000000" w:themeColor="text1"/>
          <w:sz w:val="20"/>
          <w:szCs w:val="20"/>
        </w:rPr>
        <w:t>, although it still believes in the benefit of trade liberalization in general</w:t>
      </w:r>
      <w:r w:rsidR="000E6975" w:rsidRPr="000E262D">
        <w:rPr>
          <w:rFonts w:ascii="Times New Roman" w:hAnsi="Times New Roman" w:cs="Times New Roman"/>
          <w:color w:val="000000" w:themeColor="text1"/>
          <w:sz w:val="20"/>
          <w:szCs w:val="20"/>
        </w:rPr>
        <w:t>.</w:t>
      </w:r>
      <w:r w:rsidR="003C2F2F" w:rsidRPr="000E262D">
        <w:rPr>
          <w:rStyle w:val="a7"/>
          <w:rFonts w:ascii="Times New Roman" w:hAnsi="Times New Roman" w:cs="Times New Roman"/>
          <w:color w:val="000000" w:themeColor="text1"/>
          <w:sz w:val="20"/>
          <w:szCs w:val="20"/>
        </w:rPr>
        <w:footnoteReference w:id="21"/>
      </w:r>
      <w:r w:rsidRPr="000E262D">
        <w:rPr>
          <w:rFonts w:ascii="Times New Roman" w:hAnsi="Times New Roman" w:cs="Times New Roman"/>
          <w:color w:val="000000" w:themeColor="text1"/>
          <w:sz w:val="20"/>
          <w:szCs w:val="20"/>
        </w:rPr>
        <w:t xml:space="preserve"> However, ASEAN no longer wants to pursue the ambitious goal of becoming an EU-style single market. According to an official from ASEAN Secretariat, </w:t>
      </w:r>
      <w:r w:rsidR="00F53EEA"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in the early 2000s and even until 2007, we may still have had an intention to become an EU-like economic community; now after ten years, ASEAN is improving its economic integration based on its own </w:t>
      </w:r>
      <w:r w:rsidR="00F53EEA" w:rsidRPr="000E262D">
        <w:rPr>
          <w:rFonts w:ascii="Times New Roman" w:hAnsi="Times New Roman" w:cs="Times New Roman"/>
          <w:color w:val="000000" w:themeColor="text1"/>
          <w:sz w:val="20"/>
          <w:szCs w:val="20"/>
        </w:rPr>
        <w:t>pace”</w:t>
      </w:r>
      <w:r w:rsidRPr="000E262D">
        <w:rPr>
          <w:rFonts w:ascii="Times New Roman" w:hAnsi="Times New Roman" w:cs="Times New Roman"/>
          <w:color w:val="000000" w:themeColor="text1"/>
          <w:sz w:val="20"/>
          <w:szCs w:val="20"/>
        </w:rPr>
        <w:t>.</w:t>
      </w:r>
      <w:r w:rsidR="003C2F2F" w:rsidRPr="000E262D">
        <w:rPr>
          <w:rStyle w:val="a7"/>
          <w:rFonts w:ascii="Times New Roman" w:hAnsi="Times New Roman" w:cs="Times New Roman"/>
          <w:color w:val="000000" w:themeColor="text1"/>
          <w:sz w:val="20"/>
          <w:szCs w:val="20"/>
        </w:rPr>
        <w:footnoteReference w:id="22"/>
      </w:r>
      <w:r w:rsidRPr="000E262D">
        <w:rPr>
          <w:rFonts w:ascii="Times New Roman" w:hAnsi="Times New Roman" w:cs="Times New Roman"/>
          <w:color w:val="000000" w:themeColor="text1"/>
          <w:sz w:val="20"/>
          <w:szCs w:val="20"/>
        </w:rPr>
        <w:t xml:space="preserve"> The official further explained, </w:t>
      </w:r>
    </w:p>
    <w:p w14:paraId="0C7ECE5F" w14:textId="77777777" w:rsidR="002B0615" w:rsidRPr="000E262D" w:rsidRDefault="002B0615" w:rsidP="008A7331">
      <w:pPr>
        <w:rPr>
          <w:rFonts w:ascii="Times New Roman" w:hAnsi="Times New Roman" w:cs="Times New Roman"/>
          <w:color w:val="000000" w:themeColor="text1"/>
          <w:sz w:val="20"/>
          <w:szCs w:val="20"/>
        </w:rPr>
      </w:pPr>
    </w:p>
    <w:p w14:paraId="77BFB760" w14:textId="517B0899" w:rsidR="002B0615" w:rsidRPr="000E262D" w:rsidRDefault="00F53EEA" w:rsidP="008A7331">
      <w:pPr>
        <w:ind w:leftChars="100" w:left="21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we do not have such aspirations for many reasons: we are much more diverse than any other region in the world, our member states cannot agree to develop a supranational body and they will not delegate foreign policymaking to an ASEAN institution… as a result, we gave up the idea of developing a single currency, free movement of people and a common ASEAN visa, which are still unrealistic</w:t>
      </w:r>
      <w:r w:rsidRPr="000E262D">
        <w:rPr>
          <w:rFonts w:ascii="Times New Roman" w:hAnsi="Times New Roman" w:cs="Times New Roman"/>
          <w:color w:val="000000" w:themeColor="text1"/>
          <w:sz w:val="20"/>
          <w:szCs w:val="20"/>
        </w:rPr>
        <w:t>”</w:t>
      </w:r>
      <w:r w:rsidR="00DE02CF" w:rsidRPr="000E262D">
        <w:rPr>
          <w:rFonts w:ascii="Times New Roman" w:hAnsi="Times New Roman" w:cs="Times New Roman"/>
          <w:color w:val="000000" w:themeColor="text1"/>
          <w:sz w:val="20"/>
          <w:szCs w:val="20"/>
        </w:rPr>
        <w:t xml:space="preserve"> (ibid.). </w:t>
      </w:r>
    </w:p>
    <w:p w14:paraId="10EAC5CE" w14:textId="77777777" w:rsidR="00DE02CF" w:rsidRPr="000E262D" w:rsidRDefault="00DE02CF" w:rsidP="008A7331">
      <w:pPr>
        <w:rPr>
          <w:rFonts w:ascii="Times New Roman" w:hAnsi="Times New Roman" w:cs="Times New Roman"/>
          <w:color w:val="000000" w:themeColor="text1"/>
          <w:sz w:val="20"/>
          <w:szCs w:val="20"/>
        </w:rPr>
      </w:pPr>
    </w:p>
    <w:p w14:paraId="19B320EB" w14:textId="00548A20"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A closer look at the latest version of AEC blueprint 2025, published in 2015, reveals that the language relating to the AEC goals has significantly changed since the 2008 version. It no longer mentions the objective of creating a single market and instead sets only the goal of creating a deeply integrated and highly cohesive ASEAN </w:t>
      </w:r>
      <w:r w:rsidR="00F53EEA" w:rsidRPr="000E262D">
        <w:rPr>
          <w:rFonts w:ascii="Times New Roman" w:hAnsi="Times New Roman" w:cs="Times New Roman"/>
          <w:color w:val="000000" w:themeColor="text1"/>
          <w:sz w:val="20"/>
          <w:szCs w:val="20"/>
        </w:rPr>
        <w:t xml:space="preserve">economy </w:t>
      </w:r>
      <w:r w:rsidRPr="000E262D">
        <w:rPr>
          <w:rFonts w:ascii="Times New Roman" w:hAnsi="Times New Roman" w:cs="Times New Roman"/>
          <w:color w:val="000000" w:themeColor="text1"/>
          <w:sz w:val="20"/>
          <w:szCs w:val="20"/>
        </w:rPr>
        <w:t>(ASEAN 2015</w:t>
      </w:r>
      <w:r w:rsidR="009C18A9"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2). The 2015 version uses the term </w:t>
      </w:r>
      <w:r w:rsidR="00F53EEA"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seamless movement of goods, services, investment, capital and skilled labour within </w:t>
      </w:r>
      <w:r w:rsidR="00F53EEA" w:rsidRPr="000E262D">
        <w:rPr>
          <w:rFonts w:ascii="Times New Roman" w:hAnsi="Times New Roman" w:cs="Times New Roman"/>
          <w:color w:val="000000" w:themeColor="text1"/>
          <w:sz w:val="20"/>
          <w:szCs w:val="20"/>
        </w:rPr>
        <w:t xml:space="preserve">ASEAN” </w:t>
      </w:r>
      <w:r w:rsidRPr="000E262D">
        <w:rPr>
          <w:rFonts w:ascii="Times New Roman" w:hAnsi="Times New Roman" w:cs="Times New Roman"/>
          <w:color w:val="000000" w:themeColor="text1"/>
          <w:sz w:val="20"/>
          <w:szCs w:val="20"/>
        </w:rPr>
        <w:t>(ibid</w:t>
      </w:r>
      <w:r w:rsidR="009C18A9"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3) instead of terms such as </w:t>
      </w:r>
      <w:r w:rsidR="00F53EEA"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free </w:t>
      </w:r>
      <w:r w:rsidR="00F53EEA" w:rsidRPr="000E262D">
        <w:rPr>
          <w:rFonts w:ascii="Times New Roman" w:hAnsi="Times New Roman" w:cs="Times New Roman"/>
          <w:color w:val="000000" w:themeColor="text1"/>
          <w:sz w:val="20"/>
          <w:szCs w:val="20"/>
        </w:rPr>
        <w:t>movement”</w:t>
      </w:r>
      <w:r w:rsidRPr="000E262D">
        <w:rPr>
          <w:rFonts w:ascii="Times New Roman" w:hAnsi="Times New Roman" w:cs="Times New Roman"/>
          <w:color w:val="000000" w:themeColor="text1"/>
          <w:sz w:val="20"/>
          <w:szCs w:val="20"/>
        </w:rPr>
        <w:t>. This implies that the objective of AEC has become less ambitious. As an ASEAN official confirm</w:t>
      </w:r>
      <w:r w:rsidR="00FD1D3A" w:rsidRPr="000E262D">
        <w:rPr>
          <w:rFonts w:ascii="Times New Roman" w:hAnsi="Times New Roman" w:cs="Times New Roman"/>
          <w:color w:val="000000" w:themeColor="text1"/>
          <w:sz w:val="20"/>
          <w:szCs w:val="20"/>
        </w:rPr>
        <w:t>ed</w:t>
      </w:r>
      <w:r w:rsidRPr="000E262D">
        <w:rPr>
          <w:rFonts w:ascii="Times New Roman" w:hAnsi="Times New Roman" w:cs="Times New Roman"/>
          <w:color w:val="000000" w:themeColor="text1"/>
          <w:sz w:val="20"/>
          <w:szCs w:val="20"/>
        </w:rPr>
        <w:t>, nowadays ASEAN explicitly avoids the use of EU-like terms to describe AEC goals, as</w:t>
      </w:r>
      <w:r w:rsidR="002C3F10" w:rsidRPr="000E262D">
        <w:rPr>
          <w:rFonts w:ascii="Times New Roman" w:hAnsi="Times New Roman" w:cs="Times New Roman"/>
          <w:color w:val="000000" w:themeColor="text1"/>
          <w:sz w:val="20"/>
          <w:szCs w:val="20"/>
        </w:rPr>
        <w:t xml:space="preserve"> ASEAN prefers to have regional integration based on their own pace and context.</w:t>
      </w:r>
      <w:r w:rsidR="00FD1D3A" w:rsidRPr="000E262D">
        <w:rPr>
          <w:rStyle w:val="a7"/>
          <w:rFonts w:ascii="Times New Roman" w:hAnsi="Times New Roman" w:cs="Times New Roman"/>
          <w:color w:val="000000" w:themeColor="text1"/>
          <w:sz w:val="20"/>
          <w:szCs w:val="20"/>
        </w:rPr>
        <w:footnoteReference w:id="23"/>
      </w:r>
    </w:p>
    <w:p w14:paraId="080289E0" w14:textId="77777777" w:rsidR="00DE02CF" w:rsidRPr="000E262D" w:rsidRDefault="00DE02CF" w:rsidP="008A7331">
      <w:pPr>
        <w:rPr>
          <w:rFonts w:ascii="Times New Roman" w:hAnsi="Times New Roman" w:cs="Times New Roman"/>
          <w:color w:val="000000" w:themeColor="text1"/>
          <w:sz w:val="20"/>
          <w:szCs w:val="20"/>
        </w:rPr>
      </w:pPr>
    </w:p>
    <w:p w14:paraId="64701A2F" w14:textId="25F323AB"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The above discussion demonstrates that ASEAN has shifted away from emulating the EU’s ideas and norms of economic integration. </w:t>
      </w:r>
      <w:r w:rsidR="000E6975" w:rsidRPr="000E262D">
        <w:rPr>
          <w:rFonts w:ascii="Times New Roman" w:hAnsi="Times New Roman" w:cs="Times New Roman"/>
          <w:color w:val="000000" w:themeColor="text1"/>
          <w:sz w:val="20"/>
          <w:szCs w:val="20"/>
        </w:rPr>
        <w:t>A</w:t>
      </w:r>
      <w:r w:rsidRPr="000E262D">
        <w:rPr>
          <w:rFonts w:ascii="Times New Roman" w:hAnsi="Times New Roman" w:cs="Times New Roman"/>
          <w:color w:val="000000" w:themeColor="text1"/>
          <w:sz w:val="20"/>
          <w:szCs w:val="20"/>
        </w:rPr>
        <w:t>fter a decade of reflection on AEC-building and ASEAN institutional adjustment, ASEAN political elites increasingly believe that the organisation is not ready to pursue ambitious EU-style economic integration and institutionalization. Given the differences in economic development and political systems, ASEAN policymakers have realized that the EU’s model of economic governance cannot be transferred to the local context of Southeast Asia</w:t>
      </w:r>
      <w:r w:rsidR="00656385" w:rsidRPr="000E262D">
        <w:rPr>
          <w:rFonts w:ascii="Times New Roman" w:hAnsi="Times New Roman" w:cs="Times New Roman"/>
          <w:color w:val="000000" w:themeColor="text1"/>
          <w:sz w:val="20"/>
          <w:szCs w:val="20"/>
        </w:rPr>
        <w:t xml:space="preserve"> (</w:t>
      </w:r>
      <w:proofErr w:type="spellStart"/>
      <w:r w:rsidR="00656385" w:rsidRPr="000E262D">
        <w:rPr>
          <w:rFonts w:ascii="Times New Roman" w:hAnsi="Times New Roman" w:cs="Times New Roman"/>
          <w:color w:val="000000" w:themeColor="text1"/>
          <w:sz w:val="20"/>
          <w:szCs w:val="20"/>
        </w:rPr>
        <w:t>Jetschke</w:t>
      </w:r>
      <w:proofErr w:type="spellEnd"/>
      <w:r w:rsidR="00656385" w:rsidRPr="000E262D">
        <w:rPr>
          <w:rFonts w:ascii="Times New Roman" w:hAnsi="Times New Roman" w:cs="Times New Roman"/>
          <w:color w:val="000000" w:themeColor="text1"/>
          <w:sz w:val="20"/>
          <w:szCs w:val="20"/>
        </w:rPr>
        <w:t xml:space="preserve"> and Murray 2012; Murray 2015)</w:t>
      </w:r>
      <w:r w:rsidRPr="000E262D">
        <w:rPr>
          <w:rFonts w:ascii="Times New Roman" w:hAnsi="Times New Roman" w:cs="Times New Roman"/>
          <w:color w:val="000000" w:themeColor="text1"/>
          <w:sz w:val="20"/>
          <w:szCs w:val="20"/>
        </w:rPr>
        <w:t xml:space="preserve">. Nevertheless, abandoning the objective to become an EU-modelled economic community does not mean that ASEAN has stopped learning from the EU’s ideas and practices relating to economic liberalization and integration. On the contrary, there has been an increasing amount of ASEAN-driven </w:t>
      </w:r>
      <w:r w:rsidR="00FD35AC" w:rsidRPr="000E262D">
        <w:rPr>
          <w:rFonts w:ascii="Times New Roman" w:hAnsi="Times New Roman" w:cs="Times New Roman"/>
          <w:color w:val="000000" w:themeColor="text1"/>
          <w:sz w:val="20"/>
          <w:szCs w:val="20"/>
        </w:rPr>
        <w:t>learning</w:t>
      </w:r>
      <w:r w:rsidRPr="000E262D">
        <w:rPr>
          <w:rFonts w:ascii="Times New Roman" w:hAnsi="Times New Roman" w:cs="Times New Roman"/>
          <w:color w:val="000000" w:themeColor="text1"/>
          <w:sz w:val="20"/>
          <w:szCs w:val="20"/>
        </w:rPr>
        <w:t xml:space="preserve"> happening at </w:t>
      </w:r>
      <w:r w:rsidR="00F53EEA" w:rsidRPr="000E262D">
        <w:rPr>
          <w:rFonts w:ascii="Times New Roman" w:hAnsi="Times New Roman" w:cs="Times New Roman"/>
          <w:color w:val="000000" w:themeColor="text1"/>
          <w:sz w:val="20"/>
          <w:szCs w:val="20"/>
        </w:rPr>
        <w:t xml:space="preserve">the </w:t>
      </w:r>
      <w:r w:rsidRPr="000E262D">
        <w:rPr>
          <w:rFonts w:ascii="Times New Roman" w:hAnsi="Times New Roman" w:cs="Times New Roman"/>
          <w:color w:val="000000" w:themeColor="text1"/>
          <w:sz w:val="20"/>
          <w:szCs w:val="20"/>
        </w:rPr>
        <w:t xml:space="preserve">policy level, exemplified by ASEAN’s active learning from and selective adoption of EU-initiated policy settings relating to trade liberalization and economic integration. </w:t>
      </w:r>
      <w:r w:rsidR="00656385" w:rsidRPr="000E262D">
        <w:rPr>
          <w:rFonts w:ascii="Times New Roman" w:hAnsi="Times New Roman" w:cs="Times New Roman"/>
          <w:color w:val="000000" w:themeColor="text1"/>
          <w:sz w:val="20"/>
          <w:szCs w:val="20"/>
        </w:rPr>
        <w:t>Contrary to some existing literature perceiving the EU as a passive reference point for ASEAN (Wong 2012), this research shows that the EU still plays a crucial role in inspiring ASEAN’s development of market-related policy frameworks and regulations.</w:t>
      </w:r>
    </w:p>
    <w:p w14:paraId="3BA965AD" w14:textId="77777777" w:rsidR="00DE02CF" w:rsidRPr="000E262D" w:rsidRDefault="00DE02CF" w:rsidP="008A7331">
      <w:pPr>
        <w:rPr>
          <w:rFonts w:ascii="Times New Roman" w:hAnsi="Times New Roman" w:cs="Times New Roman"/>
          <w:color w:val="000000" w:themeColor="text1"/>
          <w:sz w:val="20"/>
          <w:szCs w:val="20"/>
        </w:rPr>
      </w:pPr>
    </w:p>
    <w:p w14:paraId="70FA7643" w14:textId="153B9D6F"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lastRenderedPageBreak/>
        <w:t xml:space="preserve">An interview with an ASEAN official confirmed that ASEAN still seeks to learn from the EU’s experiences, especially in areas such as capacity-building and trade </w:t>
      </w:r>
      <w:r w:rsidR="002B0615" w:rsidRPr="000E262D">
        <w:rPr>
          <w:rFonts w:ascii="Times New Roman" w:hAnsi="Times New Roman" w:cs="Times New Roman"/>
          <w:color w:val="000000" w:themeColor="text1"/>
          <w:sz w:val="20"/>
          <w:szCs w:val="20"/>
        </w:rPr>
        <w:t>facilitation</w:t>
      </w:r>
      <w:r w:rsidRPr="000E262D">
        <w:rPr>
          <w:rFonts w:ascii="Times New Roman" w:hAnsi="Times New Roman" w:cs="Times New Roman"/>
          <w:color w:val="000000" w:themeColor="text1"/>
          <w:sz w:val="20"/>
          <w:szCs w:val="20"/>
        </w:rPr>
        <w:t xml:space="preserve"> at functional level.</w:t>
      </w:r>
      <w:r w:rsidR="00572552" w:rsidRPr="000E262D">
        <w:rPr>
          <w:rStyle w:val="a7"/>
          <w:rFonts w:ascii="Times New Roman" w:hAnsi="Times New Roman" w:cs="Times New Roman"/>
          <w:color w:val="000000" w:themeColor="text1"/>
          <w:sz w:val="20"/>
          <w:szCs w:val="20"/>
        </w:rPr>
        <w:footnoteReference w:id="24"/>
      </w:r>
      <w:r w:rsidRPr="000E262D">
        <w:rPr>
          <w:rFonts w:ascii="Times New Roman" w:hAnsi="Times New Roman" w:cs="Times New Roman"/>
          <w:color w:val="000000" w:themeColor="text1"/>
          <w:sz w:val="20"/>
          <w:szCs w:val="20"/>
        </w:rPr>
        <w:t xml:space="preserve"> ASEAN’s active learning processes can be found in many EU-initiated TRA projects. </w:t>
      </w:r>
      <w:r w:rsidR="002D2C44" w:rsidRPr="000E262D">
        <w:rPr>
          <w:rFonts w:ascii="Times New Roman" w:hAnsi="Times New Roman" w:cs="Times New Roman"/>
          <w:color w:val="000000" w:themeColor="text1"/>
          <w:sz w:val="20"/>
          <w:szCs w:val="20"/>
        </w:rPr>
        <w:t xml:space="preserve">For instance, in the ARISE Plus project, </w:t>
      </w:r>
      <w:r w:rsidRPr="000E262D">
        <w:rPr>
          <w:rFonts w:ascii="Times New Roman" w:hAnsi="Times New Roman" w:cs="Times New Roman"/>
          <w:color w:val="000000" w:themeColor="text1"/>
          <w:sz w:val="20"/>
          <w:szCs w:val="20"/>
        </w:rPr>
        <w:t>ASEAN stakeholders have demonstrated strong willingness to learn from the EU</w:t>
      </w:r>
      <w:r w:rsidR="00730060"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 xml:space="preserve">With support from </w:t>
      </w:r>
      <w:r w:rsidR="002D2C44" w:rsidRPr="000E262D">
        <w:rPr>
          <w:rFonts w:ascii="Times New Roman" w:hAnsi="Times New Roman" w:cs="Times New Roman"/>
          <w:color w:val="000000" w:themeColor="text1"/>
          <w:sz w:val="20"/>
          <w:szCs w:val="20"/>
        </w:rPr>
        <w:t>the EU</w:t>
      </w:r>
      <w:r w:rsidRPr="000E262D">
        <w:rPr>
          <w:rFonts w:ascii="Times New Roman" w:hAnsi="Times New Roman" w:cs="Times New Roman"/>
          <w:color w:val="000000" w:themeColor="text1"/>
          <w:sz w:val="20"/>
          <w:szCs w:val="20"/>
        </w:rPr>
        <w:t>, four integrated initiatives aiming at facilitating the building of the AEC were established and can be seen as significant evidence of ASEAN learning from the EU. These four initiatives are: ASEAN Customs Transit System (ACTS), ASEAN Risk Assessment Centre for Food Safety (ARAC), ASEAN Solutions for Investments, Services</w:t>
      </w:r>
      <w:r w:rsidR="007E4404"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and Trade (ASSIST), and ASEAN Trade Repository (ATR).</w:t>
      </w:r>
      <w:r w:rsidR="002D2C44" w:rsidRPr="000E262D">
        <w:rPr>
          <w:rStyle w:val="a7"/>
          <w:rFonts w:ascii="Times New Roman" w:hAnsi="Times New Roman" w:cs="Times New Roman"/>
          <w:color w:val="000000" w:themeColor="text1"/>
          <w:sz w:val="20"/>
          <w:szCs w:val="20"/>
        </w:rPr>
        <w:footnoteReference w:id="25"/>
      </w:r>
      <w:r w:rsidRPr="000E262D">
        <w:rPr>
          <w:rFonts w:ascii="Times New Roman" w:hAnsi="Times New Roman" w:cs="Times New Roman"/>
          <w:color w:val="000000" w:themeColor="text1"/>
          <w:sz w:val="20"/>
          <w:szCs w:val="20"/>
        </w:rPr>
        <w:t xml:space="preserve"> </w:t>
      </w:r>
      <w:r w:rsidR="002C7A74" w:rsidRPr="000E262D">
        <w:rPr>
          <w:rFonts w:ascii="Times New Roman" w:hAnsi="Times New Roman" w:cs="Times New Roman"/>
          <w:color w:val="000000" w:themeColor="text1"/>
          <w:sz w:val="20"/>
          <w:szCs w:val="20"/>
        </w:rPr>
        <w:t>Specifically, d</w:t>
      </w:r>
      <w:r w:rsidRPr="000E262D">
        <w:rPr>
          <w:rFonts w:ascii="Times New Roman" w:hAnsi="Times New Roman" w:cs="Times New Roman"/>
          <w:color w:val="000000" w:themeColor="text1"/>
          <w:sz w:val="20"/>
          <w:szCs w:val="20"/>
        </w:rPr>
        <w:t xml:space="preserve">eveloped jointly by ASEAN and the European Union, </w:t>
      </w:r>
      <w:r w:rsidR="00F44AA3" w:rsidRPr="000E262D">
        <w:rPr>
          <w:rFonts w:ascii="Times New Roman" w:hAnsi="Times New Roman" w:cs="Times New Roman"/>
          <w:color w:val="000000" w:themeColor="text1"/>
          <w:sz w:val="20"/>
          <w:szCs w:val="20"/>
        </w:rPr>
        <w:t>ACTS has facilitated ASEAN’s lesson</w:t>
      </w:r>
      <w:r w:rsidR="007E4404" w:rsidRPr="000E262D">
        <w:rPr>
          <w:rFonts w:ascii="Times New Roman" w:hAnsi="Times New Roman" w:cs="Times New Roman"/>
          <w:color w:val="000000" w:themeColor="text1"/>
          <w:sz w:val="20"/>
          <w:szCs w:val="20"/>
        </w:rPr>
        <w:t>–</w:t>
      </w:r>
      <w:r w:rsidR="00F44AA3" w:rsidRPr="000E262D">
        <w:rPr>
          <w:rFonts w:ascii="Times New Roman" w:hAnsi="Times New Roman" w:cs="Times New Roman"/>
          <w:color w:val="000000" w:themeColor="text1"/>
          <w:sz w:val="20"/>
          <w:szCs w:val="20"/>
        </w:rPr>
        <w:t xml:space="preserve">drawing from the EU’s practices. </w:t>
      </w:r>
      <w:r w:rsidR="00DE3618" w:rsidRPr="000E262D">
        <w:rPr>
          <w:rFonts w:ascii="Times New Roman" w:hAnsi="Times New Roman" w:cs="Times New Roman"/>
          <w:color w:val="000000" w:themeColor="text1"/>
          <w:sz w:val="20"/>
          <w:szCs w:val="20"/>
        </w:rPr>
        <w:t>ASEAN’s</w:t>
      </w:r>
      <w:r w:rsidRPr="000E262D">
        <w:rPr>
          <w:rFonts w:ascii="Times New Roman" w:hAnsi="Times New Roman" w:cs="Times New Roman"/>
          <w:color w:val="000000" w:themeColor="text1"/>
          <w:sz w:val="20"/>
          <w:szCs w:val="20"/>
        </w:rPr>
        <w:t xml:space="preserve"> official introduction to the ACTS instrument reveals that the EU’s assistance and values of free trade and market integration played a significant role in building the AEC in general and in establishing concrete policy settings such as ACTS.</w:t>
      </w:r>
      <w:r w:rsidR="00730060" w:rsidRPr="000E262D">
        <w:rPr>
          <w:rFonts w:ascii="Times New Roman" w:hAnsi="Times New Roman" w:cs="Times New Roman"/>
          <w:color w:val="000000" w:themeColor="text1"/>
          <w:sz w:val="20"/>
          <w:szCs w:val="20"/>
        </w:rPr>
        <w:t xml:space="preserve"> </w:t>
      </w:r>
    </w:p>
    <w:p w14:paraId="5397E53F" w14:textId="77777777" w:rsidR="00DE02CF" w:rsidRPr="000E262D" w:rsidRDefault="00DE02CF" w:rsidP="008A7331">
      <w:pPr>
        <w:rPr>
          <w:rFonts w:ascii="Times New Roman" w:hAnsi="Times New Roman" w:cs="Times New Roman"/>
          <w:color w:val="000000" w:themeColor="text1"/>
          <w:sz w:val="20"/>
          <w:szCs w:val="20"/>
        </w:rPr>
      </w:pPr>
    </w:p>
    <w:p w14:paraId="171CE72E" w14:textId="449362F1" w:rsidR="00890F59" w:rsidRPr="000E262D" w:rsidRDefault="00DE3618"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To summarize, this section</w:t>
      </w:r>
      <w:r w:rsidR="009B23F4" w:rsidRPr="000E262D">
        <w:rPr>
          <w:rFonts w:ascii="Times New Roman" w:hAnsi="Times New Roman" w:cs="Times New Roman"/>
          <w:color w:val="000000" w:themeColor="text1"/>
          <w:sz w:val="20"/>
          <w:szCs w:val="20"/>
        </w:rPr>
        <w:t xml:space="preserve"> has </w:t>
      </w:r>
      <w:r w:rsidR="004C7291" w:rsidRPr="000E262D">
        <w:rPr>
          <w:rFonts w:ascii="Times New Roman" w:hAnsi="Times New Roman" w:cs="Times New Roman"/>
          <w:color w:val="000000" w:themeColor="text1"/>
          <w:sz w:val="20"/>
          <w:szCs w:val="20"/>
        </w:rPr>
        <w:t>revealed</w:t>
      </w:r>
      <w:r w:rsidRPr="000E262D">
        <w:rPr>
          <w:rFonts w:ascii="Times New Roman" w:hAnsi="Times New Roman" w:cs="Times New Roman"/>
          <w:color w:val="000000" w:themeColor="text1"/>
          <w:sz w:val="20"/>
          <w:szCs w:val="20"/>
        </w:rPr>
        <w:t xml:space="preserve"> that </w:t>
      </w:r>
      <w:r w:rsidR="00012B93" w:rsidRPr="000E262D">
        <w:rPr>
          <w:rFonts w:ascii="Times New Roman" w:hAnsi="Times New Roman" w:cs="Times New Roman"/>
          <w:color w:val="000000" w:themeColor="text1"/>
          <w:sz w:val="20"/>
          <w:szCs w:val="20"/>
        </w:rPr>
        <w:t>the process of the EU’s externalization of market-related norms and policies in ASEAN has been characterized by a combination of sender-driven mechanisms (positive incentives and socialization) and recipient-driven mechanisms (competition, emulation</w:t>
      </w:r>
      <w:r w:rsidR="007E4404" w:rsidRPr="000E262D">
        <w:rPr>
          <w:rFonts w:ascii="Times New Roman" w:hAnsi="Times New Roman" w:cs="Times New Roman"/>
          <w:color w:val="000000" w:themeColor="text1"/>
          <w:sz w:val="20"/>
          <w:szCs w:val="20"/>
        </w:rPr>
        <w:t>,</w:t>
      </w:r>
      <w:r w:rsidR="00012B93" w:rsidRPr="000E262D">
        <w:rPr>
          <w:rFonts w:ascii="Times New Roman" w:hAnsi="Times New Roman" w:cs="Times New Roman"/>
          <w:color w:val="000000" w:themeColor="text1"/>
          <w:sz w:val="20"/>
          <w:szCs w:val="20"/>
        </w:rPr>
        <w:t xml:space="preserve"> and learning)</w:t>
      </w:r>
      <w:r w:rsidR="00950FD8" w:rsidRPr="000E262D">
        <w:rPr>
          <w:rFonts w:ascii="Times New Roman" w:hAnsi="Times New Roman" w:cs="Times New Roman"/>
          <w:color w:val="000000" w:themeColor="text1"/>
          <w:sz w:val="20"/>
          <w:szCs w:val="20"/>
        </w:rPr>
        <w:t>.</w:t>
      </w:r>
      <w:r w:rsidR="00323017" w:rsidRPr="000E262D">
        <w:rPr>
          <w:rFonts w:ascii="Times New Roman" w:hAnsi="Times New Roman" w:cs="Times New Roman"/>
          <w:color w:val="000000" w:themeColor="text1"/>
          <w:sz w:val="20"/>
          <w:szCs w:val="20"/>
        </w:rPr>
        <w:t xml:space="preserve"> </w:t>
      </w:r>
      <w:r w:rsidR="006D4D52" w:rsidRPr="000E262D">
        <w:rPr>
          <w:rFonts w:ascii="Times New Roman" w:hAnsi="Times New Roman" w:cs="Times New Roman"/>
          <w:color w:val="000000" w:themeColor="text1"/>
          <w:sz w:val="20"/>
          <w:szCs w:val="20"/>
        </w:rPr>
        <w:t xml:space="preserve">This </w:t>
      </w:r>
      <w:r w:rsidR="009B23F4" w:rsidRPr="000E262D">
        <w:rPr>
          <w:rFonts w:ascii="Times New Roman" w:hAnsi="Times New Roman" w:cs="Times New Roman"/>
          <w:color w:val="000000" w:themeColor="text1"/>
          <w:sz w:val="20"/>
          <w:szCs w:val="20"/>
        </w:rPr>
        <w:t xml:space="preserve">observation complements the </w:t>
      </w:r>
      <w:r w:rsidR="00890F59" w:rsidRPr="000E262D">
        <w:rPr>
          <w:rFonts w:ascii="Times New Roman" w:hAnsi="Times New Roman" w:cs="Times New Roman"/>
          <w:color w:val="000000" w:themeColor="text1"/>
          <w:sz w:val="20"/>
          <w:szCs w:val="20"/>
        </w:rPr>
        <w:t>existing literature on the EU’s diffusion in ASEAN</w:t>
      </w:r>
      <w:r w:rsidR="009B23F4" w:rsidRPr="000E262D">
        <w:rPr>
          <w:rFonts w:ascii="Times New Roman" w:hAnsi="Times New Roman" w:cs="Times New Roman"/>
          <w:color w:val="000000" w:themeColor="text1"/>
          <w:sz w:val="20"/>
          <w:szCs w:val="20"/>
        </w:rPr>
        <w:t xml:space="preserve"> by </w:t>
      </w:r>
      <w:r w:rsidR="00890F59" w:rsidRPr="000E262D">
        <w:rPr>
          <w:rFonts w:ascii="Times New Roman" w:hAnsi="Times New Roman" w:cs="Times New Roman"/>
          <w:color w:val="000000" w:themeColor="text1"/>
          <w:sz w:val="20"/>
          <w:szCs w:val="20"/>
        </w:rPr>
        <w:t>investigating both sender-driven and recipient-driven mechanisms in shaping the process of EU’s externalization</w:t>
      </w:r>
      <w:r w:rsidR="00CF0CCF" w:rsidRPr="000E262D">
        <w:rPr>
          <w:rFonts w:ascii="Times New Roman" w:hAnsi="Times New Roman" w:cs="Times New Roman"/>
          <w:color w:val="000000" w:themeColor="text1"/>
          <w:sz w:val="20"/>
          <w:szCs w:val="20"/>
        </w:rPr>
        <w:t>, allowing a better understanding of how EU market-related norms and policies travel across borders.</w:t>
      </w:r>
    </w:p>
    <w:p w14:paraId="61666DB1" w14:textId="77777777" w:rsidR="00DE3618" w:rsidRPr="000E262D" w:rsidRDefault="00DE3618" w:rsidP="008A7331">
      <w:pPr>
        <w:rPr>
          <w:rFonts w:ascii="Times New Roman" w:hAnsi="Times New Roman" w:cs="Times New Roman"/>
          <w:color w:val="000000" w:themeColor="text1"/>
          <w:sz w:val="20"/>
          <w:szCs w:val="20"/>
        </w:rPr>
      </w:pPr>
    </w:p>
    <w:p w14:paraId="318AFF49" w14:textId="200EF3BF" w:rsidR="00DE02CF" w:rsidRPr="000E262D" w:rsidRDefault="00CA35C5" w:rsidP="008A7331">
      <w:pPr>
        <w:rPr>
          <w:rFonts w:ascii="Times New Roman" w:hAnsi="Times New Roman" w:cs="Times New Roman"/>
          <w:b/>
          <w:bCs/>
          <w:i/>
          <w:iCs/>
          <w:color w:val="000000" w:themeColor="text1"/>
          <w:sz w:val="20"/>
          <w:szCs w:val="20"/>
        </w:rPr>
      </w:pPr>
      <w:r w:rsidRPr="000E262D">
        <w:rPr>
          <w:rFonts w:ascii="Times New Roman" w:hAnsi="Times New Roman" w:cs="Times New Roman"/>
          <w:b/>
          <w:bCs/>
          <w:i/>
          <w:iCs/>
          <w:color w:val="000000" w:themeColor="text1"/>
          <w:sz w:val="20"/>
          <w:szCs w:val="20"/>
        </w:rPr>
        <w:t>ASEAN’s local context and its impact of the effectiveness of EU externalization</w:t>
      </w:r>
    </w:p>
    <w:p w14:paraId="3C706125" w14:textId="77777777" w:rsidR="00DE02CF" w:rsidRPr="000E262D" w:rsidRDefault="00DE02CF" w:rsidP="008A7331">
      <w:pPr>
        <w:rPr>
          <w:rFonts w:ascii="Times New Roman" w:hAnsi="Times New Roman" w:cs="Times New Roman"/>
          <w:color w:val="000000" w:themeColor="text1"/>
          <w:sz w:val="20"/>
          <w:szCs w:val="20"/>
        </w:rPr>
      </w:pPr>
    </w:p>
    <w:p w14:paraId="3E4BA92D" w14:textId="32750BB3" w:rsidR="00224051"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A closer look into ASEAN’s </w:t>
      </w:r>
      <w:r w:rsidR="004240CC" w:rsidRPr="000E262D">
        <w:rPr>
          <w:rFonts w:ascii="Times New Roman" w:hAnsi="Times New Roman" w:cs="Times New Roman"/>
          <w:color w:val="000000" w:themeColor="text1"/>
          <w:sz w:val="20"/>
          <w:szCs w:val="20"/>
        </w:rPr>
        <w:t>local context</w:t>
      </w:r>
      <w:r w:rsidRPr="000E262D">
        <w:rPr>
          <w:rFonts w:ascii="Times New Roman" w:hAnsi="Times New Roman" w:cs="Times New Roman"/>
          <w:color w:val="000000" w:themeColor="text1"/>
          <w:sz w:val="20"/>
          <w:szCs w:val="20"/>
        </w:rPr>
        <w:t xml:space="preserve"> shows that the organisation’s </w:t>
      </w:r>
      <w:r w:rsidR="00F23E6F"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normative </w:t>
      </w:r>
      <w:r w:rsidR="00F23E6F" w:rsidRPr="000E262D">
        <w:rPr>
          <w:rFonts w:ascii="Times New Roman" w:hAnsi="Times New Roman" w:cs="Times New Roman"/>
          <w:color w:val="000000" w:themeColor="text1"/>
          <w:sz w:val="20"/>
          <w:szCs w:val="20"/>
        </w:rPr>
        <w:t xml:space="preserve">prior” </w:t>
      </w:r>
      <w:r w:rsidRPr="000E262D">
        <w:rPr>
          <w:rFonts w:ascii="Times New Roman" w:hAnsi="Times New Roman" w:cs="Times New Roman"/>
          <w:color w:val="000000" w:themeColor="text1"/>
          <w:sz w:val="20"/>
          <w:szCs w:val="20"/>
        </w:rPr>
        <w:t>(Acharya 2004)</w:t>
      </w:r>
      <w:r w:rsidR="00CF0CCF" w:rsidRPr="000E262D">
        <w:rPr>
          <w:rFonts w:ascii="Times New Roman" w:hAnsi="Times New Roman" w:cs="Times New Roman"/>
          <w:color w:val="000000" w:themeColor="text1"/>
          <w:sz w:val="20"/>
          <w:szCs w:val="20"/>
        </w:rPr>
        <w:t xml:space="preserve"> – namely the pre-existing normative structure of ASEAN – h</w:t>
      </w:r>
      <w:r w:rsidRPr="000E262D">
        <w:rPr>
          <w:rFonts w:ascii="Times New Roman" w:hAnsi="Times New Roman" w:cs="Times New Roman"/>
          <w:color w:val="000000" w:themeColor="text1"/>
          <w:sz w:val="20"/>
          <w:szCs w:val="20"/>
        </w:rPr>
        <w:t>as played a significant role in shaping its reactions and responses to the EU’s</w:t>
      </w:r>
      <w:r w:rsidR="0047463F" w:rsidRPr="000E262D">
        <w:rPr>
          <w:rFonts w:ascii="Times New Roman" w:hAnsi="Times New Roman" w:cs="Times New Roman"/>
          <w:color w:val="000000" w:themeColor="text1"/>
          <w:sz w:val="20"/>
          <w:szCs w:val="20"/>
        </w:rPr>
        <w:t xml:space="preserve"> diffusion of market-related norms and policies</w:t>
      </w:r>
      <w:r w:rsidRPr="000E262D">
        <w:rPr>
          <w:rFonts w:ascii="Times New Roman" w:hAnsi="Times New Roman" w:cs="Times New Roman"/>
          <w:color w:val="000000" w:themeColor="text1"/>
          <w:sz w:val="20"/>
          <w:szCs w:val="20"/>
        </w:rPr>
        <w:t xml:space="preserve">. Whereas most of the existing research tends to perceive ASEAN’s cognitive structure as static and fixed (and dominated by the </w:t>
      </w:r>
      <w:r w:rsidR="00F23E6F"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ASEAN </w:t>
      </w:r>
      <w:r w:rsidR="00F23E6F" w:rsidRPr="000E262D">
        <w:rPr>
          <w:rFonts w:ascii="Times New Roman" w:hAnsi="Times New Roman" w:cs="Times New Roman"/>
          <w:color w:val="000000" w:themeColor="text1"/>
          <w:sz w:val="20"/>
          <w:szCs w:val="20"/>
        </w:rPr>
        <w:t>Way”</w:t>
      </w:r>
      <w:r w:rsidRPr="000E262D">
        <w:rPr>
          <w:rFonts w:ascii="Times New Roman" w:hAnsi="Times New Roman" w:cs="Times New Roman"/>
          <w:color w:val="000000" w:themeColor="text1"/>
          <w:sz w:val="20"/>
          <w:szCs w:val="20"/>
        </w:rPr>
        <w:t xml:space="preserve">), this study challenges that view. </w:t>
      </w:r>
      <w:r w:rsidR="0047463F" w:rsidRPr="000E262D">
        <w:rPr>
          <w:rFonts w:ascii="Times New Roman" w:hAnsi="Times New Roman" w:cs="Times New Roman"/>
          <w:color w:val="000000" w:themeColor="text1"/>
          <w:sz w:val="20"/>
          <w:szCs w:val="20"/>
        </w:rPr>
        <w:t xml:space="preserve">In fact, </w:t>
      </w:r>
      <w:r w:rsidRPr="000E262D">
        <w:rPr>
          <w:rFonts w:ascii="Times New Roman" w:hAnsi="Times New Roman" w:cs="Times New Roman"/>
          <w:color w:val="000000" w:themeColor="text1"/>
          <w:sz w:val="20"/>
          <w:szCs w:val="20"/>
        </w:rPr>
        <w:t xml:space="preserve">ASEAN’s normative considerations relating to market liberalization and economic integration have been evolving over the past two decades, and these normative changes have significant implications for ASEAN’s response to the EU’s </w:t>
      </w:r>
      <w:r w:rsidR="0047463F" w:rsidRPr="000E262D">
        <w:rPr>
          <w:rFonts w:ascii="Times New Roman" w:hAnsi="Times New Roman" w:cs="Times New Roman"/>
          <w:color w:val="000000" w:themeColor="text1"/>
          <w:sz w:val="20"/>
          <w:szCs w:val="20"/>
        </w:rPr>
        <w:t>externalization</w:t>
      </w:r>
      <w:r w:rsidRPr="000E262D">
        <w:rPr>
          <w:rFonts w:ascii="Times New Roman" w:hAnsi="Times New Roman" w:cs="Times New Roman"/>
          <w:color w:val="000000" w:themeColor="text1"/>
          <w:sz w:val="20"/>
          <w:szCs w:val="20"/>
        </w:rPr>
        <w:t xml:space="preserve">. This section examines the dynamic nature of ASEAN’s cognitive structure relating to </w:t>
      </w:r>
      <w:r w:rsidR="00224051" w:rsidRPr="000E262D">
        <w:rPr>
          <w:rFonts w:ascii="Times New Roman" w:hAnsi="Times New Roman" w:cs="Times New Roman"/>
          <w:color w:val="000000" w:themeColor="text1"/>
          <w:sz w:val="20"/>
          <w:szCs w:val="20"/>
        </w:rPr>
        <w:t>economic liberalism</w:t>
      </w:r>
      <w:r w:rsidRPr="000E262D">
        <w:rPr>
          <w:rFonts w:ascii="Times New Roman" w:hAnsi="Times New Roman" w:cs="Times New Roman"/>
          <w:color w:val="000000" w:themeColor="text1"/>
          <w:sz w:val="20"/>
          <w:szCs w:val="20"/>
        </w:rPr>
        <w:t xml:space="preserve"> before discussing how ASEAN’s existing normative structure has impacted the</w:t>
      </w:r>
      <w:r w:rsidR="00224051" w:rsidRPr="000E262D">
        <w:rPr>
          <w:rFonts w:ascii="Times New Roman" w:hAnsi="Times New Roman" w:cs="Times New Roman"/>
          <w:color w:val="000000" w:themeColor="text1"/>
          <w:sz w:val="20"/>
          <w:szCs w:val="20"/>
        </w:rPr>
        <w:t xml:space="preserve"> effectiveness of the EU’s externalization.</w:t>
      </w:r>
    </w:p>
    <w:p w14:paraId="77A5E9ED" w14:textId="77777777" w:rsidR="00224051"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 </w:t>
      </w:r>
    </w:p>
    <w:p w14:paraId="330C2D59" w14:textId="00946C19"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When tracing the history of economic integration in Southeast Asia, it can be observed that the overarching idea of trade liberalization is not new for ASEAN. As early as 1977, ASEAN member states signed a Preferential Trading Arrangement (PTA). This represented an important milestone for ASEAN economic cooperation, as the PTA marked the end of some ASEAN member states’ (especially Indonesia) resistance to trade liberalization (</w:t>
      </w:r>
      <w:proofErr w:type="spellStart"/>
      <w:r w:rsidRPr="000E262D">
        <w:rPr>
          <w:rFonts w:ascii="Times New Roman" w:hAnsi="Times New Roman" w:cs="Times New Roman"/>
          <w:color w:val="000000" w:themeColor="text1"/>
          <w:sz w:val="20"/>
          <w:szCs w:val="20"/>
        </w:rPr>
        <w:t>Dosch</w:t>
      </w:r>
      <w:proofErr w:type="spellEnd"/>
      <w:r w:rsidRPr="000E262D">
        <w:rPr>
          <w:rFonts w:ascii="Times New Roman" w:hAnsi="Times New Roman" w:cs="Times New Roman"/>
          <w:color w:val="000000" w:themeColor="text1"/>
          <w:sz w:val="20"/>
          <w:szCs w:val="20"/>
        </w:rPr>
        <w:t xml:space="preserve"> 2017). The PTA can be viewed as one of ASEAN’s early attempts to pursue intra-regional market liberalization, although the actual achievements of the PTA remained limited. In 1992, ASEAN member states agreed to implement the A</w:t>
      </w:r>
      <w:r w:rsidR="00730060" w:rsidRPr="000E262D">
        <w:rPr>
          <w:rFonts w:ascii="Times New Roman" w:hAnsi="Times New Roman" w:cs="Times New Roman"/>
          <w:color w:val="000000" w:themeColor="text1"/>
          <w:sz w:val="20"/>
          <w:szCs w:val="20"/>
        </w:rPr>
        <w:t xml:space="preserve">SEAN </w:t>
      </w:r>
      <w:r w:rsidRPr="000E262D">
        <w:rPr>
          <w:rFonts w:ascii="Times New Roman" w:hAnsi="Times New Roman" w:cs="Times New Roman"/>
          <w:color w:val="000000" w:themeColor="text1"/>
          <w:sz w:val="20"/>
          <w:szCs w:val="20"/>
        </w:rPr>
        <w:t>F</w:t>
      </w:r>
      <w:r w:rsidR="00730060" w:rsidRPr="000E262D">
        <w:rPr>
          <w:rFonts w:ascii="Times New Roman" w:hAnsi="Times New Roman" w:cs="Times New Roman"/>
          <w:color w:val="000000" w:themeColor="text1"/>
          <w:sz w:val="20"/>
          <w:szCs w:val="20"/>
        </w:rPr>
        <w:t xml:space="preserve">ree </w:t>
      </w:r>
      <w:r w:rsidRPr="000E262D">
        <w:rPr>
          <w:rFonts w:ascii="Times New Roman" w:hAnsi="Times New Roman" w:cs="Times New Roman"/>
          <w:color w:val="000000" w:themeColor="text1"/>
          <w:sz w:val="20"/>
          <w:szCs w:val="20"/>
        </w:rPr>
        <w:t>T</w:t>
      </w:r>
      <w:r w:rsidR="00730060" w:rsidRPr="000E262D">
        <w:rPr>
          <w:rFonts w:ascii="Times New Roman" w:hAnsi="Times New Roman" w:cs="Times New Roman"/>
          <w:color w:val="000000" w:themeColor="text1"/>
          <w:sz w:val="20"/>
          <w:szCs w:val="20"/>
        </w:rPr>
        <w:t>rade Area</w:t>
      </w:r>
      <w:r w:rsidRPr="000E262D">
        <w:rPr>
          <w:rFonts w:ascii="Times New Roman" w:hAnsi="Times New Roman" w:cs="Times New Roman"/>
          <w:color w:val="000000" w:themeColor="text1"/>
          <w:sz w:val="20"/>
          <w:szCs w:val="20"/>
        </w:rPr>
        <w:t xml:space="preserve">, which </w:t>
      </w:r>
      <w:r w:rsidRPr="000E262D">
        <w:rPr>
          <w:rFonts w:ascii="Times New Roman" w:hAnsi="Times New Roman" w:cs="Times New Roman"/>
          <w:color w:val="000000" w:themeColor="text1"/>
          <w:sz w:val="20"/>
          <w:szCs w:val="20"/>
        </w:rPr>
        <w:lastRenderedPageBreak/>
        <w:t xml:space="preserve">marked another breakthrough in ASEAN economic integration. These events imply an ideational shift among ASEAN decisionmakers, who incrementally embraced the idea of economic liberalization. This shift was partly caused by the shifting global economic environment, especially the trend of </w:t>
      </w:r>
      <w:r w:rsidR="008A78FA"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new </w:t>
      </w:r>
      <w:r w:rsidR="008A78FA" w:rsidRPr="000E262D">
        <w:rPr>
          <w:rFonts w:ascii="Times New Roman" w:hAnsi="Times New Roman" w:cs="Times New Roman"/>
          <w:color w:val="000000" w:themeColor="text1"/>
          <w:sz w:val="20"/>
          <w:szCs w:val="20"/>
        </w:rPr>
        <w:t xml:space="preserve">regionalism” </w:t>
      </w:r>
      <w:r w:rsidRPr="000E262D">
        <w:rPr>
          <w:rFonts w:ascii="Times New Roman" w:hAnsi="Times New Roman" w:cs="Times New Roman"/>
          <w:color w:val="000000" w:themeColor="text1"/>
          <w:sz w:val="20"/>
          <w:szCs w:val="20"/>
        </w:rPr>
        <w:t>in other parts of the world, exemplified by the establishment of NAFTA and the European Single Market (</w:t>
      </w:r>
      <w:proofErr w:type="spellStart"/>
      <w:r w:rsidRPr="000E262D">
        <w:rPr>
          <w:rFonts w:ascii="Times New Roman" w:hAnsi="Times New Roman" w:cs="Times New Roman"/>
          <w:color w:val="000000" w:themeColor="text1"/>
          <w:sz w:val="20"/>
          <w:szCs w:val="20"/>
        </w:rPr>
        <w:t>Dosch</w:t>
      </w:r>
      <w:proofErr w:type="spellEnd"/>
      <w:r w:rsidRPr="000E262D">
        <w:rPr>
          <w:rFonts w:ascii="Times New Roman" w:hAnsi="Times New Roman" w:cs="Times New Roman"/>
          <w:color w:val="000000" w:themeColor="text1"/>
          <w:sz w:val="20"/>
          <w:szCs w:val="20"/>
        </w:rPr>
        <w:t xml:space="preserve"> 2017</w:t>
      </w:r>
      <w:r w:rsidR="00120642"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w:t>
      </w:r>
    </w:p>
    <w:p w14:paraId="753479BC" w14:textId="77777777" w:rsidR="00DE02CF" w:rsidRPr="000E262D" w:rsidRDefault="00DE02CF" w:rsidP="008A7331">
      <w:pPr>
        <w:rPr>
          <w:rFonts w:ascii="Times New Roman" w:hAnsi="Times New Roman" w:cs="Times New Roman"/>
          <w:color w:val="000000" w:themeColor="text1"/>
          <w:sz w:val="20"/>
          <w:szCs w:val="20"/>
        </w:rPr>
      </w:pPr>
    </w:p>
    <w:p w14:paraId="792F094B" w14:textId="77777777"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Between the late 1970s and the 1990s, ASEAN’s gradual acceptance of the idea of economic liberalism created a degree of normative congruence between ASEAN and the EU. The Asian financial crisis accelerated ASEAN leaders’ ideational shift, in that the crisis strengthened ASEAN political elites’ desire for deeper and more comprehensive economic integration. In the late 1990s and early 2000s, ASEAN’s desire to pursue deeper economic liberalization resonated with the EU’s </w:t>
      </w:r>
      <w:r w:rsidR="00224051" w:rsidRPr="000E262D">
        <w:rPr>
          <w:rFonts w:ascii="Times New Roman" w:hAnsi="Times New Roman" w:cs="Times New Roman"/>
          <w:color w:val="000000" w:themeColor="text1"/>
          <w:sz w:val="20"/>
          <w:szCs w:val="20"/>
        </w:rPr>
        <w:t>intention to promote economic liberalism externally</w:t>
      </w:r>
      <w:r w:rsidRPr="000E262D">
        <w:rPr>
          <w:rFonts w:ascii="Times New Roman" w:hAnsi="Times New Roman" w:cs="Times New Roman"/>
          <w:color w:val="000000" w:themeColor="text1"/>
          <w:sz w:val="20"/>
          <w:szCs w:val="20"/>
        </w:rPr>
        <w:t xml:space="preserve">. This normative congruence at the level of overarching ideas paved the way for ASEAN’s further adoption of the EU single market model in the initial design of the AEC in 2003. As mentioned in the previous section, during the early years of AEC creation, ASEAN resonated with the </w:t>
      </w:r>
      <w:r w:rsidR="00224051" w:rsidRPr="000E262D">
        <w:rPr>
          <w:rFonts w:ascii="Times New Roman" w:hAnsi="Times New Roman" w:cs="Times New Roman"/>
          <w:color w:val="000000" w:themeColor="text1"/>
          <w:sz w:val="20"/>
          <w:szCs w:val="20"/>
        </w:rPr>
        <w:t>EU’s</w:t>
      </w:r>
      <w:r w:rsidRPr="000E262D">
        <w:rPr>
          <w:rFonts w:ascii="Times New Roman" w:hAnsi="Times New Roman" w:cs="Times New Roman"/>
          <w:color w:val="000000" w:themeColor="text1"/>
          <w:sz w:val="20"/>
          <w:szCs w:val="20"/>
        </w:rPr>
        <w:t xml:space="preserve"> idea of economic liberalism </w:t>
      </w:r>
      <w:r w:rsidR="00224051" w:rsidRPr="000E262D">
        <w:rPr>
          <w:rFonts w:ascii="Times New Roman" w:hAnsi="Times New Roman" w:cs="Times New Roman"/>
          <w:color w:val="000000" w:themeColor="text1"/>
          <w:sz w:val="20"/>
          <w:szCs w:val="20"/>
        </w:rPr>
        <w:t>by trying to</w:t>
      </w:r>
      <w:r w:rsidRPr="000E262D">
        <w:rPr>
          <w:rFonts w:ascii="Times New Roman" w:hAnsi="Times New Roman" w:cs="Times New Roman"/>
          <w:color w:val="000000" w:themeColor="text1"/>
          <w:sz w:val="20"/>
          <w:szCs w:val="20"/>
        </w:rPr>
        <w:t xml:space="preserve"> imitate the EU’s </w:t>
      </w:r>
      <w:r w:rsidR="00224051" w:rsidRPr="000E262D">
        <w:rPr>
          <w:rFonts w:ascii="Times New Roman" w:hAnsi="Times New Roman" w:cs="Times New Roman"/>
          <w:color w:val="000000" w:themeColor="text1"/>
          <w:sz w:val="20"/>
          <w:szCs w:val="20"/>
        </w:rPr>
        <w:t>single market model</w:t>
      </w:r>
      <w:r w:rsidRPr="000E262D">
        <w:rPr>
          <w:rFonts w:ascii="Times New Roman" w:hAnsi="Times New Roman" w:cs="Times New Roman"/>
          <w:color w:val="000000" w:themeColor="text1"/>
          <w:sz w:val="20"/>
          <w:szCs w:val="20"/>
        </w:rPr>
        <w:t xml:space="preserve">. </w:t>
      </w:r>
      <w:r w:rsidR="00224051" w:rsidRPr="000E262D">
        <w:rPr>
          <w:rFonts w:ascii="Times New Roman" w:hAnsi="Times New Roman" w:cs="Times New Roman"/>
          <w:color w:val="000000" w:themeColor="text1"/>
          <w:sz w:val="20"/>
          <w:szCs w:val="20"/>
        </w:rPr>
        <w:t>Since 2007</w:t>
      </w:r>
      <w:r w:rsidRPr="000E262D">
        <w:rPr>
          <w:rFonts w:ascii="Times New Roman" w:hAnsi="Times New Roman" w:cs="Times New Roman"/>
          <w:color w:val="000000" w:themeColor="text1"/>
          <w:sz w:val="20"/>
          <w:szCs w:val="20"/>
        </w:rPr>
        <w:t xml:space="preserve">, however, ASEAN gradually abandoned the EU-like blueprint of economic integration, although </w:t>
      </w:r>
      <w:r w:rsidR="00120642" w:rsidRPr="000E262D">
        <w:rPr>
          <w:rFonts w:ascii="Times New Roman" w:hAnsi="Times New Roman" w:cs="Times New Roman"/>
          <w:color w:val="000000" w:themeColor="text1"/>
          <w:sz w:val="20"/>
          <w:szCs w:val="20"/>
        </w:rPr>
        <w:t>learning can still be observed at the level of precise market-related policies and regulatory measures</w:t>
      </w:r>
      <w:r w:rsidRPr="000E262D">
        <w:rPr>
          <w:rFonts w:ascii="Times New Roman" w:hAnsi="Times New Roman" w:cs="Times New Roman"/>
          <w:color w:val="000000" w:themeColor="text1"/>
          <w:sz w:val="20"/>
          <w:szCs w:val="20"/>
        </w:rPr>
        <w:t xml:space="preserve">. It is worth investigating what factors might explain this shift.  </w:t>
      </w:r>
    </w:p>
    <w:p w14:paraId="1C8486F2" w14:textId="77777777" w:rsidR="00DE02CF" w:rsidRPr="000E262D" w:rsidRDefault="00DE02CF" w:rsidP="008A7331">
      <w:pPr>
        <w:rPr>
          <w:rFonts w:ascii="Times New Roman" w:hAnsi="Times New Roman" w:cs="Times New Roman"/>
          <w:color w:val="000000" w:themeColor="text1"/>
          <w:sz w:val="20"/>
          <w:szCs w:val="20"/>
        </w:rPr>
      </w:pPr>
    </w:p>
    <w:p w14:paraId="2339BFC4" w14:textId="77777777" w:rsidR="00DE02CF"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One major problem was that ASEAN’s desire to pursue deeper economic integration based on the EU’s governance model was constrained by the ASEAN’s fundamental political norms of respect for state sovereignty and non-interference. In other words, the tension between ASEAN’s political principles and economic norms led to the exclusion of an EU-style governance model from the AEC agenda. As an ASEAN official pointed out, political norms such as non-interference, state sovereignty and consensus-based decision-making remain fundamental priorities for ASEAN and are unlikely to be challenged or replaced in the foreseeable future.</w:t>
      </w:r>
      <w:r w:rsidR="00462EF7" w:rsidRPr="000E262D">
        <w:rPr>
          <w:rStyle w:val="a7"/>
          <w:rFonts w:ascii="Times New Roman" w:hAnsi="Times New Roman" w:cs="Times New Roman"/>
          <w:color w:val="000000" w:themeColor="text1"/>
          <w:sz w:val="20"/>
          <w:szCs w:val="20"/>
        </w:rPr>
        <w:footnoteReference w:id="26"/>
      </w:r>
      <w:r w:rsidRPr="000E262D">
        <w:rPr>
          <w:rFonts w:ascii="Times New Roman" w:hAnsi="Times New Roman" w:cs="Times New Roman"/>
          <w:color w:val="000000" w:themeColor="text1"/>
          <w:sz w:val="20"/>
          <w:szCs w:val="20"/>
        </w:rPr>
        <w:t xml:space="preserve"> </w:t>
      </w:r>
    </w:p>
    <w:p w14:paraId="797E9179" w14:textId="77777777" w:rsidR="00DE02CF" w:rsidRPr="000E262D" w:rsidRDefault="00DE02CF" w:rsidP="008A7331">
      <w:pPr>
        <w:rPr>
          <w:rFonts w:ascii="Times New Roman" w:hAnsi="Times New Roman" w:cs="Times New Roman"/>
          <w:color w:val="000000" w:themeColor="text1"/>
          <w:sz w:val="20"/>
          <w:szCs w:val="20"/>
        </w:rPr>
      </w:pPr>
    </w:p>
    <w:p w14:paraId="079FD5E8" w14:textId="71E50C76" w:rsidR="00EB3BA6"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Another factor in ASEAN’s lowered expectations of economic integration lies in its institutional structure and capacity. </w:t>
      </w:r>
      <w:r w:rsidR="00EB3BA6" w:rsidRPr="000E262D">
        <w:rPr>
          <w:rFonts w:ascii="Times New Roman" w:hAnsi="Times New Roman" w:cs="Times New Roman"/>
          <w:color w:val="000000" w:themeColor="text1"/>
          <w:sz w:val="20"/>
          <w:szCs w:val="20"/>
        </w:rPr>
        <w:t>In particular, interviewees from ASEAN pointed out that there is little similarity between the EU and ASEAN in terms of institutional structure. The low level of institutionalization has been a major constraining factor</w:t>
      </w:r>
      <w:r w:rsidR="00475CE6" w:rsidRPr="000E262D">
        <w:rPr>
          <w:rFonts w:ascii="Times New Roman" w:hAnsi="Times New Roman" w:cs="Times New Roman"/>
          <w:color w:val="000000" w:themeColor="text1"/>
          <w:sz w:val="20"/>
          <w:szCs w:val="20"/>
        </w:rPr>
        <w:t xml:space="preserve"> for ASEAN to achieve further economic integration.</w:t>
      </w:r>
      <w:r w:rsidR="00475CE6" w:rsidRPr="000E262D">
        <w:rPr>
          <w:rStyle w:val="a7"/>
          <w:rFonts w:ascii="Times New Roman" w:hAnsi="Times New Roman" w:cs="Times New Roman"/>
          <w:color w:val="000000" w:themeColor="text1"/>
          <w:sz w:val="20"/>
          <w:szCs w:val="20"/>
        </w:rPr>
        <w:footnoteReference w:id="27"/>
      </w:r>
      <w:r w:rsidR="00475CE6" w:rsidRPr="000E262D">
        <w:rPr>
          <w:rFonts w:ascii="Times New Roman" w:hAnsi="Times New Roman" w:cs="Times New Roman"/>
          <w:color w:val="000000" w:themeColor="text1"/>
          <w:sz w:val="20"/>
          <w:szCs w:val="20"/>
        </w:rPr>
        <w:t xml:space="preserve"> Another interviewee attributed the adaptation of AEC goals to ASEAN’s institutional and legal limitations and argued that </w:t>
      </w:r>
      <w:r w:rsidR="00814A94" w:rsidRPr="000E262D">
        <w:rPr>
          <w:rFonts w:ascii="Times New Roman" w:hAnsi="Times New Roman" w:cs="Times New Roman"/>
          <w:color w:val="000000" w:themeColor="text1"/>
          <w:sz w:val="20"/>
          <w:szCs w:val="20"/>
        </w:rPr>
        <w:t>“</w:t>
      </w:r>
      <w:r w:rsidR="00475CE6" w:rsidRPr="000E262D">
        <w:rPr>
          <w:rFonts w:ascii="Times New Roman" w:hAnsi="Times New Roman" w:cs="Times New Roman"/>
          <w:color w:val="000000" w:themeColor="text1"/>
          <w:sz w:val="20"/>
          <w:szCs w:val="20"/>
        </w:rPr>
        <w:t xml:space="preserve">ASEAN is only at the very beginning of building a rule-based institutional </w:t>
      </w:r>
      <w:r w:rsidR="00814A94" w:rsidRPr="000E262D">
        <w:rPr>
          <w:rFonts w:ascii="Times New Roman" w:hAnsi="Times New Roman" w:cs="Times New Roman"/>
          <w:color w:val="000000" w:themeColor="text1"/>
          <w:sz w:val="20"/>
          <w:szCs w:val="20"/>
        </w:rPr>
        <w:t>framework”</w:t>
      </w:r>
      <w:r w:rsidR="00475CE6" w:rsidRPr="000E262D">
        <w:rPr>
          <w:rFonts w:ascii="Times New Roman" w:hAnsi="Times New Roman" w:cs="Times New Roman"/>
          <w:color w:val="000000" w:themeColor="text1"/>
          <w:sz w:val="20"/>
          <w:szCs w:val="20"/>
        </w:rPr>
        <w:t>, which makes it difficult for ASEAN to develop a centralized common commercial policy as the one of Europe.</w:t>
      </w:r>
      <w:r w:rsidR="00475CE6" w:rsidRPr="000E262D">
        <w:rPr>
          <w:rStyle w:val="a7"/>
          <w:rFonts w:ascii="Times New Roman" w:hAnsi="Times New Roman" w:cs="Times New Roman"/>
          <w:color w:val="000000" w:themeColor="text1"/>
          <w:sz w:val="20"/>
          <w:szCs w:val="20"/>
        </w:rPr>
        <w:footnoteReference w:id="28"/>
      </w:r>
    </w:p>
    <w:p w14:paraId="19DDDE01" w14:textId="77777777" w:rsidR="00DE02CF" w:rsidRPr="000E262D" w:rsidRDefault="00DE02CF" w:rsidP="008A7331">
      <w:pPr>
        <w:rPr>
          <w:rFonts w:ascii="Times New Roman" w:hAnsi="Times New Roman" w:cs="Times New Roman"/>
          <w:color w:val="000000" w:themeColor="text1"/>
          <w:sz w:val="20"/>
          <w:szCs w:val="20"/>
        </w:rPr>
      </w:pPr>
    </w:p>
    <w:p w14:paraId="4F9DF5A8" w14:textId="738A93B2" w:rsidR="00062D73" w:rsidRPr="000E262D" w:rsidRDefault="00DE02C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Another problem is that ASEAN Secretariat lacks substantive power, capacity</w:t>
      </w:r>
      <w:r w:rsidR="00814A94"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 and funding to implement the ambitious goal of establishing a well-functioning single market. As one former ASEAN diplomat mentioned, </w:t>
      </w:r>
      <w:r w:rsidR="00062D73" w:rsidRPr="000E262D">
        <w:rPr>
          <w:rFonts w:ascii="Times New Roman" w:hAnsi="Times New Roman" w:cs="Times New Roman"/>
          <w:color w:val="000000" w:themeColor="text1"/>
          <w:sz w:val="20"/>
          <w:szCs w:val="20"/>
        </w:rPr>
        <w:t>m</w:t>
      </w:r>
      <w:r w:rsidRPr="000E262D">
        <w:rPr>
          <w:rFonts w:ascii="Times New Roman" w:hAnsi="Times New Roman" w:cs="Times New Roman"/>
          <w:color w:val="000000" w:themeColor="text1"/>
          <w:sz w:val="20"/>
          <w:szCs w:val="20"/>
        </w:rPr>
        <w:t>any of the EU-funding projects did not go beyond five years, as ASEAN cannot fund the projects beyond five years on their own.</w:t>
      </w:r>
      <w:r w:rsidR="00475CE6" w:rsidRPr="000E262D">
        <w:rPr>
          <w:rStyle w:val="a7"/>
          <w:rFonts w:ascii="Times New Roman" w:hAnsi="Times New Roman" w:cs="Times New Roman"/>
          <w:color w:val="000000" w:themeColor="text1"/>
          <w:sz w:val="20"/>
          <w:szCs w:val="20"/>
        </w:rPr>
        <w:footnoteReference w:id="29"/>
      </w:r>
      <w:r w:rsidRPr="000E262D">
        <w:rPr>
          <w:rFonts w:ascii="Times New Roman" w:hAnsi="Times New Roman" w:cs="Times New Roman"/>
          <w:color w:val="000000" w:themeColor="text1"/>
          <w:sz w:val="20"/>
          <w:szCs w:val="20"/>
        </w:rPr>
        <w:t xml:space="preserve"> </w:t>
      </w:r>
      <w:r w:rsidR="00475CE6" w:rsidRPr="000E262D">
        <w:rPr>
          <w:rFonts w:ascii="Times New Roman" w:hAnsi="Times New Roman" w:cs="Times New Roman"/>
          <w:color w:val="000000" w:themeColor="text1"/>
          <w:sz w:val="20"/>
          <w:szCs w:val="20"/>
        </w:rPr>
        <w:t xml:space="preserve">An additional </w:t>
      </w:r>
      <w:r w:rsidRPr="000E262D">
        <w:rPr>
          <w:rFonts w:ascii="Times New Roman" w:hAnsi="Times New Roman" w:cs="Times New Roman"/>
          <w:color w:val="000000" w:themeColor="text1"/>
          <w:sz w:val="20"/>
          <w:szCs w:val="20"/>
        </w:rPr>
        <w:t xml:space="preserve">domestic factor that constrained ASEAN’s pursuit of the EU-styled economic </w:t>
      </w:r>
      <w:r w:rsidR="00062D73" w:rsidRPr="000E262D">
        <w:rPr>
          <w:rFonts w:ascii="Times New Roman" w:hAnsi="Times New Roman" w:cs="Times New Roman"/>
          <w:color w:val="000000" w:themeColor="text1"/>
          <w:sz w:val="20"/>
          <w:szCs w:val="20"/>
        </w:rPr>
        <w:t>integration lies in the region’s</w:t>
      </w:r>
      <w:r w:rsidRPr="000E262D">
        <w:rPr>
          <w:rFonts w:ascii="Times New Roman" w:hAnsi="Times New Roman" w:cs="Times New Roman"/>
          <w:color w:val="000000" w:themeColor="text1"/>
          <w:sz w:val="20"/>
          <w:szCs w:val="20"/>
        </w:rPr>
        <w:t xml:space="preserve"> high level of diversity. </w:t>
      </w:r>
      <w:r w:rsidR="00475CE6" w:rsidRPr="000E262D">
        <w:rPr>
          <w:rFonts w:ascii="Times New Roman" w:hAnsi="Times New Roman" w:cs="Times New Roman"/>
          <w:color w:val="000000" w:themeColor="text1"/>
          <w:sz w:val="20"/>
          <w:szCs w:val="20"/>
        </w:rPr>
        <w:t>One</w:t>
      </w:r>
      <w:r w:rsidRPr="000E262D">
        <w:rPr>
          <w:rFonts w:ascii="Times New Roman" w:hAnsi="Times New Roman" w:cs="Times New Roman"/>
          <w:color w:val="000000" w:themeColor="text1"/>
          <w:sz w:val="20"/>
          <w:szCs w:val="20"/>
        </w:rPr>
        <w:t xml:space="preserve"> ASEAN </w:t>
      </w:r>
      <w:r w:rsidR="00475CE6" w:rsidRPr="000E262D">
        <w:rPr>
          <w:rFonts w:ascii="Times New Roman" w:hAnsi="Times New Roman" w:cs="Times New Roman"/>
          <w:color w:val="000000" w:themeColor="text1"/>
          <w:sz w:val="20"/>
          <w:szCs w:val="20"/>
        </w:rPr>
        <w:t xml:space="preserve">official </w:t>
      </w:r>
      <w:r w:rsidRPr="000E262D">
        <w:rPr>
          <w:rFonts w:ascii="Times New Roman" w:hAnsi="Times New Roman" w:cs="Times New Roman"/>
          <w:color w:val="000000" w:themeColor="text1"/>
          <w:sz w:val="20"/>
          <w:szCs w:val="20"/>
        </w:rPr>
        <w:t xml:space="preserve">explicitly acknowledged that one of the </w:t>
      </w:r>
      <w:r w:rsidR="00475CE6" w:rsidRPr="000E262D">
        <w:rPr>
          <w:rFonts w:ascii="Times New Roman" w:hAnsi="Times New Roman" w:cs="Times New Roman"/>
          <w:color w:val="000000" w:themeColor="text1"/>
          <w:sz w:val="20"/>
          <w:szCs w:val="20"/>
        </w:rPr>
        <w:t>main</w:t>
      </w:r>
      <w:r w:rsidRPr="000E262D">
        <w:rPr>
          <w:rFonts w:ascii="Times New Roman" w:hAnsi="Times New Roman" w:cs="Times New Roman"/>
          <w:color w:val="000000" w:themeColor="text1"/>
          <w:sz w:val="20"/>
          <w:szCs w:val="20"/>
        </w:rPr>
        <w:t xml:space="preserve"> reasons why ASEAN gave up the objective of </w:t>
      </w:r>
      <w:r w:rsidRPr="000E262D">
        <w:rPr>
          <w:rFonts w:ascii="Times New Roman" w:hAnsi="Times New Roman" w:cs="Times New Roman"/>
          <w:color w:val="000000" w:themeColor="text1"/>
          <w:sz w:val="20"/>
          <w:szCs w:val="20"/>
        </w:rPr>
        <w:lastRenderedPageBreak/>
        <w:t xml:space="preserve">becoming an EU-like single market is that </w:t>
      </w:r>
      <w:r w:rsidR="002F1A35" w:rsidRPr="000E262D">
        <w:rPr>
          <w:rFonts w:ascii="Times New Roman" w:hAnsi="Times New Roman" w:cs="Times New Roman"/>
          <w:color w:val="000000" w:themeColor="text1"/>
          <w:sz w:val="20"/>
          <w:szCs w:val="20"/>
        </w:rPr>
        <w:t>“</w:t>
      </w:r>
      <w:r w:rsidRPr="000E262D">
        <w:rPr>
          <w:rFonts w:ascii="Times New Roman" w:hAnsi="Times New Roman" w:cs="Times New Roman"/>
          <w:color w:val="000000" w:themeColor="text1"/>
          <w:sz w:val="20"/>
          <w:szCs w:val="20"/>
        </w:rPr>
        <w:t xml:space="preserve">ASEAN has such a high degree of diversity that our member states may never agree on the development of a supranational </w:t>
      </w:r>
      <w:r w:rsidR="002F1A35" w:rsidRPr="000E262D">
        <w:rPr>
          <w:rFonts w:ascii="Times New Roman" w:hAnsi="Times New Roman" w:cs="Times New Roman"/>
          <w:color w:val="000000" w:themeColor="text1"/>
          <w:sz w:val="20"/>
          <w:szCs w:val="20"/>
        </w:rPr>
        <w:t>institution”</w:t>
      </w:r>
      <w:r w:rsidRPr="000E262D">
        <w:rPr>
          <w:rFonts w:ascii="Times New Roman" w:hAnsi="Times New Roman" w:cs="Times New Roman"/>
          <w:color w:val="000000" w:themeColor="text1"/>
          <w:sz w:val="20"/>
          <w:szCs w:val="20"/>
        </w:rPr>
        <w:t>.</w:t>
      </w:r>
      <w:r w:rsidR="00475CE6" w:rsidRPr="000E262D">
        <w:rPr>
          <w:rStyle w:val="a7"/>
          <w:rFonts w:ascii="Times New Roman" w:hAnsi="Times New Roman" w:cs="Times New Roman"/>
          <w:color w:val="000000" w:themeColor="text1"/>
          <w:sz w:val="20"/>
          <w:szCs w:val="20"/>
        </w:rPr>
        <w:footnoteReference w:id="30"/>
      </w:r>
      <w:r w:rsidRPr="000E262D">
        <w:rPr>
          <w:rFonts w:ascii="Times New Roman" w:hAnsi="Times New Roman" w:cs="Times New Roman"/>
          <w:color w:val="000000" w:themeColor="text1"/>
          <w:sz w:val="20"/>
          <w:szCs w:val="20"/>
        </w:rPr>
        <w:t xml:space="preserve"> </w:t>
      </w:r>
      <w:r w:rsidR="008F6C64" w:rsidRPr="000E262D">
        <w:rPr>
          <w:rFonts w:ascii="Times New Roman" w:hAnsi="Times New Roman" w:cs="Times New Roman"/>
          <w:color w:val="000000" w:themeColor="text1"/>
          <w:sz w:val="20"/>
          <w:szCs w:val="20"/>
        </w:rPr>
        <w:t>The intergovernmental nature</w:t>
      </w:r>
      <w:r w:rsidR="00514FD2" w:rsidRPr="000E262D">
        <w:rPr>
          <w:rFonts w:ascii="Times New Roman" w:hAnsi="Times New Roman" w:cs="Times New Roman"/>
          <w:color w:val="000000" w:themeColor="text1"/>
          <w:sz w:val="20"/>
          <w:szCs w:val="20"/>
        </w:rPr>
        <w:t xml:space="preserve"> and diversity</w:t>
      </w:r>
      <w:r w:rsidR="008F6C64" w:rsidRPr="000E262D">
        <w:rPr>
          <w:rFonts w:ascii="Times New Roman" w:hAnsi="Times New Roman" w:cs="Times New Roman"/>
          <w:color w:val="000000" w:themeColor="text1"/>
          <w:sz w:val="20"/>
          <w:szCs w:val="20"/>
        </w:rPr>
        <w:t xml:space="preserve"> of ASEAN ha</w:t>
      </w:r>
      <w:r w:rsidR="00514FD2" w:rsidRPr="000E262D">
        <w:rPr>
          <w:rFonts w:ascii="Times New Roman" w:hAnsi="Times New Roman" w:cs="Times New Roman"/>
          <w:color w:val="000000" w:themeColor="text1"/>
          <w:sz w:val="20"/>
          <w:szCs w:val="20"/>
        </w:rPr>
        <w:t>ve</w:t>
      </w:r>
      <w:r w:rsidR="008F6C64" w:rsidRPr="000E262D">
        <w:rPr>
          <w:rFonts w:ascii="Times New Roman" w:hAnsi="Times New Roman" w:cs="Times New Roman"/>
          <w:color w:val="000000" w:themeColor="text1"/>
          <w:sz w:val="20"/>
          <w:szCs w:val="20"/>
        </w:rPr>
        <w:t xml:space="preserve"> significantly constrained the EU’s externalization of market-related ideas and policies in the region</w:t>
      </w:r>
      <w:r w:rsidR="00514FD2" w:rsidRPr="000E262D">
        <w:rPr>
          <w:rFonts w:ascii="Times New Roman" w:hAnsi="Times New Roman" w:cs="Times New Roman"/>
          <w:color w:val="000000" w:themeColor="text1"/>
          <w:sz w:val="20"/>
          <w:szCs w:val="20"/>
        </w:rPr>
        <w:t xml:space="preserve">, which is reflected in the failure of the EU-ASEAN regional FTA negotiations in 2009 and the Union’s shift towards a bilateral approach of FTA negotiation with individual ASEAN member states (Meissner 2016). </w:t>
      </w:r>
      <w:r w:rsidRPr="000E262D">
        <w:rPr>
          <w:rFonts w:ascii="Times New Roman" w:hAnsi="Times New Roman" w:cs="Times New Roman"/>
          <w:color w:val="000000" w:themeColor="text1"/>
          <w:sz w:val="20"/>
          <w:szCs w:val="20"/>
        </w:rPr>
        <w:t xml:space="preserve">This view is shared by </w:t>
      </w:r>
      <w:r w:rsidR="00475CE6" w:rsidRPr="000E262D">
        <w:rPr>
          <w:rFonts w:ascii="Times New Roman" w:hAnsi="Times New Roman" w:cs="Times New Roman"/>
          <w:color w:val="000000" w:themeColor="text1"/>
          <w:sz w:val="20"/>
          <w:szCs w:val="20"/>
        </w:rPr>
        <w:t xml:space="preserve">numerous </w:t>
      </w:r>
      <w:r w:rsidRPr="000E262D">
        <w:rPr>
          <w:rFonts w:ascii="Times New Roman" w:hAnsi="Times New Roman" w:cs="Times New Roman"/>
          <w:color w:val="000000" w:themeColor="text1"/>
          <w:sz w:val="20"/>
          <w:szCs w:val="20"/>
        </w:rPr>
        <w:t>interviewees from the EU, who pointed out that the high level of diversity and difference among ASEAN members</w:t>
      </w:r>
      <w:r w:rsidR="00514FD2"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in terms of economic and political systems was a major obstacle for the EU when trying to promote economic liberalization and integration in the region.</w:t>
      </w:r>
      <w:r w:rsidR="00062D73"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 xml:space="preserve">These factors relating to ASEAN’s domestic normative and institutional structures help explain how local context plays a significant role in impacting </w:t>
      </w:r>
      <w:r w:rsidR="00062D73" w:rsidRPr="000E262D">
        <w:rPr>
          <w:rFonts w:ascii="Times New Roman" w:hAnsi="Times New Roman" w:cs="Times New Roman"/>
          <w:color w:val="000000" w:themeColor="text1"/>
          <w:sz w:val="20"/>
          <w:szCs w:val="20"/>
        </w:rPr>
        <w:t xml:space="preserve">the </w:t>
      </w:r>
      <w:r w:rsidRPr="000E262D">
        <w:rPr>
          <w:rFonts w:ascii="Times New Roman" w:hAnsi="Times New Roman" w:cs="Times New Roman"/>
          <w:color w:val="000000" w:themeColor="text1"/>
          <w:sz w:val="20"/>
          <w:szCs w:val="20"/>
        </w:rPr>
        <w:t>outcomes</w:t>
      </w:r>
      <w:r w:rsidR="00062D73" w:rsidRPr="000E262D">
        <w:rPr>
          <w:rFonts w:ascii="Times New Roman" w:hAnsi="Times New Roman" w:cs="Times New Roman"/>
          <w:color w:val="000000" w:themeColor="text1"/>
          <w:sz w:val="20"/>
          <w:szCs w:val="20"/>
        </w:rPr>
        <w:t xml:space="preserve"> of the EU’s </w:t>
      </w:r>
      <w:r w:rsidR="007C530F" w:rsidRPr="000E262D">
        <w:rPr>
          <w:rFonts w:ascii="Times New Roman" w:hAnsi="Times New Roman" w:cs="Times New Roman"/>
          <w:color w:val="000000" w:themeColor="text1"/>
          <w:sz w:val="20"/>
          <w:szCs w:val="20"/>
        </w:rPr>
        <w:t>externalization of market-related norms and practices.</w:t>
      </w:r>
    </w:p>
    <w:p w14:paraId="79E616C7" w14:textId="77777777" w:rsidR="004C18F2" w:rsidRPr="000E262D" w:rsidRDefault="004C18F2" w:rsidP="008A7331">
      <w:pPr>
        <w:rPr>
          <w:rFonts w:ascii="Times New Roman" w:hAnsi="Times New Roman" w:cs="Times New Roman"/>
          <w:color w:val="000000" w:themeColor="text1"/>
          <w:sz w:val="20"/>
          <w:szCs w:val="20"/>
        </w:rPr>
      </w:pPr>
    </w:p>
    <w:p w14:paraId="0B04CDF4" w14:textId="77777777" w:rsidR="004C18F2" w:rsidRPr="000E262D" w:rsidRDefault="004C18F2" w:rsidP="008A7331">
      <w:pPr>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Conclusion</w:t>
      </w:r>
    </w:p>
    <w:p w14:paraId="525DAE48" w14:textId="77777777" w:rsidR="0032099F" w:rsidRPr="000E262D" w:rsidRDefault="0032099F" w:rsidP="008A7331">
      <w:pPr>
        <w:rPr>
          <w:rFonts w:ascii="Times New Roman" w:hAnsi="Times New Roman" w:cs="Times New Roman"/>
          <w:b/>
          <w:bCs/>
          <w:color w:val="000000" w:themeColor="text1"/>
          <w:sz w:val="20"/>
          <w:szCs w:val="20"/>
        </w:rPr>
      </w:pPr>
    </w:p>
    <w:p w14:paraId="6EF3D32D" w14:textId="4642561F" w:rsidR="00FB34BF" w:rsidRPr="000E262D" w:rsidRDefault="0032099F"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By </w:t>
      </w:r>
      <w:r w:rsidR="004C7291" w:rsidRPr="000E262D">
        <w:rPr>
          <w:rFonts w:ascii="Times New Roman" w:hAnsi="Times New Roman" w:cs="Times New Roman"/>
          <w:color w:val="000000" w:themeColor="text1"/>
          <w:sz w:val="20"/>
          <w:szCs w:val="20"/>
        </w:rPr>
        <w:t>analysing</w:t>
      </w:r>
      <w:r w:rsidRPr="000E262D">
        <w:rPr>
          <w:rFonts w:ascii="Times New Roman" w:hAnsi="Times New Roman" w:cs="Times New Roman"/>
          <w:color w:val="000000" w:themeColor="text1"/>
          <w:sz w:val="20"/>
          <w:szCs w:val="20"/>
        </w:rPr>
        <w:t xml:space="preserve"> the process through which the EU externali</w:t>
      </w:r>
      <w:r w:rsidR="001C4F0D" w:rsidRPr="000E262D">
        <w:rPr>
          <w:rFonts w:ascii="Times New Roman" w:hAnsi="Times New Roman" w:cs="Times New Roman"/>
          <w:color w:val="000000" w:themeColor="text1"/>
          <w:sz w:val="20"/>
          <w:szCs w:val="20"/>
        </w:rPr>
        <w:t>s</w:t>
      </w:r>
      <w:r w:rsidRPr="000E262D">
        <w:rPr>
          <w:rFonts w:ascii="Times New Roman" w:hAnsi="Times New Roman" w:cs="Times New Roman"/>
          <w:color w:val="000000" w:themeColor="text1"/>
          <w:sz w:val="20"/>
          <w:szCs w:val="20"/>
        </w:rPr>
        <w:t xml:space="preserve">es its market-related norms and practices in ASEAN, this study </w:t>
      </w:r>
      <w:r w:rsidR="00C9722D" w:rsidRPr="000E262D">
        <w:rPr>
          <w:rFonts w:ascii="Times New Roman" w:hAnsi="Times New Roman" w:cs="Times New Roman"/>
          <w:color w:val="000000" w:themeColor="text1"/>
          <w:sz w:val="20"/>
          <w:szCs w:val="20"/>
        </w:rPr>
        <w:t>problemati</w:t>
      </w:r>
      <w:r w:rsidR="001C4F0D" w:rsidRPr="000E262D">
        <w:rPr>
          <w:rFonts w:ascii="Times New Roman" w:hAnsi="Times New Roman" w:cs="Times New Roman"/>
          <w:color w:val="000000" w:themeColor="text1"/>
          <w:sz w:val="20"/>
          <w:szCs w:val="20"/>
        </w:rPr>
        <w:t>s</w:t>
      </w:r>
      <w:r w:rsidR="00C9722D" w:rsidRPr="000E262D">
        <w:rPr>
          <w:rFonts w:ascii="Times New Roman" w:hAnsi="Times New Roman" w:cs="Times New Roman"/>
          <w:color w:val="000000" w:themeColor="text1"/>
          <w:sz w:val="20"/>
          <w:szCs w:val="20"/>
        </w:rPr>
        <w:t xml:space="preserve">es the conventional distinction between normative and market/regulatory power in the EU-as-a-power debates. Specifically, drawing on analytical tools from diffusion literature, the research provides an in-depth analysis of how the EU’s overarching idea </w:t>
      </w:r>
      <w:r w:rsidR="00270376" w:rsidRPr="000E262D">
        <w:rPr>
          <w:rFonts w:ascii="Times New Roman" w:hAnsi="Times New Roman" w:cs="Times New Roman"/>
          <w:color w:val="000000" w:themeColor="text1"/>
          <w:sz w:val="20"/>
          <w:szCs w:val="20"/>
        </w:rPr>
        <w:t xml:space="preserve">and model </w:t>
      </w:r>
      <w:r w:rsidR="00C9722D" w:rsidRPr="000E262D">
        <w:rPr>
          <w:rFonts w:ascii="Times New Roman" w:hAnsi="Times New Roman" w:cs="Times New Roman"/>
          <w:color w:val="000000" w:themeColor="text1"/>
          <w:sz w:val="20"/>
          <w:szCs w:val="20"/>
        </w:rPr>
        <w:t xml:space="preserve">of economic liberalism as well as specific market-related policies and regulatory measures are </w:t>
      </w:r>
      <w:r w:rsidR="006D3E83" w:rsidRPr="000E262D">
        <w:rPr>
          <w:rFonts w:ascii="Times New Roman" w:hAnsi="Times New Roman" w:cs="Times New Roman"/>
          <w:color w:val="000000" w:themeColor="text1"/>
          <w:sz w:val="20"/>
          <w:szCs w:val="20"/>
        </w:rPr>
        <w:t xml:space="preserve">promoted and received </w:t>
      </w:r>
      <w:r w:rsidR="00C9722D" w:rsidRPr="000E262D">
        <w:rPr>
          <w:rFonts w:ascii="Times New Roman" w:hAnsi="Times New Roman" w:cs="Times New Roman"/>
          <w:color w:val="000000" w:themeColor="text1"/>
          <w:sz w:val="20"/>
          <w:szCs w:val="20"/>
        </w:rPr>
        <w:t>in ASEAN. In doing so,</w:t>
      </w:r>
      <w:r w:rsidR="00514FD2" w:rsidRPr="000E262D">
        <w:rPr>
          <w:rFonts w:ascii="Times New Roman" w:hAnsi="Times New Roman" w:cs="Times New Roman"/>
          <w:color w:val="000000" w:themeColor="text1"/>
          <w:sz w:val="20"/>
          <w:szCs w:val="20"/>
        </w:rPr>
        <w:t xml:space="preserve"> this research shows that the EU’s projection of normative and market power </w:t>
      </w:r>
      <w:r w:rsidR="000F21D6" w:rsidRPr="000E262D">
        <w:rPr>
          <w:rFonts w:ascii="Times New Roman" w:hAnsi="Times New Roman" w:cs="Times New Roman"/>
          <w:color w:val="000000" w:themeColor="text1"/>
          <w:sz w:val="20"/>
          <w:szCs w:val="20"/>
        </w:rPr>
        <w:t>in ASEAN has relied on a dynamic combination of EU-driven and ASEAN-driven diffusion mechanisms,</w:t>
      </w:r>
      <w:r w:rsidR="00514FD2" w:rsidRPr="000E262D">
        <w:rPr>
          <w:rFonts w:ascii="Times New Roman" w:hAnsi="Times New Roman" w:cs="Times New Roman"/>
          <w:color w:val="000000" w:themeColor="text1"/>
          <w:sz w:val="20"/>
          <w:szCs w:val="20"/>
        </w:rPr>
        <w:t xml:space="preserve"> </w:t>
      </w:r>
      <w:r w:rsidR="000F21D6" w:rsidRPr="000E262D">
        <w:rPr>
          <w:rFonts w:ascii="Times New Roman" w:hAnsi="Times New Roman" w:cs="Times New Roman"/>
          <w:color w:val="000000" w:themeColor="text1"/>
          <w:sz w:val="20"/>
          <w:szCs w:val="20"/>
        </w:rPr>
        <w:t xml:space="preserve">which has ultimately </w:t>
      </w:r>
      <w:r w:rsidR="00514FD2" w:rsidRPr="000E262D">
        <w:rPr>
          <w:rFonts w:ascii="Times New Roman" w:hAnsi="Times New Roman" w:cs="Times New Roman"/>
          <w:color w:val="000000" w:themeColor="text1"/>
          <w:sz w:val="20"/>
          <w:szCs w:val="20"/>
        </w:rPr>
        <w:t xml:space="preserve">resulted in </w:t>
      </w:r>
      <w:r w:rsidR="00360BF2" w:rsidRPr="000E262D">
        <w:rPr>
          <w:rFonts w:ascii="Times New Roman" w:hAnsi="Times New Roman" w:cs="Times New Roman"/>
          <w:color w:val="000000" w:themeColor="text1"/>
          <w:sz w:val="20"/>
          <w:szCs w:val="20"/>
        </w:rPr>
        <w:t>ASEAN’s partial adoption of the Union’s market-related ideas, models, and regulatory policies.</w:t>
      </w:r>
      <w:r w:rsidR="00756452" w:rsidRPr="000E262D">
        <w:rPr>
          <w:rFonts w:ascii="Times New Roman" w:hAnsi="Times New Roman" w:cs="Times New Roman" w:hint="eastAsia"/>
          <w:color w:val="000000" w:themeColor="text1"/>
          <w:sz w:val="20"/>
          <w:szCs w:val="20"/>
        </w:rPr>
        <w:t xml:space="preserve"> </w:t>
      </w:r>
      <w:r w:rsidR="00756452" w:rsidRPr="000E262D">
        <w:rPr>
          <w:rFonts w:ascii="Times New Roman" w:hAnsi="Times New Roman" w:cs="Times New Roman"/>
          <w:color w:val="000000" w:themeColor="text1"/>
          <w:sz w:val="20"/>
          <w:szCs w:val="20"/>
        </w:rPr>
        <w:t>T</w:t>
      </w:r>
      <w:r w:rsidR="00C9722D" w:rsidRPr="000E262D">
        <w:rPr>
          <w:rFonts w:ascii="Times New Roman" w:hAnsi="Times New Roman" w:cs="Times New Roman"/>
          <w:color w:val="000000" w:themeColor="text1"/>
          <w:sz w:val="20"/>
          <w:szCs w:val="20"/>
        </w:rPr>
        <w:t xml:space="preserve">he paper </w:t>
      </w:r>
      <w:r w:rsidR="006D3E83" w:rsidRPr="000E262D">
        <w:rPr>
          <w:rFonts w:ascii="Times New Roman" w:hAnsi="Times New Roman" w:cs="Times New Roman"/>
          <w:color w:val="000000" w:themeColor="text1"/>
          <w:sz w:val="20"/>
          <w:szCs w:val="20"/>
        </w:rPr>
        <w:t>makes two contribution</w:t>
      </w:r>
      <w:r w:rsidR="00621086" w:rsidRPr="000E262D">
        <w:rPr>
          <w:rFonts w:ascii="Times New Roman" w:hAnsi="Times New Roman" w:cs="Times New Roman"/>
          <w:color w:val="000000" w:themeColor="text1"/>
          <w:sz w:val="20"/>
          <w:szCs w:val="20"/>
        </w:rPr>
        <w:t>s</w:t>
      </w:r>
      <w:r w:rsidR="006D3E83" w:rsidRPr="000E262D">
        <w:rPr>
          <w:rFonts w:ascii="Times New Roman" w:hAnsi="Times New Roman" w:cs="Times New Roman"/>
          <w:color w:val="000000" w:themeColor="text1"/>
          <w:sz w:val="20"/>
          <w:szCs w:val="20"/>
        </w:rPr>
        <w:t xml:space="preserve"> to the existing literature. First, it provides a more nuanced analytical framework which can effectively bridge the research on NPE and market/regulatory power, given that diffusion literature pays equal attention to general norms and precise policy settings. Moreover, by evaluating the rationale behind the EU’s interactions with ASEAN, this study shows that there exists a normative dimension of the EU’s externalization of economic liberalism in ASEAN which co-exists with the </w:t>
      </w:r>
      <w:r w:rsidR="001C4F0D" w:rsidRPr="000E262D">
        <w:rPr>
          <w:rFonts w:ascii="Times New Roman" w:hAnsi="Times New Roman" w:cs="Times New Roman"/>
          <w:color w:val="000000" w:themeColor="text1"/>
          <w:sz w:val="20"/>
          <w:szCs w:val="20"/>
        </w:rPr>
        <w:t>u</w:t>
      </w:r>
      <w:r w:rsidR="006D3E83" w:rsidRPr="000E262D">
        <w:rPr>
          <w:rFonts w:ascii="Times New Roman" w:hAnsi="Times New Roman" w:cs="Times New Roman"/>
          <w:color w:val="000000" w:themeColor="text1"/>
          <w:sz w:val="20"/>
          <w:szCs w:val="20"/>
        </w:rPr>
        <w:t xml:space="preserve">nion’s interest-driven policy objectives. Such observation helps remedy the longstanding </w:t>
      </w:r>
      <w:r w:rsidR="00621086" w:rsidRPr="000E262D">
        <w:rPr>
          <w:rFonts w:ascii="Times New Roman" w:hAnsi="Times New Roman" w:cs="Times New Roman"/>
          <w:color w:val="000000" w:themeColor="text1"/>
          <w:sz w:val="20"/>
          <w:szCs w:val="20"/>
        </w:rPr>
        <w:t>“</w:t>
      </w:r>
      <w:r w:rsidR="006D3E83" w:rsidRPr="000E262D">
        <w:rPr>
          <w:rFonts w:ascii="Times New Roman" w:hAnsi="Times New Roman" w:cs="Times New Roman"/>
          <w:color w:val="000000" w:themeColor="text1"/>
          <w:sz w:val="20"/>
          <w:szCs w:val="20"/>
        </w:rPr>
        <w:t xml:space="preserve">ideational versus </w:t>
      </w:r>
      <w:r w:rsidR="00621086" w:rsidRPr="000E262D">
        <w:rPr>
          <w:rFonts w:ascii="Times New Roman" w:hAnsi="Times New Roman" w:cs="Times New Roman"/>
          <w:color w:val="000000" w:themeColor="text1"/>
          <w:sz w:val="20"/>
          <w:szCs w:val="20"/>
        </w:rPr>
        <w:t xml:space="preserve">normative” </w:t>
      </w:r>
      <w:r w:rsidR="006D3E83" w:rsidRPr="000E262D">
        <w:rPr>
          <w:rFonts w:ascii="Times New Roman" w:hAnsi="Times New Roman" w:cs="Times New Roman"/>
          <w:color w:val="000000" w:themeColor="text1"/>
          <w:sz w:val="20"/>
          <w:szCs w:val="20"/>
        </w:rPr>
        <w:t xml:space="preserve">dualism in the study of EU foreign policy. </w:t>
      </w:r>
    </w:p>
    <w:p w14:paraId="1AF94914" w14:textId="77777777" w:rsidR="00FB34BF" w:rsidRPr="000E262D" w:rsidRDefault="00FB34BF" w:rsidP="008A7331">
      <w:pPr>
        <w:rPr>
          <w:rFonts w:ascii="Times New Roman" w:hAnsi="Times New Roman" w:cs="Times New Roman"/>
          <w:color w:val="000000" w:themeColor="text1"/>
          <w:sz w:val="20"/>
          <w:szCs w:val="20"/>
        </w:rPr>
      </w:pPr>
    </w:p>
    <w:p w14:paraId="6875551C" w14:textId="0FC0AB6A" w:rsidR="0032099F" w:rsidRPr="000E262D" w:rsidRDefault="006D3E83" w:rsidP="008A7331">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Second, the research contributes to advancing </w:t>
      </w:r>
      <w:r w:rsidR="00382956" w:rsidRPr="000E262D">
        <w:rPr>
          <w:rFonts w:ascii="Times New Roman" w:hAnsi="Times New Roman" w:cs="Times New Roman"/>
          <w:color w:val="000000" w:themeColor="text1"/>
          <w:sz w:val="20"/>
          <w:szCs w:val="20"/>
        </w:rPr>
        <w:t>the empirical research</w:t>
      </w:r>
      <w:r w:rsidRPr="000E262D">
        <w:rPr>
          <w:rFonts w:ascii="Times New Roman" w:hAnsi="Times New Roman" w:cs="Times New Roman"/>
          <w:color w:val="000000" w:themeColor="text1"/>
          <w:sz w:val="20"/>
          <w:szCs w:val="20"/>
        </w:rPr>
        <w:t xml:space="preserve"> </w:t>
      </w:r>
      <w:r w:rsidR="00382956" w:rsidRPr="000E262D">
        <w:rPr>
          <w:rFonts w:ascii="Times New Roman" w:hAnsi="Times New Roman" w:cs="Times New Roman"/>
          <w:color w:val="000000" w:themeColor="text1"/>
          <w:sz w:val="20"/>
          <w:szCs w:val="20"/>
        </w:rPr>
        <w:t>on</w:t>
      </w:r>
      <w:r w:rsidRPr="000E262D">
        <w:rPr>
          <w:rFonts w:ascii="Times New Roman" w:hAnsi="Times New Roman" w:cs="Times New Roman"/>
          <w:color w:val="000000" w:themeColor="text1"/>
          <w:sz w:val="20"/>
          <w:szCs w:val="20"/>
        </w:rPr>
        <w:t xml:space="preserve"> the causal mechanisms </w:t>
      </w:r>
      <w:r w:rsidR="00382956" w:rsidRPr="000E262D">
        <w:rPr>
          <w:rFonts w:ascii="Times New Roman" w:hAnsi="Times New Roman" w:cs="Times New Roman"/>
          <w:color w:val="000000" w:themeColor="text1"/>
          <w:sz w:val="20"/>
          <w:szCs w:val="20"/>
        </w:rPr>
        <w:t>and</w:t>
      </w:r>
      <w:r w:rsidRPr="000E262D">
        <w:rPr>
          <w:rFonts w:ascii="Times New Roman" w:hAnsi="Times New Roman" w:cs="Times New Roman"/>
          <w:color w:val="000000" w:themeColor="text1"/>
          <w:sz w:val="20"/>
          <w:szCs w:val="20"/>
        </w:rPr>
        <w:t xml:space="preserve"> </w:t>
      </w:r>
      <w:r w:rsidR="00270376" w:rsidRPr="000E262D">
        <w:rPr>
          <w:rFonts w:ascii="Times New Roman" w:hAnsi="Times New Roman" w:cs="Times New Roman"/>
          <w:color w:val="000000" w:themeColor="text1"/>
          <w:sz w:val="20"/>
          <w:szCs w:val="20"/>
        </w:rPr>
        <w:t>effectiveness</w:t>
      </w:r>
      <w:r w:rsidRPr="000E262D">
        <w:rPr>
          <w:rFonts w:ascii="Times New Roman" w:hAnsi="Times New Roman" w:cs="Times New Roman"/>
          <w:color w:val="000000" w:themeColor="text1"/>
          <w:sz w:val="20"/>
          <w:szCs w:val="20"/>
        </w:rPr>
        <w:t xml:space="preserve"> of the EU’s </w:t>
      </w:r>
      <w:r w:rsidR="00124D62" w:rsidRPr="000E262D">
        <w:rPr>
          <w:rFonts w:ascii="Times New Roman" w:hAnsi="Times New Roman" w:cs="Times New Roman"/>
          <w:color w:val="000000" w:themeColor="text1"/>
          <w:sz w:val="20"/>
          <w:szCs w:val="20"/>
        </w:rPr>
        <w:t>projection of normative and market power</w:t>
      </w:r>
      <w:r w:rsidRPr="000E262D">
        <w:rPr>
          <w:rFonts w:ascii="Times New Roman" w:hAnsi="Times New Roman" w:cs="Times New Roman"/>
          <w:color w:val="000000" w:themeColor="text1"/>
          <w:sz w:val="20"/>
          <w:szCs w:val="20"/>
        </w:rPr>
        <w:t xml:space="preserve">. </w:t>
      </w:r>
      <w:r w:rsidR="00126C04" w:rsidRPr="000E262D">
        <w:rPr>
          <w:rFonts w:ascii="Times New Roman" w:hAnsi="Times New Roman" w:cs="Times New Roman"/>
          <w:color w:val="000000" w:themeColor="text1"/>
          <w:sz w:val="20"/>
          <w:szCs w:val="20"/>
        </w:rPr>
        <w:t xml:space="preserve">As shown in this case study, the process of the EU’s externalization of market </w:t>
      </w:r>
      <w:r w:rsidR="001C4F0D" w:rsidRPr="000E262D">
        <w:rPr>
          <w:rFonts w:ascii="Times New Roman" w:hAnsi="Times New Roman" w:cs="Times New Roman"/>
          <w:color w:val="000000" w:themeColor="text1"/>
          <w:sz w:val="20"/>
          <w:szCs w:val="20"/>
        </w:rPr>
        <w:t xml:space="preserve">labour </w:t>
      </w:r>
      <w:r w:rsidR="00126C04" w:rsidRPr="000E262D">
        <w:rPr>
          <w:rFonts w:ascii="Times New Roman" w:hAnsi="Times New Roman" w:cs="Times New Roman"/>
          <w:color w:val="000000" w:themeColor="text1"/>
          <w:sz w:val="20"/>
          <w:szCs w:val="20"/>
        </w:rPr>
        <w:t xml:space="preserve">norms and policies in ASEAN has been characterized by complex interactions between </w:t>
      </w:r>
      <w:r w:rsidR="00382956" w:rsidRPr="000E262D">
        <w:rPr>
          <w:rFonts w:ascii="Times New Roman" w:hAnsi="Times New Roman" w:cs="Times New Roman"/>
          <w:color w:val="000000" w:themeColor="text1"/>
          <w:sz w:val="20"/>
          <w:szCs w:val="20"/>
        </w:rPr>
        <w:t>sender-driven</w:t>
      </w:r>
      <w:r w:rsidR="00126C04" w:rsidRPr="000E262D">
        <w:rPr>
          <w:rFonts w:ascii="Times New Roman" w:hAnsi="Times New Roman" w:cs="Times New Roman"/>
          <w:color w:val="000000" w:themeColor="text1"/>
          <w:sz w:val="20"/>
          <w:szCs w:val="20"/>
        </w:rPr>
        <w:t xml:space="preserve"> and </w:t>
      </w:r>
      <w:r w:rsidR="00382956" w:rsidRPr="000E262D">
        <w:rPr>
          <w:rFonts w:ascii="Times New Roman" w:hAnsi="Times New Roman" w:cs="Times New Roman"/>
          <w:color w:val="000000" w:themeColor="text1"/>
          <w:sz w:val="20"/>
          <w:szCs w:val="20"/>
        </w:rPr>
        <w:t>recipient-driven</w:t>
      </w:r>
      <w:r w:rsidR="00126C04" w:rsidRPr="000E262D">
        <w:rPr>
          <w:rFonts w:ascii="Times New Roman" w:hAnsi="Times New Roman" w:cs="Times New Roman"/>
          <w:color w:val="000000" w:themeColor="text1"/>
          <w:sz w:val="20"/>
          <w:szCs w:val="20"/>
        </w:rPr>
        <w:t xml:space="preserve"> diffusion mechanisms. Moreover, it is observed that the </w:t>
      </w:r>
      <w:r w:rsidR="00382956" w:rsidRPr="000E262D">
        <w:rPr>
          <w:rFonts w:ascii="Times New Roman" w:hAnsi="Times New Roman" w:cs="Times New Roman"/>
          <w:color w:val="000000" w:themeColor="text1"/>
          <w:sz w:val="20"/>
          <w:szCs w:val="20"/>
        </w:rPr>
        <w:t>effectiveness</w:t>
      </w:r>
      <w:r w:rsidR="00126C04" w:rsidRPr="000E262D">
        <w:rPr>
          <w:rFonts w:ascii="Times New Roman" w:hAnsi="Times New Roman" w:cs="Times New Roman"/>
          <w:color w:val="000000" w:themeColor="text1"/>
          <w:sz w:val="20"/>
          <w:szCs w:val="20"/>
        </w:rPr>
        <w:t xml:space="preserve"> of the EU’s externalization has changed over time: although in the early years </w:t>
      </w:r>
      <w:r w:rsidR="00FB34BF" w:rsidRPr="000E262D">
        <w:rPr>
          <w:rFonts w:ascii="Times New Roman" w:hAnsi="Times New Roman" w:cs="Times New Roman"/>
          <w:color w:val="000000" w:themeColor="text1"/>
          <w:sz w:val="20"/>
          <w:szCs w:val="20"/>
        </w:rPr>
        <w:t>following the Asian Financial Crisis</w:t>
      </w:r>
      <w:r w:rsidR="00353492" w:rsidRPr="000E262D">
        <w:rPr>
          <w:rFonts w:ascii="Times New Roman" w:hAnsi="Times New Roman" w:cs="Times New Roman"/>
          <w:color w:val="000000" w:themeColor="text1"/>
          <w:sz w:val="20"/>
          <w:szCs w:val="20"/>
        </w:rPr>
        <w:t>,</w:t>
      </w:r>
      <w:r w:rsidR="00126C04" w:rsidRPr="000E262D">
        <w:rPr>
          <w:rFonts w:ascii="Times New Roman" w:hAnsi="Times New Roman" w:cs="Times New Roman"/>
          <w:color w:val="000000" w:themeColor="text1"/>
          <w:sz w:val="20"/>
          <w:szCs w:val="20"/>
        </w:rPr>
        <w:t xml:space="preserve"> ASEAN intended to imitate the EU’s overarching idea of economic liberalism and regional integration model, </w:t>
      </w:r>
      <w:r w:rsidR="00353492" w:rsidRPr="000E262D">
        <w:rPr>
          <w:rFonts w:ascii="Times New Roman" w:hAnsi="Times New Roman" w:cs="Times New Roman"/>
          <w:color w:val="000000" w:themeColor="text1"/>
          <w:sz w:val="20"/>
          <w:szCs w:val="20"/>
        </w:rPr>
        <w:t>it</w:t>
      </w:r>
      <w:r w:rsidR="00FB34BF" w:rsidRPr="000E262D">
        <w:rPr>
          <w:rFonts w:ascii="Times New Roman" w:hAnsi="Times New Roman" w:cs="Times New Roman"/>
          <w:color w:val="000000" w:themeColor="text1"/>
          <w:sz w:val="20"/>
          <w:szCs w:val="20"/>
        </w:rPr>
        <w:t xml:space="preserve"> now tends to selectively </w:t>
      </w:r>
      <w:r w:rsidR="00A11827" w:rsidRPr="000E262D">
        <w:rPr>
          <w:rFonts w:ascii="Times New Roman" w:hAnsi="Times New Roman" w:cs="Times New Roman"/>
          <w:color w:val="000000" w:themeColor="text1"/>
          <w:sz w:val="20"/>
          <w:szCs w:val="20"/>
        </w:rPr>
        <w:t>draw lessons from</w:t>
      </w:r>
      <w:r w:rsidR="00FB34BF" w:rsidRPr="000E262D">
        <w:rPr>
          <w:rFonts w:ascii="Times New Roman" w:hAnsi="Times New Roman" w:cs="Times New Roman"/>
          <w:color w:val="000000" w:themeColor="text1"/>
          <w:sz w:val="20"/>
          <w:szCs w:val="20"/>
        </w:rPr>
        <w:t xml:space="preserve"> </w:t>
      </w:r>
      <w:r w:rsidR="00A11827" w:rsidRPr="000E262D">
        <w:rPr>
          <w:rFonts w:ascii="Times New Roman" w:hAnsi="Times New Roman" w:cs="Times New Roman"/>
          <w:color w:val="000000" w:themeColor="text1"/>
          <w:sz w:val="20"/>
          <w:szCs w:val="20"/>
        </w:rPr>
        <w:t xml:space="preserve">the EU’s market-related </w:t>
      </w:r>
      <w:r w:rsidR="00FB34BF" w:rsidRPr="000E262D">
        <w:rPr>
          <w:rFonts w:ascii="Times New Roman" w:hAnsi="Times New Roman" w:cs="Times New Roman"/>
          <w:color w:val="000000" w:themeColor="text1"/>
          <w:sz w:val="20"/>
          <w:szCs w:val="20"/>
        </w:rPr>
        <w:t xml:space="preserve">policy prescriptions and </w:t>
      </w:r>
      <w:r w:rsidR="00A11827" w:rsidRPr="000E262D">
        <w:rPr>
          <w:rFonts w:ascii="Times New Roman" w:hAnsi="Times New Roman" w:cs="Times New Roman"/>
          <w:color w:val="000000" w:themeColor="text1"/>
          <w:sz w:val="20"/>
          <w:szCs w:val="20"/>
        </w:rPr>
        <w:t>regulatory measures</w:t>
      </w:r>
      <w:r w:rsidR="00FB34BF" w:rsidRPr="000E262D">
        <w:rPr>
          <w:rFonts w:ascii="Times New Roman" w:hAnsi="Times New Roman" w:cs="Times New Roman"/>
          <w:color w:val="000000" w:themeColor="text1"/>
          <w:sz w:val="20"/>
          <w:szCs w:val="20"/>
        </w:rPr>
        <w:t xml:space="preserve"> from a functional perspective, hoping that these specific policy settings will fit ASEAN’s own pattern of economic liberalization. The paper has </w:t>
      </w:r>
      <w:r w:rsidR="00621086" w:rsidRPr="000E262D">
        <w:rPr>
          <w:rFonts w:ascii="Times New Roman" w:hAnsi="Times New Roman" w:cs="Times New Roman"/>
          <w:color w:val="000000" w:themeColor="text1"/>
          <w:sz w:val="20"/>
          <w:szCs w:val="20"/>
        </w:rPr>
        <w:t xml:space="preserve">shown </w:t>
      </w:r>
      <w:r w:rsidR="00FB34BF" w:rsidRPr="000E262D">
        <w:rPr>
          <w:rFonts w:ascii="Times New Roman" w:hAnsi="Times New Roman" w:cs="Times New Roman"/>
          <w:color w:val="000000" w:themeColor="text1"/>
          <w:sz w:val="20"/>
          <w:szCs w:val="20"/>
        </w:rPr>
        <w:t xml:space="preserve">that the shift in ASEAN’s receptiveness is closely associated with the organization’s domestic factors, especially its changing normative </w:t>
      </w:r>
      <w:r w:rsidR="00353492" w:rsidRPr="000E262D">
        <w:rPr>
          <w:rFonts w:ascii="Times New Roman" w:hAnsi="Times New Roman" w:cs="Times New Roman"/>
          <w:color w:val="000000" w:themeColor="text1"/>
          <w:sz w:val="20"/>
          <w:szCs w:val="20"/>
        </w:rPr>
        <w:t>conditions</w:t>
      </w:r>
      <w:r w:rsidR="00FB34BF" w:rsidRPr="000E262D">
        <w:rPr>
          <w:rFonts w:ascii="Times New Roman" w:hAnsi="Times New Roman" w:cs="Times New Roman"/>
          <w:color w:val="000000" w:themeColor="text1"/>
          <w:sz w:val="20"/>
          <w:szCs w:val="20"/>
        </w:rPr>
        <w:t xml:space="preserve"> and limited institutional </w:t>
      </w:r>
      <w:r w:rsidR="00FB34BF" w:rsidRPr="000E262D">
        <w:rPr>
          <w:rFonts w:ascii="Times New Roman" w:hAnsi="Times New Roman" w:cs="Times New Roman"/>
          <w:color w:val="000000" w:themeColor="text1"/>
          <w:sz w:val="20"/>
          <w:szCs w:val="20"/>
        </w:rPr>
        <w:lastRenderedPageBreak/>
        <w:t>and legal capacities.</w:t>
      </w:r>
      <w:r w:rsidR="00A11827" w:rsidRPr="000E262D">
        <w:rPr>
          <w:rFonts w:ascii="Times New Roman" w:hAnsi="Times New Roman" w:cs="Times New Roman"/>
          <w:color w:val="000000" w:themeColor="text1"/>
          <w:sz w:val="20"/>
          <w:szCs w:val="20"/>
        </w:rPr>
        <w:t xml:space="preserve"> It also argued that investigations into the EU’s normative and </w:t>
      </w:r>
      <w:r w:rsidR="00382956" w:rsidRPr="000E262D">
        <w:rPr>
          <w:rFonts w:ascii="Times New Roman" w:hAnsi="Times New Roman" w:cs="Times New Roman"/>
          <w:color w:val="000000" w:themeColor="text1"/>
          <w:sz w:val="20"/>
          <w:szCs w:val="20"/>
        </w:rPr>
        <w:t>market/</w:t>
      </w:r>
      <w:r w:rsidR="00A11827" w:rsidRPr="000E262D">
        <w:rPr>
          <w:rFonts w:ascii="Times New Roman" w:hAnsi="Times New Roman" w:cs="Times New Roman"/>
          <w:color w:val="000000" w:themeColor="text1"/>
          <w:sz w:val="20"/>
          <w:szCs w:val="20"/>
        </w:rPr>
        <w:t xml:space="preserve">regulatory power in world politics should take into consideration the active role that the norm-recipients can play in determining the </w:t>
      </w:r>
      <w:r w:rsidR="00EE3207" w:rsidRPr="000E262D">
        <w:rPr>
          <w:rFonts w:ascii="Times New Roman" w:hAnsi="Times New Roman" w:cs="Times New Roman"/>
          <w:color w:val="000000" w:themeColor="text1"/>
          <w:sz w:val="20"/>
          <w:szCs w:val="20"/>
        </w:rPr>
        <w:t xml:space="preserve">EU’s external influence. </w:t>
      </w:r>
    </w:p>
    <w:p w14:paraId="784F12FF" w14:textId="77777777" w:rsidR="006D3E83" w:rsidRPr="000E262D" w:rsidRDefault="006D3E83" w:rsidP="008A7331">
      <w:pPr>
        <w:rPr>
          <w:rFonts w:ascii="Times New Roman" w:hAnsi="Times New Roman" w:cs="Times New Roman"/>
          <w:color w:val="000000" w:themeColor="text1"/>
          <w:sz w:val="20"/>
          <w:szCs w:val="20"/>
        </w:rPr>
      </w:pPr>
    </w:p>
    <w:p w14:paraId="0C98BC32" w14:textId="77777777" w:rsidR="006D3E83" w:rsidRPr="000E262D" w:rsidRDefault="006D3E83" w:rsidP="008A7331">
      <w:pPr>
        <w:rPr>
          <w:rFonts w:ascii="Times New Roman" w:hAnsi="Times New Roman" w:cs="Times New Roman"/>
          <w:color w:val="000000" w:themeColor="text1"/>
          <w:sz w:val="20"/>
          <w:szCs w:val="20"/>
        </w:rPr>
      </w:pPr>
    </w:p>
    <w:p w14:paraId="422C8F62" w14:textId="77777777" w:rsidR="006F243C" w:rsidRPr="000E262D" w:rsidRDefault="006F243C" w:rsidP="008A7331">
      <w:pPr>
        <w:widowControl/>
        <w:jc w:val="left"/>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 xml:space="preserve">Disclosure statement </w:t>
      </w:r>
    </w:p>
    <w:p w14:paraId="714208EA" w14:textId="671C4268" w:rsidR="006F243C" w:rsidRPr="000E262D" w:rsidRDefault="006F243C" w:rsidP="008A7331">
      <w:pPr>
        <w:widowControl/>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No potential conflict of interest was reported by the author.</w:t>
      </w:r>
    </w:p>
    <w:p w14:paraId="5A7891DF" w14:textId="77777777" w:rsidR="006D3E83" w:rsidRPr="000E262D" w:rsidRDefault="006D3E83" w:rsidP="008A7331">
      <w:pPr>
        <w:rPr>
          <w:rFonts w:ascii="Times New Roman" w:hAnsi="Times New Roman" w:cs="Times New Roman"/>
          <w:color w:val="000000" w:themeColor="text1"/>
          <w:sz w:val="20"/>
          <w:szCs w:val="20"/>
          <w:lang w:val="en-US"/>
        </w:rPr>
      </w:pPr>
    </w:p>
    <w:p w14:paraId="5E80EB55" w14:textId="77777777" w:rsidR="0048649C" w:rsidRPr="000E262D" w:rsidRDefault="0048649C" w:rsidP="008A7331">
      <w:pPr>
        <w:rPr>
          <w:rFonts w:ascii="Times New Roman" w:hAnsi="Times New Roman" w:cs="Times New Roman"/>
          <w:color w:val="000000" w:themeColor="text1"/>
          <w:sz w:val="20"/>
          <w:szCs w:val="20"/>
        </w:rPr>
      </w:pPr>
    </w:p>
    <w:p w14:paraId="4629C416" w14:textId="77777777" w:rsidR="006F243C" w:rsidRPr="000E262D" w:rsidRDefault="006F243C" w:rsidP="008A7331">
      <w:pPr>
        <w:widowControl/>
        <w:jc w:val="left"/>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 xml:space="preserve">Data availability </w:t>
      </w:r>
    </w:p>
    <w:p w14:paraId="1C6FD6C6" w14:textId="056F72E6" w:rsidR="006F243C" w:rsidRPr="000E262D" w:rsidRDefault="006F243C" w:rsidP="008A7331">
      <w:pPr>
        <w:widowControl/>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The data that support the findings of this study are available from the author upon reasonable request.</w:t>
      </w:r>
    </w:p>
    <w:p w14:paraId="12D0F51F" w14:textId="77777777" w:rsidR="0048649C" w:rsidRPr="000E262D" w:rsidRDefault="0048649C" w:rsidP="008A7331">
      <w:pPr>
        <w:rPr>
          <w:rFonts w:ascii="Times New Roman" w:hAnsi="Times New Roman" w:cs="Times New Roman"/>
          <w:color w:val="000000" w:themeColor="text1"/>
          <w:sz w:val="20"/>
          <w:szCs w:val="20"/>
          <w:lang w:val="en-US"/>
        </w:rPr>
      </w:pPr>
    </w:p>
    <w:p w14:paraId="7558668C" w14:textId="77777777" w:rsidR="0048649C" w:rsidRPr="000E262D" w:rsidRDefault="0048649C" w:rsidP="008A7331">
      <w:pPr>
        <w:rPr>
          <w:rFonts w:ascii="Times New Roman" w:hAnsi="Times New Roman" w:cs="Times New Roman"/>
          <w:color w:val="000000" w:themeColor="text1"/>
          <w:sz w:val="20"/>
          <w:szCs w:val="20"/>
        </w:rPr>
      </w:pPr>
    </w:p>
    <w:p w14:paraId="5B630337" w14:textId="77777777" w:rsidR="0048649C" w:rsidRPr="000E262D" w:rsidRDefault="0048649C" w:rsidP="008A7331">
      <w:pPr>
        <w:rPr>
          <w:rFonts w:ascii="Times New Roman" w:hAnsi="Times New Roman" w:cs="Times New Roman"/>
          <w:color w:val="000000" w:themeColor="text1"/>
          <w:sz w:val="20"/>
          <w:szCs w:val="20"/>
        </w:rPr>
      </w:pPr>
    </w:p>
    <w:p w14:paraId="007F46A7" w14:textId="77777777" w:rsidR="0048649C" w:rsidRPr="000E262D" w:rsidRDefault="0048649C" w:rsidP="008A7331">
      <w:pPr>
        <w:rPr>
          <w:rFonts w:ascii="Times New Roman" w:hAnsi="Times New Roman" w:cs="Times New Roman"/>
          <w:color w:val="000000" w:themeColor="text1"/>
          <w:sz w:val="20"/>
          <w:szCs w:val="20"/>
        </w:rPr>
      </w:pPr>
    </w:p>
    <w:p w14:paraId="2DC616D6" w14:textId="77777777" w:rsidR="0048649C" w:rsidRPr="000E262D" w:rsidRDefault="0048649C" w:rsidP="008A7331">
      <w:pPr>
        <w:rPr>
          <w:rFonts w:ascii="Times New Roman" w:hAnsi="Times New Roman" w:cs="Times New Roman"/>
          <w:color w:val="000000" w:themeColor="text1"/>
          <w:sz w:val="20"/>
          <w:szCs w:val="20"/>
        </w:rPr>
      </w:pPr>
    </w:p>
    <w:p w14:paraId="2366E2FE" w14:textId="0236880C" w:rsidR="0048649C" w:rsidRPr="000E262D" w:rsidRDefault="0048649C" w:rsidP="008A7331">
      <w:pPr>
        <w:rPr>
          <w:rFonts w:ascii="Times New Roman" w:hAnsi="Times New Roman" w:cs="Times New Roman"/>
          <w:color w:val="000000" w:themeColor="text1"/>
          <w:sz w:val="20"/>
          <w:szCs w:val="20"/>
        </w:rPr>
      </w:pPr>
    </w:p>
    <w:p w14:paraId="010DDC9A" w14:textId="6D1FBA5D" w:rsidR="003811A7" w:rsidRPr="000E262D" w:rsidRDefault="003811A7" w:rsidP="008A7331">
      <w:pPr>
        <w:rPr>
          <w:rFonts w:ascii="Times New Roman" w:hAnsi="Times New Roman" w:cs="Times New Roman"/>
          <w:color w:val="000000" w:themeColor="text1"/>
          <w:sz w:val="20"/>
          <w:szCs w:val="20"/>
        </w:rPr>
      </w:pPr>
    </w:p>
    <w:p w14:paraId="753D765F" w14:textId="6ADB99B2" w:rsidR="00223A04" w:rsidRPr="000E262D" w:rsidRDefault="00223A04" w:rsidP="008A7331">
      <w:pPr>
        <w:rPr>
          <w:rFonts w:ascii="Times New Roman" w:hAnsi="Times New Roman" w:cs="Times New Roman"/>
          <w:color w:val="000000" w:themeColor="text1"/>
          <w:sz w:val="20"/>
          <w:szCs w:val="20"/>
        </w:rPr>
      </w:pPr>
    </w:p>
    <w:p w14:paraId="05A42792" w14:textId="058EC0B8" w:rsidR="004B2604" w:rsidRPr="000E262D" w:rsidRDefault="004B2604" w:rsidP="008A7331">
      <w:pPr>
        <w:rPr>
          <w:rFonts w:ascii="Times New Roman" w:hAnsi="Times New Roman" w:cs="Times New Roman"/>
          <w:color w:val="000000" w:themeColor="text1"/>
          <w:sz w:val="20"/>
          <w:szCs w:val="20"/>
        </w:rPr>
      </w:pPr>
    </w:p>
    <w:p w14:paraId="5083FA8E" w14:textId="722FFDC3" w:rsidR="004B2604" w:rsidRPr="000E262D" w:rsidRDefault="004B2604" w:rsidP="008A7331">
      <w:pPr>
        <w:rPr>
          <w:rFonts w:ascii="Times New Roman" w:hAnsi="Times New Roman" w:cs="Times New Roman"/>
          <w:color w:val="000000" w:themeColor="text1"/>
          <w:sz w:val="20"/>
          <w:szCs w:val="20"/>
        </w:rPr>
      </w:pPr>
    </w:p>
    <w:p w14:paraId="36271C6C" w14:textId="157A3B5F" w:rsidR="004B2604" w:rsidRPr="000E262D" w:rsidRDefault="004B2604" w:rsidP="008A7331">
      <w:pPr>
        <w:rPr>
          <w:rFonts w:ascii="Times New Roman" w:hAnsi="Times New Roman" w:cs="Times New Roman"/>
          <w:color w:val="000000" w:themeColor="text1"/>
          <w:sz w:val="20"/>
          <w:szCs w:val="20"/>
        </w:rPr>
      </w:pPr>
    </w:p>
    <w:p w14:paraId="0D4460B7" w14:textId="133EFE9C" w:rsidR="004B2604" w:rsidRPr="000E262D" w:rsidRDefault="004B2604" w:rsidP="008A7331">
      <w:pPr>
        <w:rPr>
          <w:rFonts w:ascii="Times New Roman" w:hAnsi="Times New Roman" w:cs="Times New Roman"/>
          <w:color w:val="000000" w:themeColor="text1"/>
          <w:sz w:val="20"/>
          <w:szCs w:val="20"/>
        </w:rPr>
      </w:pPr>
    </w:p>
    <w:p w14:paraId="72BA6E00" w14:textId="751AF334" w:rsidR="004B2604" w:rsidRPr="000E262D" w:rsidRDefault="004B2604" w:rsidP="008A7331">
      <w:pPr>
        <w:rPr>
          <w:rFonts w:ascii="Times New Roman" w:hAnsi="Times New Roman" w:cs="Times New Roman"/>
          <w:color w:val="000000" w:themeColor="text1"/>
          <w:sz w:val="20"/>
          <w:szCs w:val="20"/>
        </w:rPr>
      </w:pPr>
    </w:p>
    <w:p w14:paraId="25F0FFD0" w14:textId="29929406" w:rsidR="004B2604" w:rsidRPr="000E262D" w:rsidRDefault="004B2604" w:rsidP="008A7331">
      <w:pPr>
        <w:rPr>
          <w:rFonts w:ascii="Times New Roman" w:hAnsi="Times New Roman" w:cs="Times New Roman"/>
          <w:color w:val="000000" w:themeColor="text1"/>
          <w:sz w:val="20"/>
          <w:szCs w:val="20"/>
        </w:rPr>
      </w:pPr>
    </w:p>
    <w:p w14:paraId="77456C43" w14:textId="3D574E7C" w:rsidR="004B2604" w:rsidRPr="000E262D" w:rsidRDefault="004B2604" w:rsidP="008A7331">
      <w:pPr>
        <w:rPr>
          <w:rFonts w:ascii="Times New Roman" w:hAnsi="Times New Roman" w:cs="Times New Roman"/>
          <w:color w:val="000000" w:themeColor="text1"/>
          <w:sz w:val="20"/>
          <w:szCs w:val="20"/>
        </w:rPr>
      </w:pPr>
    </w:p>
    <w:p w14:paraId="596AC688" w14:textId="704F474A" w:rsidR="004B2604" w:rsidRPr="000E262D" w:rsidRDefault="004B2604" w:rsidP="008A7331">
      <w:pPr>
        <w:rPr>
          <w:rFonts w:ascii="Times New Roman" w:hAnsi="Times New Roman" w:cs="Times New Roman"/>
          <w:color w:val="000000" w:themeColor="text1"/>
          <w:sz w:val="20"/>
          <w:szCs w:val="20"/>
        </w:rPr>
      </w:pPr>
    </w:p>
    <w:p w14:paraId="2C6ED3B3" w14:textId="32BC5092" w:rsidR="004B2604" w:rsidRPr="000E262D" w:rsidRDefault="004B2604" w:rsidP="008A7331">
      <w:pPr>
        <w:rPr>
          <w:rFonts w:ascii="Times New Roman" w:hAnsi="Times New Roman" w:cs="Times New Roman"/>
          <w:color w:val="000000" w:themeColor="text1"/>
          <w:sz w:val="20"/>
          <w:szCs w:val="20"/>
        </w:rPr>
      </w:pPr>
    </w:p>
    <w:p w14:paraId="7D6BC302" w14:textId="2A2518FE" w:rsidR="004B2604" w:rsidRPr="000E262D" w:rsidRDefault="004B2604" w:rsidP="008A7331">
      <w:pPr>
        <w:rPr>
          <w:rFonts w:ascii="Times New Roman" w:hAnsi="Times New Roman" w:cs="Times New Roman"/>
          <w:color w:val="000000" w:themeColor="text1"/>
          <w:sz w:val="20"/>
          <w:szCs w:val="20"/>
        </w:rPr>
      </w:pPr>
    </w:p>
    <w:p w14:paraId="6C3C8616" w14:textId="68F0F493" w:rsidR="004B2604" w:rsidRPr="000E262D" w:rsidRDefault="004B2604" w:rsidP="008A7331">
      <w:pPr>
        <w:rPr>
          <w:rFonts w:ascii="Times New Roman" w:hAnsi="Times New Roman" w:cs="Times New Roman"/>
          <w:color w:val="000000" w:themeColor="text1"/>
          <w:sz w:val="20"/>
          <w:szCs w:val="20"/>
        </w:rPr>
      </w:pPr>
    </w:p>
    <w:p w14:paraId="7EE38B88" w14:textId="7A6CE254" w:rsidR="004B2604" w:rsidRPr="000E262D" w:rsidRDefault="004B2604" w:rsidP="008A7331">
      <w:pPr>
        <w:rPr>
          <w:rFonts w:ascii="Times New Roman" w:hAnsi="Times New Roman" w:cs="Times New Roman"/>
          <w:color w:val="000000" w:themeColor="text1"/>
          <w:sz w:val="20"/>
          <w:szCs w:val="20"/>
        </w:rPr>
      </w:pPr>
    </w:p>
    <w:p w14:paraId="3E33AF85" w14:textId="5FE156A8" w:rsidR="004B2604" w:rsidRPr="000E262D" w:rsidRDefault="004B2604" w:rsidP="008A7331">
      <w:pPr>
        <w:rPr>
          <w:rFonts w:ascii="Times New Roman" w:hAnsi="Times New Roman" w:cs="Times New Roman"/>
          <w:color w:val="000000" w:themeColor="text1"/>
          <w:sz w:val="20"/>
          <w:szCs w:val="20"/>
        </w:rPr>
      </w:pPr>
    </w:p>
    <w:p w14:paraId="62C666F6" w14:textId="7068D5D6" w:rsidR="004B2604" w:rsidRPr="000E262D" w:rsidRDefault="004B2604" w:rsidP="008A7331">
      <w:pPr>
        <w:rPr>
          <w:rFonts w:ascii="Times New Roman" w:hAnsi="Times New Roman" w:cs="Times New Roman"/>
          <w:color w:val="000000" w:themeColor="text1"/>
          <w:sz w:val="20"/>
          <w:szCs w:val="20"/>
        </w:rPr>
      </w:pPr>
    </w:p>
    <w:p w14:paraId="00E07738" w14:textId="3E4A5837" w:rsidR="004B2604" w:rsidRPr="000E262D" w:rsidRDefault="004B2604" w:rsidP="008A7331">
      <w:pPr>
        <w:rPr>
          <w:rFonts w:ascii="Times New Roman" w:hAnsi="Times New Roman" w:cs="Times New Roman"/>
          <w:color w:val="000000" w:themeColor="text1"/>
          <w:sz w:val="20"/>
          <w:szCs w:val="20"/>
        </w:rPr>
      </w:pPr>
    </w:p>
    <w:p w14:paraId="45270AA7" w14:textId="05D0715A" w:rsidR="004B2604" w:rsidRPr="000E262D" w:rsidRDefault="004B2604" w:rsidP="008A7331">
      <w:pPr>
        <w:rPr>
          <w:rFonts w:ascii="Times New Roman" w:hAnsi="Times New Roman" w:cs="Times New Roman"/>
          <w:color w:val="000000" w:themeColor="text1"/>
          <w:sz w:val="20"/>
          <w:szCs w:val="20"/>
        </w:rPr>
      </w:pPr>
    </w:p>
    <w:p w14:paraId="28994484" w14:textId="1AE645FC" w:rsidR="004B2604" w:rsidRPr="000E262D" w:rsidRDefault="004B2604" w:rsidP="008A7331">
      <w:pPr>
        <w:rPr>
          <w:rFonts w:ascii="Times New Roman" w:hAnsi="Times New Roman" w:cs="Times New Roman"/>
          <w:color w:val="000000" w:themeColor="text1"/>
          <w:sz w:val="20"/>
          <w:szCs w:val="20"/>
        </w:rPr>
      </w:pPr>
    </w:p>
    <w:p w14:paraId="0F1799B6" w14:textId="17708155" w:rsidR="004B2604" w:rsidRPr="000E262D" w:rsidRDefault="004B2604" w:rsidP="008A7331">
      <w:pPr>
        <w:rPr>
          <w:rFonts w:ascii="Times New Roman" w:hAnsi="Times New Roman" w:cs="Times New Roman"/>
          <w:color w:val="000000" w:themeColor="text1"/>
          <w:sz w:val="20"/>
          <w:szCs w:val="20"/>
        </w:rPr>
      </w:pPr>
    </w:p>
    <w:p w14:paraId="521E65C8" w14:textId="73338391" w:rsidR="004B2604" w:rsidRPr="000E262D" w:rsidRDefault="004B2604" w:rsidP="008A7331">
      <w:pPr>
        <w:rPr>
          <w:rFonts w:ascii="Times New Roman" w:hAnsi="Times New Roman" w:cs="Times New Roman"/>
          <w:color w:val="000000" w:themeColor="text1"/>
          <w:sz w:val="20"/>
          <w:szCs w:val="20"/>
        </w:rPr>
      </w:pPr>
    </w:p>
    <w:p w14:paraId="1A4B50AF" w14:textId="5662F88E" w:rsidR="004B2604" w:rsidRPr="000E262D" w:rsidRDefault="004B2604" w:rsidP="008A7331">
      <w:pPr>
        <w:rPr>
          <w:rFonts w:ascii="Times New Roman" w:hAnsi="Times New Roman" w:cs="Times New Roman"/>
          <w:color w:val="000000" w:themeColor="text1"/>
          <w:sz w:val="20"/>
          <w:szCs w:val="20"/>
        </w:rPr>
      </w:pPr>
    </w:p>
    <w:p w14:paraId="2DE63528" w14:textId="739203A3" w:rsidR="004B2604" w:rsidRPr="000E262D" w:rsidRDefault="004B2604" w:rsidP="008A7331">
      <w:pPr>
        <w:rPr>
          <w:rFonts w:ascii="Times New Roman" w:hAnsi="Times New Roman" w:cs="Times New Roman"/>
          <w:color w:val="000000" w:themeColor="text1"/>
          <w:sz w:val="20"/>
          <w:szCs w:val="20"/>
        </w:rPr>
      </w:pPr>
    </w:p>
    <w:p w14:paraId="43A288B0" w14:textId="4D62A72C" w:rsidR="004B2604" w:rsidRPr="000E262D" w:rsidRDefault="004B2604" w:rsidP="008A7331">
      <w:pPr>
        <w:rPr>
          <w:rFonts w:ascii="Times New Roman" w:hAnsi="Times New Roman" w:cs="Times New Roman"/>
          <w:color w:val="000000" w:themeColor="text1"/>
          <w:sz w:val="20"/>
          <w:szCs w:val="20"/>
        </w:rPr>
      </w:pPr>
    </w:p>
    <w:p w14:paraId="5CB417A7" w14:textId="03FC4540" w:rsidR="004B2604" w:rsidRPr="000E262D" w:rsidRDefault="004B2604" w:rsidP="008A7331">
      <w:pPr>
        <w:rPr>
          <w:rFonts w:ascii="Times New Roman" w:hAnsi="Times New Roman" w:cs="Times New Roman"/>
          <w:color w:val="000000" w:themeColor="text1"/>
          <w:sz w:val="20"/>
          <w:szCs w:val="20"/>
        </w:rPr>
      </w:pPr>
    </w:p>
    <w:p w14:paraId="7FF96B15" w14:textId="1E8E05BC" w:rsidR="004B2604" w:rsidRPr="000E262D" w:rsidRDefault="004B2604" w:rsidP="008A7331">
      <w:pPr>
        <w:rPr>
          <w:rFonts w:ascii="Times New Roman" w:hAnsi="Times New Roman" w:cs="Times New Roman"/>
          <w:color w:val="000000" w:themeColor="text1"/>
          <w:sz w:val="20"/>
          <w:szCs w:val="20"/>
        </w:rPr>
      </w:pPr>
    </w:p>
    <w:p w14:paraId="497EAF93" w14:textId="1C226FAC" w:rsidR="004B2604" w:rsidRPr="000E262D" w:rsidRDefault="004B2604" w:rsidP="008A7331">
      <w:pPr>
        <w:rPr>
          <w:rFonts w:ascii="Times New Roman" w:hAnsi="Times New Roman" w:cs="Times New Roman"/>
          <w:color w:val="000000" w:themeColor="text1"/>
          <w:sz w:val="20"/>
          <w:szCs w:val="20"/>
        </w:rPr>
      </w:pPr>
    </w:p>
    <w:p w14:paraId="2D09F36C" w14:textId="77777777" w:rsidR="004B2604" w:rsidRPr="000E262D" w:rsidRDefault="004B2604" w:rsidP="004B2604">
      <w:pPr>
        <w:rPr>
          <w:rFonts w:ascii="Times New Roman" w:hAnsi="Times New Roman" w:cs="Times New Roman"/>
          <w:color w:val="000000" w:themeColor="text1"/>
          <w:sz w:val="20"/>
          <w:szCs w:val="20"/>
        </w:rPr>
      </w:pPr>
    </w:p>
    <w:p w14:paraId="71CC432F" w14:textId="77777777" w:rsidR="004B2604" w:rsidRPr="000E262D" w:rsidRDefault="004B2604" w:rsidP="004B2604">
      <w:pPr>
        <w:jc w:val="center"/>
        <w:rPr>
          <w:rFonts w:ascii="Times New Roman" w:hAnsi="Times New Roman" w:cs="Times New Roman"/>
          <w:b/>
          <w:bCs/>
          <w:color w:val="000000" w:themeColor="text1"/>
          <w:sz w:val="20"/>
          <w:szCs w:val="20"/>
        </w:rPr>
      </w:pPr>
      <w:r w:rsidRPr="000E262D">
        <w:rPr>
          <w:rFonts w:ascii="Times New Roman" w:hAnsi="Times New Roman" w:cs="Times New Roman"/>
          <w:b/>
          <w:bCs/>
          <w:color w:val="000000" w:themeColor="text1"/>
          <w:sz w:val="20"/>
          <w:szCs w:val="20"/>
        </w:rPr>
        <w:t>References:</w:t>
      </w:r>
    </w:p>
    <w:p w14:paraId="443A50D1" w14:textId="77777777" w:rsidR="004B2604" w:rsidRPr="000E262D" w:rsidRDefault="004B2604" w:rsidP="004B2604">
      <w:pPr>
        <w:autoSpaceDE w:val="0"/>
        <w:autoSpaceDN w:val="0"/>
        <w:adjustRightInd w:val="0"/>
        <w:spacing w:line="360" w:lineRule="auto"/>
        <w:rPr>
          <w:rFonts w:ascii="Times New Roman" w:hAnsi="Times New Roman" w:cs="Times New Roman"/>
          <w:color w:val="000000" w:themeColor="text1"/>
          <w:sz w:val="20"/>
          <w:szCs w:val="20"/>
        </w:rPr>
      </w:pPr>
    </w:p>
    <w:p w14:paraId="0C3B4DC0" w14:textId="77777777" w:rsidR="004B2604" w:rsidRPr="000E262D" w:rsidRDefault="004B2604" w:rsidP="004B2604">
      <w:pPr>
        <w:autoSpaceDE w:val="0"/>
        <w:autoSpaceDN w:val="0"/>
        <w:adjustRightInd w:val="0"/>
        <w:spacing w:line="360" w:lineRule="auto"/>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Secondary sources:</w:t>
      </w:r>
    </w:p>
    <w:p w14:paraId="5A2280D6"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Acharya, A. 2004 “How Ideas Spread: Whose Norms Matter? Norm Localization and Institutional Change in Asian Regionalism.” </w:t>
      </w:r>
      <w:r w:rsidRPr="000E262D">
        <w:rPr>
          <w:rFonts w:ascii="Times New Roman" w:hAnsi="Times New Roman" w:cs="Times New Roman"/>
          <w:i/>
          <w:iCs/>
          <w:color w:val="000000" w:themeColor="text1"/>
          <w:sz w:val="20"/>
          <w:szCs w:val="20"/>
        </w:rPr>
        <w:t>International Organization</w:t>
      </w:r>
      <w:r w:rsidRPr="000E262D">
        <w:rPr>
          <w:rFonts w:ascii="Times New Roman" w:hAnsi="Times New Roman" w:cs="Times New Roman"/>
          <w:color w:val="000000" w:themeColor="text1"/>
          <w:sz w:val="20"/>
          <w:szCs w:val="20"/>
        </w:rPr>
        <w:t xml:space="preserve"> 58(2):239–275.</w:t>
      </w:r>
    </w:p>
    <w:p w14:paraId="78B57385"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shd w:val="clear" w:color="auto" w:fill="FFFFFF"/>
        </w:rPr>
      </w:pPr>
      <w:r w:rsidRPr="000E262D">
        <w:rPr>
          <w:rFonts w:ascii="Times New Roman" w:hAnsi="Times New Roman" w:cs="Times New Roman"/>
          <w:color w:val="000000" w:themeColor="text1"/>
          <w:sz w:val="20"/>
          <w:szCs w:val="20"/>
          <w:shd w:val="clear" w:color="auto" w:fill="FFFFFF"/>
        </w:rPr>
        <w:t>Allison, L. 2015. </w:t>
      </w:r>
      <w:r w:rsidRPr="000E262D">
        <w:rPr>
          <w:rFonts w:ascii="Times New Roman" w:hAnsi="Times New Roman" w:cs="Times New Roman"/>
          <w:i/>
          <w:iCs/>
          <w:color w:val="000000" w:themeColor="text1"/>
          <w:sz w:val="20"/>
          <w:szCs w:val="20"/>
          <w:shd w:val="clear" w:color="auto" w:fill="FFFFFF"/>
        </w:rPr>
        <w:t xml:space="preserve">The EU, ASEAN and </w:t>
      </w:r>
      <w:proofErr w:type="spellStart"/>
      <w:r w:rsidRPr="000E262D">
        <w:rPr>
          <w:rFonts w:ascii="Times New Roman" w:hAnsi="Times New Roman" w:cs="Times New Roman"/>
          <w:i/>
          <w:iCs/>
          <w:color w:val="000000" w:themeColor="text1"/>
          <w:sz w:val="20"/>
          <w:szCs w:val="20"/>
          <w:shd w:val="clear" w:color="auto" w:fill="FFFFFF"/>
        </w:rPr>
        <w:t>interregionalism</w:t>
      </w:r>
      <w:proofErr w:type="spellEnd"/>
      <w:r w:rsidRPr="000E262D">
        <w:rPr>
          <w:rFonts w:ascii="Times New Roman" w:hAnsi="Times New Roman" w:cs="Times New Roman"/>
          <w:i/>
          <w:iCs/>
          <w:color w:val="000000" w:themeColor="text1"/>
          <w:sz w:val="20"/>
          <w:szCs w:val="20"/>
          <w:shd w:val="clear" w:color="auto" w:fill="FFFFFF"/>
        </w:rPr>
        <w:t>: regionalism support and norm diffusion between the EU and ASEAN</w:t>
      </w:r>
      <w:r w:rsidRPr="000E262D">
        <w:rPr>
          <w:rFonts w:ascii="Times New Roman" w:hAnsi="Times New Roman" w:cs="Times New Roman"/>
          <w:color w:val="000000" w:themeColor="text1"/>
          <w:sz w:val="20"/>
          <w:szCs w:val="20"/>
          <w:shd w:val="clear" w:color="auto" w:fill="FFFFFF"/>
        </w:rPr>
        <w:t>. Springer.</w:t>
      </w:r>
    </w:p>
    <w:p w14:paraId="641DB717"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shd w:val="clear" w:color="auto" w:fill="FFFFFF"/>
        </w:rPr>
      </w:pPr>
      <w:r w:rsidRPr="000E262D">
        <w:rPr>
          <w:rFonts w:ascii="Times New Roman" w:hAnsi="Times New Roman" w:cs="Times New Roman"/>
          <w:color w:val="000000" w:themeColor="text1"/>
          <w:sz w:val="20"/>
          <w:szCs w:val="20"/>
          <w:shd w:val="clear" w:color="auto" w:fill="FFFFFF"/>
        </w:rPr>
        <w:t>Bach, D., and Newman, A. L. 2007. “The European regulatory state and global public policy: micro-institutions, macro-influence.” </w:t>
      </w:r>
      <w:r w:rsidRPr="000E262D">
        <w:rPr>
          <w:rFonts w:ascii="Times New Roman" w:hAnsi="Times New Roman" w:cs="Times New Roman"/>
          <w:i/>
          <w:iCs/>
          <w:color w:val="000000" w:themeColor="text1"/>
          <w:sz w:val="20"/>
          <w:szCs w:val="20"/>
          <w:shd w:val="clear" w:color="auto" w:fill="FFFFFF"/>
        </w:rPr>
        <w:t>Journal of European Public Policy</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14</w:t>
      </w:r>
      <w:r w:rsidRPr="000E262D">
        <w:rPr>
          <w:rFonts w:ascii="Times New Roman" w:hAnsi="Times New Roman" w:cs="Times New Roman"/>
          <w:color w:val="000000" w:themeColor="text1"/>
          <w:sz w:val="20"/>
          <w:szCs w:val="20"/>
          <w:shd w:val="clear" w:color="auto" w:fill="FFFFFF"/>
        </w:rPr>
        <w:t>(6):827-846.</w:t>
      </w:r>
    </w:p>
    <w:p w14:paraId="6305DE45"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Blee, KM. and </w:t>
      </w:r>
      <w:proofErr w:type="spellStart"/>
      <w:r w:rsidRPr="000E262D">
        <w:rPr>
          <w:rFonts w:ascii="Times New Roman" w:hAnsi="Times New Roman" w:cs="Times New Roman"/>
          <w:color w:val="000000" w:themeColor="text1"/>
          <w:sz w:val="20"/>
          <w:szCs w:val="20"/>
        </w:rPr>
        <w:t>Verta</w:t>
      </w:r>
      <w:proofErr w:type="spellEnd"/>
      <w:r w:rsidRPr="000E262D">
        <w:rPr>
          <w:rFonts w:ascii="Times New Roman" w:hAnsi="Times New Roman" w:cs="Times New Roman"/>
          <w:color w:val="000000" w:themeColor="text1"/>
          <w:sz w:val="20"/>
          <w:szCs w:val="20"/>
        </w:rPr>
        <w:t xml:space="preserve">, T. 2002. “Semi-Structured Interviewing in Social Movement Research”, in B. </w:t>
      </w:r>
      <w:proofErr w:type="spellStart"/>
      <w:r w:rsidRPr="000E262D">
        <w:rPr>
          <w:rFonts w:ascii="Times New Roman" w:hAnsi="Times New Roman" w:cs="Times New Roman"/>
          <w:color w:val="000000" w:themeColor="text1"/>
          <w:sz w:val="20"/>
          <w:szCs w:val="20"/>
        </w:rPr>
        <w:t>Klandermans</w:t>
      </w:r>
      <w:proofErr w:type="spellEnd"/>
      <w:r w:rsidRPr="000E262D">
        <w:rPr>
          <w:rFonts w:ascii="Times New Roman" w:hAnsi="Times New Roman" w:cs="Times New Roman"/>
          <w:color w:val="000000" w:themeColor="text1"/>
          <w:sz w:val="20"/>
          <w:szCs w:val="20"/>
        </w:rPr>
        <w:t xml:space="preserve"> and S. </w:t>
      </w:r>
      <w:proofErr w:type="spellStart"/>
      <w:r w:rsidRPr="000E262D">
        <w:rPr>
          <w:rFonts w:ascii="Times New Roman" w:hAnsi="Times New Roman" w:cs="Times New Roman"/>
          <w:color w:val="000000" w:themeColor="text1"/>
          <w:sz w:val="20"/>
          <w:szCs w:val="20"/>
        </w:rPr>
        <w:t>Staggenborg</w:t>
      </w:r>
      <w:proofErr w:type="spellEnd"/>
      <w:r w:rsidRPr="000E262D">
        <w:rPr>
          <w:rFonts w:ascii="Times New Roman" w:hAnsi="Times New Roman" w:cs="Times New Roman"/>
          <w:color w:val="000000" w:themeColor="text1"/>
          <w:sz w:val="20"/>
          <w:szCs w:val="20"/>
        </w:rPr>
        <w:t xml:space="preserve">. eds, </w:t>
      </w:r>
      <w:r w:rsidRPr="000E262D">
        <w:rPr>
          <w:rFonts w:ascii="Times New Roman" w:hAnsi="Times New Roman" w:cs="Times New Roman"/>
          <w:i/>
          <w:iCs/>
          <w:color w:val="000000" w:themeColor="text1"/>
          <w:sz w:val="20"/>
          <w:szCs w:val="20"/>
        </w:rPr>
        <w:t>Methods of Social Movement Research</w:t>
      </w:r>
      <w:r w:rsidRPr="000E262D">
        <w:rPr>
          <w:rFonts w:ascii="Times New Roman" w:hAnsi="Times New Roman" w:cs="Times New Roman"/>
          <w:color w:val="000000" w:themeColor="text1"/>
          <w:sz w:val="20"/>
          <w:szCs w:val="20"/>
        </w:rPr>
        <w:t>, Minneapolis, the University of Minnesota Press.</w:t>
      </w:r>
    </w:p>
    <w:p w14:paraId="732CF300"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shd w:val="clear" w:color="auto" w:fill="FFFFFF"/>
        </w:rPr>
        <w:t>Björkdahl</w:t>
      </w:r>
      <w:proofErr w:type="spellEnd"/>
      <w:r w:rsidRPr="000E262D">
        <w:rPr>
          <w:rFonts w:ascii="Times New Roman" w:hAnsi="Times New Roman" w:cs="Times New Roman"/>
          <w:color w:val="000000" w:themeColor="text1"/>
          <w:sz w:val="20"/>
          <w:szCs w:val="20"/>
          <w:shd w:val="clear" w:color="auto" w:fill="FFFFFF"/>
        </w:rPr>
        <w:t xml:space="preserve">, A., </w:t>
      </w:r>
      <w:proofErr w:type="spellStart"/>
      <w:r w:rsidRPr="000E262D">
        <w:rPr>
          <w:rFonts w:ascii="Times New Roman" w:hAnsi="Times New Roman" w:cs="Times New Roman"/>
          <w:color w:val="000000" w:themeColor="text1"/>
          <w:sz w:val="20"/>
          <w:szCs w:val="20"/>
          <w:shd w:val="clear" w:color="auto" w:fill="FFFFFF"/>
        </w:rPr>
        <w:t>Chaban</w:t>
      </w:r>
      <w:proofErr w:type="spellEnd"/>
      <w:r w:rsidRPr="000E262D">
        <w:rPr>
          <w:rFonts w:ascii="Times New Roman" w:hAnsi="Times New Roman" w:cs="Times New Roman"/>
          <w:color w:val="000000" w:themeColor="text1"/>
          <w:sz w:val="20"/>
          <w:szCs w:val="20"/>
          <w:shd w:val="clear" w:color="auto" w:fill="FFFFFF"/>
        </w:rPr>
        <w:t xml:space="preserve">, N., Leslie, J., and </w:t>
      </w:r>
      <w:proofErr w:type="spellStart"/>
      <w:r w:rsidRPr="000E262D">
        <w:rPr>
          <w:rFonts w:ascii="Times New Roman" w:hAnsi="Times New Roman" w:cs="Times New Roman"/>
          <w:color w:val="000000" w:themeColor="text1"/>
          <w:sz w:val="20"/>
          <w:szCs w:val="20"/>
          <w:shd w:val="clear" w:color="auto" w:fill="FFFFFF"/>
        </w:rPr>
        <w:t>Masselot</w:t>
      </w:r>
      <w:proofErr w:type="spellEnd"/>
      <w:r w:rsidRPr="000E262D">
        <w:rPr>
          <w:rFonts w:ascii="Times New Roman" w:hAnsi="Times New Roman" w:cs="Times New Roman"/>
          <w:color w:val="000000" w:themeColor="text1"/>
          <w:sz w:val="20"/>
          <w:szCs w:val="20"/>
          <w:shd w:val="clear" w:color="auto" w:fill="FFFFFF"/>
        </w:rPr>
        <w:t>, A. (Eds.). 2015. </w:t>
      </w:r>
      <w:r w:rsidRPr="000E262D">
        <w:rPr>
          <w:rFonts w:ascii="Times New Roman" w:hAnsi="Times New Roman" w:cs="Times New Roman"/>
          <w:i/>
          <w:iCs/>
          <w:color w:val="000000" w:themeColor="text1"/>
          <w:sz w:val="20"/>
          <w:szCs w:val="20"/>
          <w:shd w:val="clear" w:color="auto" w:fill="FFFFFF"/>
        </w:rPr>
        <w:t>Importing EU norms: conceptual framework and empirical findings</w:t>
      </w:r>
      <w:r w:rsidRPr="000E262D">
        <w:rPr>
          <w:rFonts w:ascii="Times New Roman" w:hAnsi="Times New Roman" w:cs="Times New Roman"/>
          <w:color w:val="000000" w:themeColor="text1"/>
          <w:sz w:val="20"/>
          <w:szCs w:val="20"/>
          <w:shd w:val="clear" w:color="auto" w:fill="FFFFFF"/>
        </w:rPr>
        <w:t> (Vol. 8). Springer.</w:t>
      </w:r>
    </w:p>
    <w:p w14:paraId="1E734375" w14:textId="77777777" w:rsidR="004B2604" w:rsidRPr="000E262D" w:rsidRDefault="004B2604" w:rsidP="004B2604">
      <w:pPr>
        <w:widowControl/>
        <w:spacing w:line="360" w:lineRule="auto"/>
        <w:ind w:left="400" w:hangingChars="200" w:hanging="400"/>
        <w:jc w:val="left"/>
        <w:rPr>
          <w:rFonts w:ascii="Times New Roman" w:eastAsia="宋体" w:hAnsi="Times New Roman" w:cs="Times New Roman"/>
          <w:color w:val="000000" w:themeColor="text1"/>
          <w:kern w:val="0"/>
          <w:sz w:val="20"/>
          <w:szCs w:val="20"/>
        </w:rPr>
      </w:pPr>
      <w:proofErr w:type="spellStart"/>
      <w:r w:rsidRPr="000E262D">
        <w:rPr>
          <w:rFonts w:ascii="Times New Roman" w:eastAsia="宋体" w:hAnsi="Times New Roman" w:cs="Times New Roman"/>
          <w:color w:val="000000" w:themeColor="text1"/>
          <w:kern w:val="0"/>
          <w:sz w:val="20"/>
          <w:szCs w:val="20"/>
          <w:shd w:val="clear" w:color="auto" w:fill="FFFFFF"/>
        </w:rPr>
        <w:t>Damro</w:t>
      </w:r>
      <w:proofErr w:type="spellEnd"/>
      <w:r w:rsidRPr="000E262D">
        <w:rPr>
          <w:rFonts w:ascii="Times New Roman" w:eastAsia="宋体" w:hAnsi="Times New Roman" w:cs="Times New Roman"/>
          <w:color w:val="000000" w:themeColor="text1"/>
          <w:kern w:val="0"/>
          <w:sz w:val="20"/>
          <w:szCs w:val="20"/>
          <w:shd w:val="clear" w:color="auto" w:fill="FFFFFF"/>
        </w:rPr>
        <w:t>, C. 2015. Market power Europe: exploring a dynamic conceptual framework. </w:t>
      </w:r>
      <w:r w:rsidRPr="000E262D">
        <w:rPr>
          <w:rFonts w:ascii="Times New Roman" w:eastAsia="宋体" w:hAnsi="Times New Roman" w:cs="Times New Roman"/>
          <w:i/>
          <w:iCs/>
          <w:color w:val="000000" w:themeColor="text1"/>
          <w:kern w:val="0"/>
          <w:sz w:val="20"/>
          <w:szCs w:val="20"/>
          <w:shd w:val="clear" w:color="auto" w:fill="FFFFFF"/>
        </w:rPr>
        <w:t>Journal of European Public Policy</w:t>
      </w:r>
      <w:r w:rsidRPr="000E262D">
        <w:rPr>
          <w:rFonts w:ascii="Times New Roman" w:eastAsia="宋体" w:hAnsi="Times New Roman" w:cs="Times New Roman"/>
          <w:color w:val="000000" w:themeColor="text1"/>
          <w:kern w:val="0"/>
          <w:sz w:val="20"/>
          <w:szCs w:val="20"/>
          <w:shd w:val="clear" w:color="auto" w:fill="FFFFFF"/>
        </w:rPr>
        <w:t>, </w:t>
      </w:r>
      <w:r w:rsidRPr="000E262D">
        <w:rPr>
          <w:rFonts w:ascii="Times New Roman" w:eastAsia="宋体" w:hAnsi="Times New Roman" w:cs="Times New Roman"/>
          <w:i/>
          <w:iCs/>
          <w:color w:val="000000" w:themeColor="text1"/>
          <w:kern w:val="0"/>
          <w:sz w:val="20"/>
          <w:szCs w:val="20"/>
          <w:shd w:val="clear" w:color="auto" w:fill="FFFFFF"/>
        </w:rPr>
        <w:t>22</w:t>
      </w:r>
      <w:r w:rsidRPr="000E262D">
        <w:rPr>
          <w:rFonts w:ascii="Times New Roman" w:eastAsia="宋体" w:hAnsi="Times New Roman" w:cs="Times New Roman"/>
          <w:color w:val="000000" w:themeColor="text1"/>
          <w:kern w:val="0"/>
          <w:sz w:val="20"/>
          <w:szCs w:val="20"/>
          <w:shd w:val="clear" w:color="auto" w:fill="FFFFFF"/>
        </w:rPr>
        <w:t>(9):1336-1354.</w:t>
      </w:r>
    </w:p>
    <w:p w14:paraId="46EFAE1B" w14:textId="77777777" w:rsidR="004B2604" w:rsidRPr="000E262D" w:rsidRDefault="004B2604" w:rsidP="004B2604">
      <w:pPr>
        <w:widowControl/>
        <w:spacing w:line="360" w:lineRule="auto"/>
        <w:ind w:left="400" w:hangingChars="200" w:hanging="400"/>
        <w:jc w:val="left"/>
        <w:rPr>
          <w:rFonts w:ascii="Times New Roman" w:eastAsia="宋体" w:hAnsi="Times New Roman" w:cs="Times New Roman"/>
          <w:color w:val="000000" w:themeColor="text1"/>
          <w:kern w:val="0"/>
          <w:sz w:val="20"/>
          <w:szCs w:val="20"/>
        </w:rPr>
      </w:pPr>
      <w:proofErr w:type="spellStart"/>
      <w:r w:rsidRPr="000E262D">
        <w:rPr>
          <w:rFonts w:ascii="Times New Roman" w:eastAsia="宋体" w:hAnsi="Times New Roman" w:cs="Times New Roman"/>
          <w:color w:val="000000" w:themeColor="text1"/>
          <w:kern w:val="0"/>
          <w:sz w:val="20"/>
          <w:szCs w:val="20"/>
          <w:shd w:val="clear" w:color="auto" w:fill="FFFFFF"/>
        </w:rPr>
        <w:t>Damro</w:t>
      </w:r>
      <w:proofErr w:type="spellEnd"/>
      <w:r w:rsidRPr="000E262D">
        <w:rPr>
          <w:rFonts w:ascii="Times New Roman" w:eastAsia="宋体" w:hAnsi="Times New Roman" w:cs="Times New Roman"/>
          <w:color w:val="000000" w:themeColor="text1"/>
          <w:kern w:val="0"/>
          <w:sz w:val="20"/>
          <w:szCs w:val="20"/>
          <w:shd w:val="clear" w:color="auto" w:fill="FFFFFF"/>
        </w:rPr>
        <w:t>, C., and Friedman, Y. 2018. Market Power Europe and the Externalization of Higher Education. </w:t>
      </w:r>
      <w:r w:rsidRPr="000E262D">
        <w:rPr>
          <w:rFonts w:ascii="Times New Roman" w:eastAsia="宋体" w:hAnsi="Times New Roman" w:cs="Times New Roman"/>
          <w:i/>
          <w:iCs/>
          <w:color w:val="000000" w:themeColor="text1"/>
          <w:kern w:val="0"/>
          <w:sz w:val="20"/>
          <w:szCs w:val="20"/>
          <w:shd w:val="clear" w:color="auto" w:fill="FFFFFF"/>
        </w:rPr>
        <w:t>JCMS: Journal of Common Market Studies</w:t>
      </w:r>
      <w:r w:rsidRPr="000E262D">
        <w:rPr>
          <w:rFonts w:ascii="Times New Roman" w:eastAsia="宋体" w:hAnsi="Times New Roman" w:cs="Times New Roman"/>
          <w:color w:val="000000" w:themeColor="text1"/>
          <w:kern w:val="0"/>
          <w:sz w:val="20"/>
          <w:szCs w:val="20"/>
          <w:shd w:val="clear" w:color="auto" w:fill="FFFFFF"/>
        </w:rPr>
        <w:t>, </w:t>
      </w:r>
      <w:r w:rsidRPr="000E262D">
        <w:rPr>
          <w:rFonts w:ascii="Times New Roman" w:eastAsia="宋体" w:hAnsi="Times New Roman" w:cs="Times New Roman"/>
          <w:i/>
          <w:iCs/>
          <w:color w:val="000000" w:themeColor="text1"/>
          <w:kern w:val="0"/>
          <w:sz w:val="20"/>
          <w:szCs w:val="20"/>
          <w:shd w:val="clear" w:color="auto" w:fill="FFFFFF"/>
        </w:rPr>
        <w:t>56</w:t>
      </w:r>
      <w:r w:rsidRPr="000E262D">
        <w:rPr>
          <w:rFonts w:ascii="Times New Roman" w:eastAsia="宋体" w:hAnsi="Times New Roman" w:cs="Times New Roman"/>
          <w:color w:val="000000" w:themeColor="text1"/>
          <w:kern w:val="0"/>
          <w:sz w:val="20"/>
          <w:szCs w:val="20"/>
          <w:shd w:val="clear" w:color="auto" w:fill="FFFFFF"/>
        </w:rPr>
        <w:t>(6):1394-1410.</w:t>
      </w:r>
    </w:p>
    <w:p w14:paraId="73F70A09"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Delcour</w:t>
      </w:r>
      <w:proofErr w:type="spellEnd"/>
      <w:r w:rsidRPr="000E262D">
        <w:rPr>
          <w:rFonts w:ascii="Times New Roman" w:hAnsi="Times New Roman" w:cs="Times New Roman"/>
          <w:color w:val="000000" w:themeColor="text1"/>
          <w:sz w:val="20"/>
          <w:szCs w:val="20"/>
        </w:rPr>
        <w:t xml:space="preserve">, L. and </w:t>
      </w:r>
      <w:proofErr w:type="spellStart"/>
      <w:r w:rsidRPr="000E262D">
        <w:rPr>
          <w:rFonts w:ascii="Times New Roman" w:hAnsi="Times New Roman" w:cs="Times New Roman"/>
          <w:color w:val="000000" w:themeColor="text1"/>
          <w:sz w:val="20"/>
          <w:szCs w:val="20"/>
        </w:rPr>
        <w:t>Tulmets</w:t>
      </w:r>
      <w:proofErr w:type="spellEnd"/>
      <w:r w:rsidRPr="000E262D">
        <w:rPr>
          <w:rFonts w:ascii="Times New Roman" w:hAnsi="Times New Roman" w:cs="Times New Roman"/>
          <w:color w:val="000000" w:themeColor="text1"/>
          <w:sz w:val="20"/>
          <w:szCs w:val="20"/>
        </w:rPr>
        <w:t>, E. (eds) 2019. </w:t>
      </w:r>
      <w:r w:rsidRPr="000E262D">
        <w:rPr>
          <w:rFonts w:ascii="Times New Roman" w:hAnsi="Times New Roman" w:cs="Times New Roman"/>
          <w:i/>
          <w:iCs/>
          <w:color w:val="000000" w:themeColor="text1"/>
          <w:sz w:val="20"/>
          <w:szCs w:val="20"/>
        </w:rPr>
        <w:t>Policy Transfer and Norm Circulation: Towards an Interdisciplinary and Comparative Approach</w:t>
      </w:r>
      <w:r w:rsidRPr="000E262D">
        <w:rPr>
          <w:rFonts w:ascii="Times New Roman" w:hAnsi="Times New Roman" w:cs="Times New Roman"/>
          <w:color w:val="000000" w:themeColor="text1"/>
          <w:sz w:val="20"/>
          <w:szCs w:val="20"/>
        </w:rPr>
        <w:t xml:space="preserve"> (London: Routledge).</w:t>
      </w:r>
    </w:p>
    <w:p w14:paraId="6748FF5E" w14:textId="77777777" w:rsidR="004B2604" w:rsidRPr="000E262D" w:rsidRDefault="004B2604" w:rsidP="004B2604">
      <w:pPr>
        <w:widowControl/>
        <w:spacing w:line="360" w:lineRule="auto"/>
        <w:ind w:left="500" w:hangingChars="250" w:hanging="500"/>
        <w:jc w:val="left"/>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Dosch</w:t>
      </w:r>
      <w:proofErr w:type="spellEnd"/>
      <w:r w:rsidRPr="000E262D">
        <w:rPr>
          <w:rFonts w:ascii="Times New Roman" w:hAnsi="Times New Roman" w:cs="Times New Roman"/>
          <w:color w:val="000000" w:themeColor="text1"/>
          <w:sz w:val="20"/>
          <w:szCs w:val="20"/>
        </w:rPr>
        <w:t xml:space="preserve">, J. 2017. The ASEAN economic community: Deep integration or just political window. </w:t>
      </w:r>
      <w:proofErr w:type="gramStart"/>
      <w:r w:rsidRPr="000E262D">
        <w:rPr>
          <w:rFonts w:ascii="Times New Roman" w:hAnsi="Times New Roman" w:cs="Times New Roman"/>
          <w:color w:val="000000" w:themeColor="text1"/>
          <w:sz w:val="20"/>
          <w:szCs w:val="20"/>
        </w:rPr>
        <w:t>dressing?.</w:t>
      </w:r>
      <w:proofErr w:type="gramEnd"/>
      <w:r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i/>
          <w:iCs/>
          <w:color w:val="000000" w:themeColor="text1"/>
          <w:sz w:val="20"/>
          <w:szCs w:val="20"/>
        </w:rPr>
        <w:t>Trans-Regional and-National Studies of Southeast Asia</w:t>
      </w:r>
      <w:r w:rsidRPr="000E262D">
        <w:rPr>
          <w:rFonts w:ascii="Times New Roman" w:hAnsi="Times New Roman" w:cs="Times New Roman"/>
          <w:color w:val="000000" w:themeColor="text1"/>
          <w:sz w:val="20"/>
          <w:szCs w:val="20"/>
        </w:rPr>
        <w:t>, 5(1), 25-47.</w:t>
      </w:r>
    </w:p>
    <w:p w14:paraId="76799BFA"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Falkner, R. and Gupta, A. 2009, “The limits of regulatory convergence: globalization and GMO politics in the south.” </w:t>
      </w:r>
      <w:r w:rsidRPr="000E262D">
        <w:rPr>
          <w:rFonts w:ascii="Times New Roman" w:hAnsi="Times New Roman" w:cs="Times New Roman"/>
          <w:i/>
          <w:iCs/>
          <w:color w:val="000000" w:themeColor="text1"/>
          <w:sz w:val="20"/>
          <w:szCs w:val="20"/>
          <w:shd w:val="clear" w:color="auto" w:fill="FFFFFF"/>
        </w:rPr>
        <w:t>International Environmental Agreements: Politics, Law and Economics</w:t>
      </w:r>
      <w:r w:rsidRPr="000E262D">
        <w:rPr>
          <w:rFonts w:ascii="Times New Roman" w:hAnsi="Times New Roman" w:cs="Times New Roman"/>
          <w:color w:val="000000" w:themeColor="text1"/>
          <w:sz w:val="20"/>
          <w:szCs w:val="20"/>
          <w:shd w:val="clear" w:color="auto" w:fill="FFFFFF"/>
        </w:rPr>
        <w:t> 9, no. 2, pp.113-133.</w:t>
      </w:r>
    </w:p>
    <w:p w14:paraId="3261B610"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Finnemore</w:t>
      </w:r>
      <w:proofErr w:type="spellEnd"/>
      <w:r w:rsidRPr="000E262D">
        <w:rPr>
          <w:rFonts w:ascii="Times New Roman" w:hAnsi="Times New Roman" w:cs="Times New Roman"/>
          <w:color w:val="000000" w:themeColor="text1"/>
          <w:sz w:val="20"/>
          <w:szCs w:val="20"/>
        </w:rPr>
        <w:t xml:space="preserve">, M. and </w:t>
      </w:r>
      <w:proofErr w:type="spellStart"/>
      <w:r w:rsidRPr="000E262D">
        <w:rPr>
          <w:rFonts w:ascii="Times New Roman" w:hAnsi="Times New Roman" w:cs="Times New Roman"/>
          <w:color w:val="000000" w:themeColor="text1"/>
          <w:sz w:val="20"/>
          <w:szCs w:val="20"/>
        </w:rPr>
        <w:t>Sikkink</w:t>
      </w:r>
      <w:proofErr w:type="spellEnd"/>
      <w:r w:rsidRPr="000E262D">
        <w:rPr>
          <w:rFonts w:ascii="Times New Roman" w:hAnsi="Times New Roman" w:cs="Times New Roman"/>
          <w:color w:val="000000" w:themeColor="text1"/>
          <w:sz w:val="20"/>
          <w:szCs w:val="20"/>
        </w:rPr>
        <w:t>, K. 1998. “International Norm Dynamics and Political Change” </w:t>
      </w:r>
      <w:r w:rsidRPr="000E262D">
        <w:rPr>
          <w:rFonts w:ascii="Times New Roman" w:hAnsi="Times New Roman" w:cs="Times New Roman"/>
          <w:i/>
          <w:iCs/>
          <w:color w:val="000000" w:themeColor="text1"/>
          <w:sz w:val="20"/>
          <w:szCs w:val="20"/>
        </w:rPr>
        <w:t>International Organization</w:t>
      </w:r>
      <w:r w:rsidRPr="000E262D">
        <w:rPr>
          <w:rFonts w:ascii="Times New Roman" w:hAnsi="Times New Roman" w:cs="Times New Roman"/>
          <w:color w:val="000000" w:themeColor="text1"/>
          <w:sz w:val="20"/>
          <w:szCs w:val="20"/>
        </w:rPr>
        <w:t>, 52 (4): 887–917.</w:t>
      </w:r>
    </w:p>
    <w:p w14:paraId="6992618C"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Gilardi</w:t>
      </w:r>
      <w:proofErr w:type="spellEnd"/>
      <w:r w:rsidRPr="000E262D">
        <w:rPr>
          <w:rFonts w:ascii="Times New Roman" w:hAnsi="Times New Roman" w:cs="Times New Roman"/>
          <w:color w:val="000000" w:themeColor="text1"/>
          <w:sz w:val="20"/>
          <w:szCs w:val="20"/>
        </w:rPr>
        <w:t xml:space="preserve">, F. 2012. “Transnational Diffusion: Norms, Ideas, and Policies.” Pp. 453–477 In </w:t>
      </w:r>
      <w:r w:rsidRPr="000E262D">
        <w:rPr>
          <w:rFonts w:ascii="Times New Roman" w:hAnsi="Times New Roman" w:cs="Times New Roman"/>
          <w:i/>
          <w:iCs/>
          <w:color w:val="000000" w:themeColor="text1"/>
          <w:sz w:val="20"/>
          <w:szCs w:val="20"/>
        </w:rPr>
        <w:t>Handbook of International Relations</w:t>
      </w:r>
      <w:r w:rsidRPr="000E262D">
        <w:rPr>
          <w:rFonts w:ascii="Times New Roman" w:hAnsi="Times New Roman" w:cs="Times New Roman"/>
          <w:color w:val="000000" w:themeColor="text1"/>
          <w:sz w:val="20"/>
          <w:szCs w:val="20"/>
        </w:rPr>
        <w:t xml:space="preserve">, edited by </w:t>
      </w:r>
      <w:proofErr w:type="spellStart"/>
      <w:r w:rsidRPr="000E262D">
        <w:rPr>
          <w:rFonts w:ascii="Times New Roman" w:hAnsi="Times New Roman" w:cs="Times New Roman"/>
          <w:color w:val="000000" w:themeColor="text1"/>
          <w:sz w:val="20"/>
          <w:szCs w:val="20"/>
        </w:rPr>
        <w:t>Carlsnaes</w:t>
      </w:r>
      <w:proofErr w:type="spellEnd"/>
      <w:r w:rsidRPr="000E262D">
        <w:rPr>
          <w:rFonts w:ascii="Times New Roman" w:hAnsi="Times New Roman" w:cs="Times New Roman"/>
          <w:color w:val="000000" w:themeColor="text1"/>
          <w:sz w:val="20"/>
          <w:szCs w:val="20"/>
        </w:rPr>
        <w:t xml:space="preserve">, W. </w:t>
      </w:r>
      <w:proofErr w:type="spellStart"/>
      <w:r w:rsidRPr="000E262D">
        <w:rPr>
          <w:rFonts w:ascii="Times New Roman" w:hAnsi="Times New Roman" w:cs="Times New Roman"/>
          <w:color w:val="000000" w:themeColor="text1"/>
          <w:sz w:val="20"/>
          <w:szCs w:val="20"/>
        </w:rPr>
        <w:t>Risse</w:t>
      </w:r>
      <w:proofErr w:type="spellEnd"/>
      <w:r w:rsidRPr="000E262D">
        <w:rPr>
          <w:rFonts w:ascii="Times New Roman" w:hAnsi="Times New Roman" w:cs="Times New Roman"/>
          <w:color w:val="000000" w:themeColor="text1"/>
          <w:sz w:val="20"/>
          <w:szCs w:val="20"/>
        </w:rPr>
        <w:t>, T. and Simmons, B. London: SAGE.</w:t>
      </w:r>
    </w:p>
    <w:p w14:paraId="2FB51A9E"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Gilardi</w:t>
      </w:r>
      <w:proofErr w:type="spellEnd"/>
      <w:r w:rsidRPr="000E262D">
        <w:rPr>
          <w:rFonts w:ascii="Times New Roman" w:hAnsi="Times New Roman" w:cs="Times New Roman"/>
          <w:color w:val="000000" w:themeColor="text1"/>
          <w:sz w:val="20"/>
          <w:szCs w:val="20"/>
        </w:rPr>
        <w:t xml:space="preserve">, F. and </w:t>
      </w:r>
      <w:proofErr w:type="spellStart"/>
      <w:r w:rsidRPr="000E262D">
        <w:rPr>
          <w:rFonts w:ascii="Times New Roman" w:hAnsi="Times New Roman" w:cs="Times New Roman"/>
          <w:color w:val="000000" w:themeColor="text1"/>
          <w:sz w:val="20"/>
          <w:szCs w:val="20"/>
        </w:rPr>
        <w:t>Füglister</w:t>
      </w:r>
      <w:proofErr w:type="spellEnd"/>
      <w:r w:rsidRPr="000E262D">
        <w:rPr>
          <w:rFonts w:ascii="Times New Roman" w:hAnsi="Times New Roman" w:cs="Times New Roman"/>
          <w:color w:val="000000" w:themeColor="text1"/>
          <w:sz w:val="20"/>
          <w:szCs w:val="20"/>
        </w:rPr>
        <w:t>, K. 2008. “Empirical Modelling of Policy Diffusion in Federal States: The Dyadic Approach.” </w:t>
      </w:r>
      <w:r w:rsidRPr="000E262D">
        <w:rPr>
          <w:rFonts w:ascii="Times New Roman" w:hAnsi="Times New Roman" w:cs="Times New Roman"/>
          <w:i/>
          <w:iCs/>
          <w:color w:val="000000" w:themeColor="text1"/>
          <w:sz w:val="20"/>
          <w:szCs w:val="20"/>
        </w:rPr>
        <w:t>Swiss Political Science Review</w:t>
      </w:r>
      <w:r w:rsidRPr="000E262D">
        <w:rPr>
          <w:rFonts w:ascii="Times New Roman" w:hAnsi="Times New Roman" w:cs="Times New Roman"/>
          <w:color w:val="000000" w:themeColor="text1"/>
          <w:sz w:val="20"/>
          <w:szCs w:val="20"/>
        </w:rPr>
        <w:t>, 14(3):413–450.</w:t>
      </w:r>
    </w:p>
    <w:p w14:paraId="51CAE24F"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lastRenderedPageBreak/>
        <w:t>Heinze, T. 2011. “Mechanism-Based Thinking on Policy Diffusion: A Review of Current Approaches in Political Science.” KFG Working Papers, No. 34.</w:t>
      </w:r>
    </w:p>
    <w:p w14:paraId="6F58D267"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Hew, D. 2006. Economic integration in East Asia: an ASEAN perspective. </w:t>
      </w:r>
      <w:proofErr w:type="spellStart"/>
      <w:r w:rsidRPr="000E262D">
        <w:rPr>
          <w:rFonts w:ascii="Times New Roman" w:hAnsi="Times New Roman" w:cs="Times New Roman"/>
          <w:i/>
          <w:iCs/>
          <w:color w:val="000000" w:themeColor="text1"/>
          <w:sz w:val="20"/>
          <w:szCs w:val="20"/>
          <w:shd w:val="clear" w:color="auto" w:fill="FFFFFF"/>
        </w:rPr>
        <w:t>Revista</w:t>
      </w:r>
      <w:proofErr w:type="spellEnd"/>
      <w:r w:rsidRPr="000E262D">
        <w:rPr>
          <w:rFonts w:ascii="Times New Roman" w:hAnsi="Times New Roman" w:cs="Times New Roman"/>
          <w:i/>
          <w:iCs/>
          <w:color w:val="000000" w:themeColor="text1"/>
          <w:sz w:val="20"/>
          <w:szCs w:val="20"/>
          <w:shd w:val="clear" w:color="auto" w:fill="FFFFFF"/>
        </w:rPr>
        <w:t xml:space="preserve"> UNISCI</w:t>
      </w:r>
      <w:r w:rsidRPr="000E262D">
        <w:rPr>
          <w:rFonts w:ascii="Times New Roman" w:hAnsi="Times New Roman" w:cs="Times New Roman"/>
          <w:color w:val="000000" w:themeColor="text1"/>
          <w:sz w:val="20"/>
          <w:szCs w:val="20"/>
          <w:shd w:val="clear" w:color="auto" w:fill="FFFFFF"/>
        </w:rPr>
        <w:t>, (11), 49-58.</w:t>
      </w:r>
    </w:p>
    <w:p w14:paraId="3D8CB43A" w14:textId="77777777" w:rsidR="004B2604" w:rsidRPr="000E262D" w:rsidRDefault="004B2604" w:rsidP="004B2604">
      <w:pPr>
        <w:autoSpaceDE w:val="0"/>
        <w:autoSpaceDN w:val="0"/>
        <w:adjustRightInd w:val="0"/>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Hew, D. 2008. Towards an ASEAN economic community by 2015. The ASEAN community: unblocking the roadblocks. </w:t>
      </w:r>
      <w:r w:rsidRPr="000E262D">
        <w:rPr>
          <w:rFonts w:ascii="Times New Roman" w:hAnsi="Times New Roman" w:cs="Times New Roman"/>
          <w:i/>
          <w:iCs/>
          <w:color w:val="000000" w:themeColor="text1"/>
          <w:sz w:val="20"/>
          <w:szCs w:val="20"/>
        </w:rPr>
        <w:t>Institute of Southeast Asian Studies</w:t>
      </w:r>
      <w:r w:rsidRPr="000E262D">
        <w:rPr>
          <w:rFonts w:ascii="Times New Roman" w:hAnsi="Times New Roman" w:cs="Times New Roman"/>
          <w:color w:val="000000" w:themeColor="text1"/>
          <w:sz w:val="20"/>
          <w:szCs w:val="20"/>
        </w:rPr>
        <w:t>, Singapore, 209-224.</w:t>
      </w:r>
    </w:p>
    <w:p w14:paraId="59EAE3D2"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Hopkins, W.J., 2015. “Falling on stony ground: ASEAN’s acceptance of EU constitutional. norms.” </w:t>
      </w:r>
      <w:r w:rsidRPr="000E262D">
        <w:rPr>
          <w:rFonts w:ascii="Times New Roman" w:hAnsi="Times New Roman" w:cs="Times New Roman"/>
          <w:i/>
          <w:iCs/>
          <w:color w:val="000000" w:themeColor="text1"/>
          <w:sz w:val="20"/>
          <w:szCs w:val="20"/>
        </w:rPr>
        <w:t>Asia Europe Journal</w:t>
      </w:r>
      <w:r w:rsidRPr="000E262D">
        <w:rPr>
          <w:rFonts w:ascii="Times New Roman" w:hAnsi="Times New Roman" w:cs="Times New Roman"/>
          <w:color w:val="000000" w:themeColor="text1"/>
          <w:sz w:val="20"/>
          <w:szCs w:val="20"/>
        </w:rPr>
        <w:t>, 13(3): 275-283.</w:t>
      </w:r>
    </w:p>
    <w:p w14:paraId="2332C575" w14:textId="77777777" w:rsidR="004B2604" w:rsidRPr="000E262D" w:rsidRDefault="004B2604" w:rsidP="004B2604">
      <w:pPr>
        <w:autoSpaceDE w:val="0"/>
        <w:autoSpaceDN w:val="0"/>
        <w:adjustRightInd w:val="0"/>
        <w:spacing w:line="360" w:lineRule="auto"/>
        <w:ind w:left="400" w:hangingChars="200" w:hanging="400"/>
        <w:rPr>
          <w:rFonts w:ascii="Times New Roman" w:hAnsi="Times New Roman" w:cs="Times New Roman"/>
          <w:color w:val="000000" w:themeColor="text1"/>
          <w:sz w:val="20"/>
          <w:szCs w:val="20"/>
        </w:rPr>
      </w:pPr>
      <w:proofErr w:type="spellStart"/>
      <w:r w:rsidRPr="000E262D">
        <w:rPr>
          <w:rFonts w:ascii="Times New Roman" w:hAnsi="Times New Roman" w:cs="Times New Roman" w:hint="eastAsia"/>
          <w:color w:val="000000" w:themeColor="text1"/>
          <w:sz w:val="20"/>
          <w:szCs w:val="20"/>
        </w:rPr>
        <w:t>J</w:t>
      </w:r>
      <w:r w:rsidRPr="000E262D">
        <w:rPr>
          <w:rFonts w:ascii="Times New Roman" w:hAnsi="Times New Roman" w:cs="Times New Roman"/>
          <w:color w:val="000000" w:themeColor="text1"/>
          <w:sz w:val="20"/>
          <w:szCs w:val="20"/>
        </w:rPr>
        <w:t>etschke</w:t>
      </w:r>
      <w:proofErr w:type="spellEnd"/>
      <w:r w:rsidRPr="000E262D">
        <w:rPr>
          <w:rFonts w:ascii="Times New Roman" w:hAnsi="Times New Roman" w:cs="Times New Roman"/>
          <w:color w:val="000000" w:themeColor="text1"/>
          <w:sz w:val="20"/>
          <w:szCs w:val="20"/>
        </w:rPr>
        <w:t xml:space="preserve">, A. 2010. “Do Regional Organizations Travel?” KFG Working Paper. No.17 </w:t>
      </w:r>
    </w:p>
    <w:p w14:paraId="6DCDEEFF" w14:textId="77777777" w:rsidR="004B2604" w:rsidRPr="000E262D" w:rsidRDefault="004B2604" w:rsidP="004B2604">
      <w:pPr>
        <w:autoSpaceDE w:val="0"/>
        <w:autoSpaceDN w:val="0"/>
        <w:adjustRightInd w:val="0"/>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Jetschke</w:t>
      </w:r>
      <w:proofErr w:type="spellEnd"/>
      <w:r w:rsidRPr="000E262D">
        <w:rPr>
          <w:rFonts w:ascii="Times New Roman" w:hAnsi="Times New Roman" w:cs="Times New Roman"/>
          <w:color w:val="000000" w:themeColor="text1"/>
          <w:sz w:val="20"/>
          <w:szCs w:val="20"/>
        </w:rPr>
        <w:t>, A. and Murray, P. 2012. “Diffusing regional integration: the EU and Southeast</w:t>
      </w:r>
    </w:p>
    <w:p w14:paraId="10569025" w14:textId="77777777" w:rsidR="004B2604" w:rsidRPr="000E262D" w:rsidRDefault="004B2604" w:rsidP="004B2604">
      <w:pPr>
        <w:autoSpaceDE w:val="0"/>
        <w:autoSpaceDN w:val="0"/>
        <w:adjustRightInd w:val="0"/>
        <w:ind w:firstLineChars="200" w:firstLine="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Asia.” </w:t>
      </w:r>
      <w:r w:rsidRPr="000E262D">
        <w:rPr>
          <w:rFonts w:ascii="Times New Roman" w:hAnsi="Times New Roman" w:cs="Times New Roman"/>
          <w:i/>
          <w:iCs/>
          <w:color w:val="000000" w:themeColor="text1"/>
          <w:sz w:val="20"/>
          <w:szCs w:val="20"/>
        </w:rPr>
        <w:t>West European Politics</w:t>
      </w:r>
      <w:r w:rsidRPr="000E262D">
        <w:rPr>
          <w:rFonts w:ascii="Times New Roman" w:hAnsi="Times New Roman" w:cs="Times New Roman"/>
          <w:color w:val="000000" w:themeColor="text1"/>
          <w:sz w:val="20"/>
          <w:szCs w:val="20"/>
        </w:rPr>
        <w:t xml:space="preserve"> 35(1):174-191.</w:t>
      </w:r>
    </w:p>
    <w:p w14:paraId="63E4974F"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shd w:val="clear" w:color="auto" w:fill="FFFFFF"/>
        </w:rPr>
      </w:pPr>
      <w:proofErr w:type="spellStart"/>
      <w:r w:rsidRPr="000E262D">
        <w:rPr>
          <w:rFonts w:ascii="Times New Roman" w:hAnsi="Times New Roman" w:cs="Times New Roman"/>
          <w:color w:val="000000" w:themeColor="text1"/>
          <w:sz w:val="20"/>
          <w:szCs w:val="20"/>
          <w:shd w:val="clear" w:color="auto" w:fill="FFFFFF"/>
        </w:rPr>
        <w:t>Jinachai</w:t>
      </w:r>
      <w:proofErr w:type="spellEnd"/>
      <w:r w:rsidRPr="000E262D">
        <w:rPr>
          <w:rFonts w:ascii="Times New Roman" w:hAnsi="Times New Roman" w:cs="Times New Roman"/>
          <w:color w:val="000000" w:themeColor="text1"/>
          <w:sz w:val="20"/>
          <w:szCs w:val="20"/>
          <w:shd w:val="clear" w:color="auto" w:fill="FFFFFF"/>
        </w:rPr>
        <w:t xml:space="preserve">, N., &amp; </w:t>
      </w:r>
      <w:proofErr w:type="spellStart"/>
      <w:r w:rsidRPr="000E262D">
        <w:rPr>
          <w:rFonts w:ascii="Times New Roman" w:hAnsi="Times New Roman" w:cs="Times New Roman"/>
          <w:color w:val="000000" w:themeColor="text1"/>
          <w:sz w:val="20"/>
          <w:szCs w:val="20"/>
          <w:shd w:val="clear" w:color="auto" w:fill="FFFFFF"/>
        </w:rPr>
        <w:t>Anantachoti</w:t>
      </w:r>
      <w:proofErr w:type="spellEnd"/>
      <w:r w:rsidRPr="000E262D">
        <w:rPr>
          <w:rFonts w:ascii="Times New Roman" w:hAnsi="Times New Roman" w:cs="Times New Roman"/>
          <w:color w:val="000000" w:themeColor="text1"/>
          <w:sz w:val="20"/>
          <w:szCs w:val="20"/>
          <w:shd w:val="clear" w:color="auto" w:fill="FFFFFF"/>
        </w:rPr>
        <w:t xml:space="preserve">, P. (2014). ‘ASEAN harmonization: compliance of cosmetics. regulatory scheme in Thailand within 5 </w:t>
      </w:r>
      <w:proofErr w:type="gramStart"/>
      <w:r w:rsidRPr="000E262D">
        <w:rPr>
          <w:rFonts w:ascii="Times New Roman" w:hAnsi="Times New Roman" w:cs="Times New Roman"/>
          <w:color w:val="000000" w:themeColor="text1"/>
          <w:sz w:val="20"/>
          <w:szCs w:val="20"/>
          <w:shd w:val="clear" w:color="auto" w:fill="FFFFFF"/>
        </w:rPr>
        <w:t>years’</w:t>
      </w:r>
      <w:proofErr w:type="gramEnd"/>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IOSR Journal of Humanities and Social Science</w:t>
      </w:r>
      <w:r w:rsidRPr="000E262D">
        <w:rPr>
          <w:rFonts w:ascii="Times New Roman" w:hAnsi="Times New Roman" w:cs="Times New Roman"/>
          <w:color w:val="000000" w:themeColor="text1"/>
          <w:sz w:val="20"/>
          <w:szCs w:val="20"/>
          <w:shd w:val="clear" w:color="auto" w:fill="FFFFFF"/>
        </w:rPr>
        <w:t>, 19(3), 46-54.</w:t>
      </w:r>
    </w:p>
    <w:p w14:paraId="538D908F"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Klingler-</w:t>
      </w:r>
      <w:proofErr w:type="spellStart"/>
      <w:r w:rsidRPr="000E262D">
        <w:rPr>
          <w:rFonts w:ascii="Times New Roman" w:hAnsi="Times New Roman" w:cs="Times New Roman"/>
          <w:color w:val="000000" w:themeColor="text1"/>
          <w:sz w:val="20"/>
          <w:szCs w:val="20"/>
        </w:rPr>
        <w:t>Vidra</w:t>
      </w:r>
      <w:proofErr w:type="spellEnd"/>
      <w:r w:rsidRPr="000E262D">
        <w:rPr>
          <w:rFonts w:ascii="Times New Roman" w:hAnsi="Times New Roman" w:cs="Times New Roman"/>
          <w:color w:val="000000" w:themeColor="text1"/>
          <w:sz w:val="20"/>
          <w:szCs w:val="20"/>
        </w:rPr>
        <w:t>, R. and Schleifer, P. 2014. “Convergence More or Less: Why do Practices Vary as They Diffuse?”</w:t>
      </w:r>
      <w:r w:rsidRPr="000E262D">
        <w:rPr>
          <w:rFonts w:ascii="Times New Roman" w:hAnsi="Times New Roman" w:cs="Times New Roman"/>
          <w:i/>
          <w:iCs/>
          <w:color w:val="000000" w:themeColor="text1"/>
          <w:sz w:val="20"/>
          <w:szCs w:val="20"/>
        </w:rPr>
        <w:t> International Studies Review</w:t>
      </w:r>
      <w:r w:rsidRPr="000E262D">
        <w:rPr>
          <w:rFonts w:ascii="Times New Roman" w:hAnsi="Times New Roman" w:cs="Times New Roman"/>
          <w:color w:val="000000" w:themeColor="text1"/>
          <w:sz w:val="20"/>
          <w:szCs w:val="20"/>
        </w:rPr>
        <w:t>, 16(2):264–274.</w:t>
      </w:r>
    </w:p>
    <w:p w14:paraId="78EF9623"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Kurus, B. (1995). The ASEAN triad: National interest, consensus-seeking, and economic co-operation. </w:t>
      </w:r>
      <w:r w:rsidRPr="000E262D">
        <w:rPr>
          <w:rFonts w:ascii="Times New Roman" w:hAnsi="Times New Roman" w:cs="Times New Roman"/>
          <w:i/>
          <w:iCs/>
          <w:color w:val="000000" w:themeColor="text1"/>
          <w:sz w:val="20"/>
          <w:szCs w:val="20"/>
          <w:shd w:val="clear" w:color="auto" w:fill="FFFFFF"/>
        </w:rPr>
        <w:t>Contemporary Southeast Asia</w:t>
      </w:r>
      <w:r w:rsidRPr="000E262D">
        <w:rPr>
          <w:rFonts w:ascii="Times New Roman" w:hAnsi="Times New Roman" w:cs="Times New Roman"/>
          <w:color w:val="000000" w:themeColor="text1"/>
          <w:sz w:val="20"/>
          <w:szCs w:val="20"/>
          <w:shd w:val="clear" w:color="auto" w:fill="FFFFFF"/>
        </w:rPr>
        <w:t>, 404-420.</w:t>
      </w:r>
    </w:p>
    <w:p w14:paraId="1A5FB4E7" w14:textId="77777777" w:rsidR="004B2604" w:rsidRPr="000E262D" w:rsidRDefault="004B2604" w:rsidP="004B2604">
      <w:pPr>
        <w:autoSpaceDE w:val="0"/>
        <w:autoSpaceDN w:val="0"/>
        <w:adjustRightInd w:val="0"/>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Kurus, B. 1995. The ASEAN triad: National interest, consensus-seeking, and economic cooperation. Contemporary Southeast Asia, 404-420.</w:t>
      </w:r>
    </w:p>
    <w:p w14:paraId="64ABC2E1"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Larsen, H. 2014. “The EU as a normative power and the research on external perceptions: The missing link.” </w:t>
      </w:r>
      <w:r w:rsidRPr="000E262D">
        <w:rPr>
          <w:rFonts w:ascii="Times New Roman" w:hAnsi="Times New Roman" w:cs="Times New Roman"/>
          <w:i/>
          <w:iCs/>
          <w:color w:val="000000" w:themeColor="text1"/>
          <w:sz w:val="20"/>
          <w:szCs w:val="20"/>
          <w:shd w:val="clear" w:color="auto" w:fill="FFFFFF"/>
        </w:rPr>
        <w:t>JCMS: Journal of Common Market Studies</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52</w:t>
      </w:r>
      <w:r w:rsidRPr="000E262D">
        <w:rPr>
          <w:rFonts w:ascii="Times New Roman" w:hAnsi="Times New Roman" w:cs="Times New Roman"/>
          <w:color w:val="000000" w:themeColor="text1"/>
          <w:sz w:val="20"/>
          <w:szCs w:val="20"/>
          <w:shd w:val="clear" w:color="auto" w:fill="FFFFFF"/>
        </w:rPr>
        <w:t>(4):896-910.</w:t>
      </w:r>
    </w:p>
    <w:p w14:paraId="2C601E16"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shd w:val="clear" w:color="auto" w:fill="FFFFFF"/>
        </w:rPr>
        <w:t>Lavenex</w:t>
      </w:r>
      <w:proofErr w:type="spellEnd"/>
      <w:r w:rsidRPr="000E262D">
        <w:rPr>
          <w:rFonts w:ascii="Times New Roman" w:hAnsi="Times New Roman" w:cs="Times New Roman"/>
          <w:color w:val="000000" w:themeColor="text1"/>
          <w:sz w:val="20"/>
          <w:szCs w:val="20"/>
          <w:shd w:val="clear" w:color="auto" w:fill="FFFFFF"/>
        </w:rPr>
        <w:t>, S. 2014. “The power of functionalist extension: how EU rules travel.” </w:t>
      </w:r>
      <w:r w:rsidRPr="000E262D">
        <w:rPr>
          <w:rFonts w:ascii="Times New Roman" w:hAnsi="Times New Roman" w:cs="Times New Roman"/>
          <w:i/>
          <w:iCs/>
          <w:color w:val="000000" w:themeColor="text1"/>
          <w:sz w:val="20"/>
          <w:szCs w:val="20"/>
          <w:shd w:val="clear" w:color="auto" w:fill="FFFFFF"/>
        </w:rPr>
        <w:t>Journal of European Public Policy</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21</w:t>
      </w:r>
      <w:r w:rsidRPr="000E262D">
        <w:rPr>
          <w:rFonts w:ascii="Times New Roman" w:hAnsi="Times New Roman" w:cs="Times New Roman"/>
          <w:color w:val="000000" w:themeColor="text1"/>
          <w:sz w:val="20"/>
          <w:szCs w:val="20"/>
          <w:shd w:val="clear" w:color="auto" w:fill="FFFFFF"/>
        </w:rPr>
        <w:t>(6):885-903.</w:t>
      </w:r>
    </w:p>
    <w:p w14:paraId="7E6EFE7E"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shd w:val="clear" w:color="auto" w:fill="FFFFFF"/>
        </w:rPr>
      </w:pPr>
      <w:r w:rsidRPr="000E262D">
        <w:rPr>
          <w:rFonts w:ascii="Times New Roman" w:hAnsi="Times New Roman" w:cs="Times New Roman"/>
          <w:color w:val="000000" w:themeColor="text1"/>
          <w:sz w:val="20"/>
          <w:szCs w:val="20"/>
          <w:shd w:val="clear" w:color="auto" w:fill="FFFFFF"/>
        </w:rPr>
        <w:t xml:space="preserve">Lerch, M., and </w:t>
      </w:r>
      <w:proofErr w:type="spellStart"/>
      <w:r w:rsidRPr="000E262D">
        <w:rPr>
          <w:rFonts w:ascii="Times New Roman" w:hAnsi="Times New Roman" w:cs="Times New Roman"/>
          <w:color w:val="000000" w:themeColor="text1"/>
          <w:sz w:val="20"/>
          <w:szCs w:val="20"/>
          <w:shd w:val="clear" w:color="auto" w:fill="FFFFFF"/>
        </w:rPr>
        <w:t>Schwellnus</w:t>
      </w:r>
      <w:proofErr w:type="spellEnd"/>
      <w:r w:rsidRPr="000E262D">
        <w:rPr>
          <w:rFonts w:ascii="Times New Roman" w:hAnsi="Times New Roman" w:cs="Times New Roman"/>
          <w:color w:val="000000" w:themeColor="text1"/>
          <w:sz w:val="20"/>
          <w:szCs w:val="20"/>
          <w:shd w:val="clear" w:color="auto" w:fill="FFFFFF"/>
        </w:rPr>
        <w:t>, G. 2006. “Normative by nature? The role of coherence in justifying the EU's external human rights policy.” </w:t>
      </w:r>
      <w:r w:rsidRPr="000E262D">
        <w:rPr>
          <w:rFonts w:ascii="Times New Roman" w:hAnsi="Times New Roman" w:cs="Times New Roman"/>
          <w:i/>
          <w:iCs/>
          <w:color w:val="000000" w:themeColor="text1"/>
          <w:sz w:val="20"/>
          <w:szCs w:val="20"/>
          <w:shd w:val="clear" w:color="auto" w:fill="FFFFFF"/>
        </w:rPr>
        <w:t>Journal of European Public Policy</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13</w:t>
      </w:r>
      <w:r w:rsidRPr="000E262D">
        <w:rPr>
          <w:rFonts w:ascii="Times New Roman" w:hAnsi="Times New Roman" w:cs="Times New Roman"/>
          <w:color w:val="000000" w:themeColor="text1"/>
          <w:sz w:val="20"/>
          <w:szCs w:val="20"/>
          <w:shd w:val="clear" w:color="auto" w:fill="FFFFFF"/>
        </w:rPr>
        <w:t>(2):304-321.</w:t>
      </w:r>
    </w:p>
    <w:p w14:paraId="03261313"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shd w:val="clear" w:color="auto" w:fill="FFFFFF"/>
        </w:rPr>
      </w:pPr>
      <w:proofErr w:type="spellStart"/>
      <w:r w:rsidRPr="000E262D">
        <w:rPr>
          <w:rFonts w:ascii="Times New Roman" w:hAnsi="Times New Roman" w:cs="Times New Roman"/>
          <w:color w:val="000000" w:themeColor="text1"/>
          <w:sz w:val="20"/>
          <w:szCs w:val="20"/>
          <w:shd w:val="clear" w:color="auto" w:fill="FFFFFF"/>
        </w:rPr>
        <w:t>Manea</w:t>
      </w:r>
      <w:proofErr w:type="spellEnd"/>
      <w:r w:rsidRPr="000E262D">
        <w:rPr>
          <w:rFonts w:ascii="Times New Roman" w:hAnsi="Times New Roman" w:cs="Times New Roman"/>
          <w:color w:val="000000" w:themeColor="text1"/>
          <w:sz w:val="20"/>
          <w:szCs w:val="20"/>
          <w:shd w:val="clear" w:color="auto" w:fill="FFFFFF"/>
        </w:rPr>
        <w:t>, M.G., 2008. “Human rights and the interregional dialogue between Asia and Europe: ASEAN–EU relations and ASEM.” </w:t>
      </w:r>
      <w:r w:rsidRPr="000E262D">
        <w:rPr>
          <w:rFonts w:ascii="Times New Roman" w:hAnsi="Times New Roman" w:cs="Times New Roman"/>
          <w:i/>
          <w:iCs/>
          <w:color w:val="000000" w:themeColor="text1"/>
          <w:sz w:val="20"/>
          <w:szCs w:val="20"/>
          <w:shd w:val="clear" w:color="auto" w:fill="FFFFFF"/>
        </w:rPr>
        <w:t>Pacific Review</w:t>
      </w:r>
      <w:r w:rsidRPr="000E262D">
        <w:rPr>
          <w:rFonts w:ascii="Times New Roman" w:hAnsi="Times New Roman" w:cs="Times New Roman"/>
          <w:color w:val="000000" w:themeColor="text1"/>
          <w:sz w:val="20"/>
          <w:szCs w:val="20"/>
          <w:shd w:val="clear" w:color="auto" w:fill="FFFFFF"/>
        </w:rPr>
        <w:t>, 21(3):369-396.</w:t>
      </w:r>
    </w:p>
    <w:p w14:paraId="66B67792"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Manners, I. 2002. “Normative power Europe: a contradiction in terms?” </w:t>
      </w:r>
      <w:r w:rsidRPr="000E262D">
        <w:rPr>
          <w:rFonts w:ascii="Times New Roman" w:hAnsi="Times New Roman" w:cs="Times New Roman"/>
          <w:i/>
          <w:iCs/>
          <w:color w:val="000000" w:themeColor="text1"/>
          <w:sz w:val="20"/>
          <w:szCs w:val="20"/>
          <w:shd w:val="clear" w:color="auto" w:fill="FFFFFF"/>
        </w:rPr>
        <w:t>JCMS: Journal of common market studies</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40</w:t>
      </w:r>
      <w:r w:rsidRPr="000E262D">
        <w:rPr>
          <w:rFonts w:ascii="Times New Roman" w:hAnsi="Times New Roman" w:cs="Times New Roman"/>
          <w:color w:val="000000" w:themeColor="text1"/>
          <w:sz w:val="20"/>
          <w:szCs w:val="20"/>
          <w:shd w:val="clear" w:color="auto" w:fill="FFFFFF"/>
        </w:rPr>
        <w:t>(2):235-258.</w:t>
      </w:r>
    </w:p>
    <w:p w14:paraId="01161AAD"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Manners, I. 2006. “Normative power Europe reconsidered: beyond the crossroads.” </w:t>
      </w:r>
      <w:r w:rsidRPr="000E262D">
        <w:rPr>
          <w:rFonts w:ascii="Times New Roman" w:hAnsi="Times New Roman" w:cs="Times New Roman"/>
          <w:i/>
          <w:iCs/>
          <w:color w:val="000000" w:themeColor="text1"/>
          <w:sz w:val="20"/>
          <w:szCs w:val="20"/>
          <w:shd w:val="clear" w:color="auto" w:fill="FFFFFF"/>
        </w:rPr>
        <w:t>Journal of European public policy</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13</w:t>
      </w:r>
      <w:r w:rsidRPr="000E262D">
        <w:rPr>
          <w:rFonts w:ascii="Times New Roman" w:hAnsi="Times New Roman" w:cs="Times New Roman"/>
          <w:color w:val="000000" w:themeColor="text1"/>
          <w:sz w:val="20"/>
          <w:szCs w:val="20"/>
          <w:shd w:val="clear" w:color="auto" w:fill="FFFFFF"/>
        </w:rPr>
        <w:t>(2):182-199.</w:t>
      </w:r>
    </w:p>
    <w:p w14:paraId="480A01EA" w14:textId="4C9A50F1"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Manners, I. 2008 “The Normative Ethics of the European Union.” </w:t>
      </w:r>
      <w:r w:rsidRPr="000E262D">
        <w:rPr>
          <w:rFonts w:ascii="Times New Roman" w:hAnsi="Times New Roman" w:cs="Times New Roman"/>
          <w:i/>
          <w:color w:val="000000" w:themeColor="text1"/>
          <w:sz w:val="20"/>
          <w:szCs w:val="20"/>
        </w:rPr>
        <w:t>International Affairs</w:t>
      </w:r>
      <w:r w:rsidRPr="000E262D">
        <w:rPr>
          <w:rFonts w:ascii="Times New Roman" w:hAnsi="Times New Roman" w:cs="Times New Roman"/>
          <w:color w:val="000000" w:themeColor="text1"/>
          <w:sz w:val="20"/>
          <w:szCs w:val="20"/>
        </w:rPr>
        <w:t>, 84 (1):45–60.</w:t>
      </w:r>
    </w:p>
    <w:p w14:paraId="273B27BB" w14:textId="3A33151C" w:rsidR="00514FD2" w:rsidRPr="000E262D" w:rsidRDefault="00514FD2" w:rsidP="00514FD2">
      <w:pPr>
        <w:widowControl/>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Meissner, K.L., 2016. “A case of failed </w:t>
      </w:r>
      <w:proofErr w:type="spellStart"/>
      <w:r w:rsidRPr="000E262D">
        <w:rPr>
          <w:rFonts w:ascii="Times New Roman" w:hAnsi="Times New Roman" w:cs="Times New Roman"/>
          <w:color w:val="000000" w:themeColor="text1"/>
          <w:sz w:val="20"/>
          <w:szCs w:val="20"/>
        </w:rPr>
        <w:t>interregionalism</w:t>
      </w:r>
      <w:proofErr w:type="spellEnd"/>
      <w:r w:rsidRPr="000E262D">
        <w:rPr>
          <w:rFonts w:ascii="Times New Roman" w:hAnsi="Times New Roman" w:cs="Times New Roman"/>
          <w:color w:val="000000" w:themeColor="text1"/>
          <w:sz w:val="20"/>
          <w:szCs w:val="20"/>
        </w:rPr>
        <w:t>? Analyzing the EU-ASEAN free trade agreement negotiations.” Asia Europe Journal, 14(3), pp.319-336.</w:t>
      </w:r>
    </w:p>
    <w:p w14:paraId="42F84826" w14:textId="77777777" w:rsidR="004B2604" w:rsidRPr="000E262D" w:rsidRDefault="004B2604" w:rsidP="004B2604">
      <w:pPr>
        <w:widowControl/>
        <w:ind w:left="500" w:hangingChars="250" w:hanging="500"/>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lastRenderedPageBreak/>
        <w:t>Müller, P., 2019. “Normative power Europe and the Israeli-Palestinian conflict: the EU’s. peacebuilding narrative meets local narratives.” </w:t>
      </w:r>
      <w:r w:rsidRPr="000E262D">
        <w:rPr>
          <w:rFonts w:ascii="Times New Roman" w:hAnsi="Times New Roman" w:cs="Times New Roman"/>
          <w:i/>
          <w:iCs/>
          <w:color w:val="000000" w:themeColor="text1"/>
          <w:sz w:val="20"/>
          <w:szCs w:val="20"/>
        </w:rPr>
        <w:t>European Security</w:t>
      </w:r>
      <w:r w:rsidRPr="000E262D">
        <w:rPr>
          <w:rFonts w:ascii="Times New Roman" w:hAnsi="Times New Roman" w:cs="Times New Roman"/>
          <w:color w:val="000000" w:themeColor="text1"/>
          <w:sz w:val="20"/>
          <w:szCs w:val="20"/>
        </w:rPr>
        <w:t>, 28(3), pp.251-267.</w:t>
      </w:r>
    </w:p>
    <w:p w14:paraId="49F4AC73"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Murray, P. 2015 “Europe and the world: The problem of the fourth wall in EU-ASEAN norms    promotion.” </w:t>
      </w:r>
      <w:r w:rsidRPr="000E262D">
        <w:rPr>
          <w:rFonts w:ascii="Times New Roman" w:hAnsi="Times New Roman" w:cs="Times New Roman"/>
          <w:i/>
          <w:iCs/>
          <w:color w:val="000000" w:themeColor="text1"/>
          <w:sz w:val="20"/>
          <w:szCs w:val="20"/>
        </w:rPr>
        <w:t>Journal of Contemporary European Studies</w:t>
      </w:r>
      <w:r w:rsidRPr="000E262D">
        <w:rPr>
          <w:rFonts w:ascii="Times New Roman" w:hAnsi="Times New Roman" w:cs="Times New Roman"/>
          <w:color w:val="000000" w:themeColor="text1"/>
          <w:sz w:val="20"/>
          <w:szCs w:val="20"/>
        </w:rPr>
        <w:t>, 23(2)</w:t>
      </w:r>
      <w:r w:rsidRPr="000E262D">
        <w:rPr>
          <w:rFonts w:ascii="Times New Roman" w:hAnsi="Times New Roman" w:cs="Times New Roman"/>
          <w:color w:val="000000" w:themeColor="text1"/>
          <w:sz w:val="20"/>
          <w:szCs w:val="20"/>
          <w:lang w:val="en-US"/>
        </w:rPr>
        <w:t xml:space="preserve">: </w:t>
      </w:r>
      <w:r w:rsidRPr="000E262D">
        <w:rPr>
          <w:rFonts w:ascii="Times New Roman" w:hAnsi="Times New Roman" w:cs="Times New Roman"/>
          <w:color w:val="000000" w:themeColor="text1"/>
          <w:sz w:val="20"/>
          <w:szCs w:val="20"/>
        </w:rPr>
        <w:t>238-252.</w:t>
      </w:r>
    </w:p>
    <w:p w14:paraId="4A889F07"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shd w:val="clear" w:color="auto" w:fill="FFFFFF"/>
        </w:rPr>
      </w:pPr>
      <w:proofErr w:type="spellStart"/>
      <w:r w:rsidRPr="000E262D">
        <w:rPr>
          <w:rFonts w:ascii="Times New Roman" w:hAnsi="Times New Roman" w:cs="Times New Roman"/>
          <w:color w:val="000000" w:themeColor="text1"/>
          <w:sz w:val="20"/>
          <w:szCs w:val="20"/>
          <w:shd w:val="clear" w:color="auto" w:fill="FFFFFF"/>
        </w:rPr>
        <w:t>Orbie</w:t>
      </w:r>
      <w:proofErr w:type="spellEnd"/>
      <w:r w:rsidRPr="000E262D">
        <w:rPr>
          <w:rFonts w:ascii="Times New Roman" w:hAnsi="Times New Roman" w:cs="Times New Roman"/>
          <w:color w:val="000000" w:themeColor="text1"/>
          <w:sz w:val="20"/>
          <w:szCs w:val="20"/>
          <w:shd w:val="clear" w:color="auto" w:fill="FFFFFF"/>
        </w:rPr>
        <w:t xml:space="preserve">, J. 2011. </w:t>
      </w:r>
      <w:r w:rsidRPr="000E262D">
        <w:rPr>
          <w:rFonts w:ascii="Times New Roman" w:hAnsi="Times New Roman" w:cs="Times New Roman"/>
          <w:i/>
          <w:iCs/>
          <w:color w:val="000000" w:themeColor="text1"/>
          <w:sz w:val="20"/>
          <w:szCs w:val="20"/>
          <w:shd w:val="clear" w:color="auto" w:fill="FFFFFF"/>
        </w:rPr>
        <w:t>Promoting labour standards through trade: normative power or regulatory state Europe?</w:t>
      </w:r>
      <w:r w:rsidRPr="000E262D">
        <w:rPr>
          <w:rFonts w:ascii="Times New Roman" w:hAnsi="Times New Roman" w:cs="Times New Roman"/>
          <w:color w:val="000000" w:themeColor="text1"/>
          <w:sz w:val="20"/>
          <w:szCs w:val="20"/>
          <w:shd w:val="clear" w:color="auto" w:fill="FFFFFF"/>
        </w:rPr>
        <w:t xml:space="preserve"> Pp. 161-184 in Normative Power Europe. London: Palgrave Macmillan.</w:t>
      </w:r>
    </w:p>
    <w:p w14:paraId="7649B4EB"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shd w:val="clear" w:color="auto" w:fill="FFFFFF"/>
        </w:rPr>
        <w:t>Orbie</w:t>
      </w:r>
      <w:proofErr w:type="spellEnd"/>
      <w:r w:rsidRPr="000E262D">
        <w:rPr>
          <w:rFonts w:ascii="Times New Roman" w:hAnsi="Times New Roman" w:cs="Times New Roman"/>
          <w:color w:val="000000" w:themeColor="text1"/>
          <w:sz w:val="20"/>
          <w:szCs w:val="20"/>
          <w:shd w:val="clear" w:color="auto" w:fill="FFFFFF"/>
        </w:rPr>
        <w:t>, J., and Khorana, S. 2015. “Normative versus market power Europe? The EU-India trade agreement.” </w:t>
      </w:r>
      <w:r w:rsidRPr="000E262D">
        <w:rPr>
          <w:rFonts w:ascii="Times New Roman" w:hAnsi="Times New Roman" w:cs="Times New Roman"/>
          <w:i/>
          <w:iCs/>
          <w:color w:val="000000" w:themeColor="text1"/>
          <w:sz w:val="20"/>
          <w:szCs w:val="20"/>
          <w:shd w:val="clear" w:color="auto" w:fill="FFFFFF"/>
        </w:rPr>
        <w:t>Asia Europe Journal</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13</w:t>
      </w:r>
      <w:r w:rsidRPr="000E262D">
        <w:rPr>
          <w:rFonts w:ascii="Times New Roman" w:hAnsi="Times New Roman" w:cs="Times New Roman"/>
          <w:color w:val="000000" w:themeColor="text1"/>
          <w:sz w:val="20"/>
          <w:szCs w:val="20"/>
          <w:shd w:val="clear" w:color="auto" w:fill="FFFFFF"/>
        </w:rPr>
        <w:t>(3):253-264.</w:t>
      </w:r>
    </w:p>
    <w:p w14:paraId="04AE925C" w14:textId="77777777" w:rsidR="004B2604" w:rsidRPr="000E262D" w:rsidRDefault="004B2604" w:rsidP="004B2604">
      <w:pPr>
        <w:widowControl/>
        <w:spacing w:line="360" w:lineRule="auto"/>
        <w:ind w:left="400" w:hangingChars="200" w:hanging="400"/>
        <w:jc w:val="left"/>
        <w:rPr>
          <w:rFonts w:ascii="Times New Roman" w:eastAsia="宋体" w:hAnsi="Times New Roman" w:cs="Times New Roman"/>
          <w:color w:val="000000" w:themeColor="text1"/>
          <w:kern w:val="0"/>
          <w:sz w:val="20"/>
          <w:szCs w:val="20"/>
        </w:rPr>
      </w:pPr>
      <w:r w:rsidRPr="000E262D">
        <w:rPr>
          <w:rFonts w:ascii="Times New Roman" w:eastAsia="宋体" w:hAnsi="Times New Roman" w:cs="Times New Roman"/>
          <w:color w:val="000000" w:themeColor="text1"/>
          <w:kern w:val="0"/>
          <w:sz w:val="20"/>
          <w:szCs w:val="20"/>
          <w:shd w:val="clear" w:color="auto" w:fill="FFFFFF"/>
        </w:rPr>
        <w:t xml:space="preserve">Pace, M., and </w:t>
      </w:r>
      <w:proofErr w:type="spellStart"/>
      <w:r w:rsidRPr="000E262D">
        <w:rPr>
          <w:rFonts w:ascii="Times New Roman" w:eastAsia="宋体" w:hAnsi="Times New Roman" w:cs="Times New Roman"/>
          <w:color w:val="000000" w:themeColor="text1"/>
          <w:kern w:val="0"/>
          <w:sz w:val="20"/>
          <w:szCs w:val="20"/>
          <w:shd w:val="clear" w:color="auto" w:fill="FFFFFF"/>
        </w:rPr>
        <w:t>Seeberg</w:t>
      </w:r>
      <w:proofErr w:type="spellEnd"/>
      <w:r w:rsidRPr="000E262D">
        <w:rPr>
          <w:rFonts w:ascii="Times New Roman" w:eastAsia="宋体" w:hAnsi="Times New Roman" w:cs="Times New Roman"/>
          <w:color w:val="000000" w:themeColor="text1"/>
          <w:kern w:val="0"/>
          <w:sz w:val="20"/>
          <w:szCs w:val="20"/>
          <w:shd w:val="clear" w:color="auto" w:fill="FFFFFF"/>
        </w:rPr>
        <w:t>, P. (Eds.). 2013. </w:t>
      </w:r>
      <w:r w:rsidRPr="000E262D">
        <w:rPr>
          <w:rFonts w:ascii="Times New Roman" w:eastAsia="宋体" w:hAnsi="Times New Roman" w:cs="Times New Roman"/>
          <w:i/>
          <w:iCs/>
          <w:color w:val="000000" w:themeColor="text1"/>
          <w:kern w:val="0"/>
          <w:sz w:val="20"/>
          <w:szCs w:val="20"/>
          <w:shd w:val="clear" w:color="auto" w:fill="FFFFFF"/>
        </w:rPr>
        <w:t>The European Union's democratization agenda in the Mediterranean</w:t>
      </w:r>
      <w:r w:rsidRPr="000E262D">
        <w:rPr>
          <w:rFonts w:ascii="Times New Roman" w:eastAsia="宋体" w:hAnsi="Times New Roman" w:cs="Times New Roman"/>
          <w:color w:val="000000" w:themeColor="text1"/>
          <w:kern w:val="0"/>
          <w:sz w:val="20"/>
          <w:szCs w:val="20"/>
          <w:shd w:val="clear" w:color="auto" w:fill="FFFFFF"/>
        </w:rPr>
        <w:t>. Routledge.</w:t>
      </w:r>
    </w:p>
    <w:p w14:paraId="383197FB"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shd w:val="clear" w:color="auto" w:fill="FFFFFF"/>
        </w:rPr>
      </w:pPr>
      <w:r w:rsidRPr="000E262D">
        <w:rPr>
          <w:rFonts w:ascii="Times New Roman" w:hAnsi="Times New Roman" w:cs="Times New Roman"/>
          <w:color w:val="000000" w:themeColor="text1"/>
          <w:sz w:val="20"/>
          <w:szCs w:val="20"/>
          <w:shd w:val="clear" w:color="auto" w:fill="FFFFFF"/>
        </w:rPr>
        <w:t>Parker, O., and Rosamond, B. 2013. “‘Normative power Europe’ meets economic liberalism: Complicating cosmopolitanism inside/outside the EU.” </w:t>
      </w:r>
      <w:r w:rsidRPr="000E262D">
        <w:rPr>
          <w:rFonts w:ascii="Times New Roman" w:hAnsi="Times New Roman" w:cs="Times New Roman"/>
          <w:i/>
          <w:iCs/>
          <w:color w:val="000000" w:themeColor="text1"/>
          <w:sz w:val="20"/>
          <w:szCs w:val="20"/>
          <w:shd w:val="clear" w:color="auto" w:fill="FFFFFF"/>
        </w:rPr>
        <w:t>Cooperation and Conflict</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48</w:t>
      </w:r>
      <w:r w:rsidRPr="000E262D">
        <w:rPr>
          <w:rFonts w:ascii="Times New Roman" w:hAnsi="Times New Roman" w:cs="Times New Roman"/>
          <w:color w:val="000000" w:themeColor="text1"/>
          <w:sz w:val="20"/>
          <w:szCs w:val="20"/>
          <w:shd w:val="clear" w:color="auto" w:fill="FFFFFF"/>
        </w:rPr>
        <w:t>(2):229-246.</w:t>
      </w:r>
    </w:p>
    <w:p w14:paraId="61A059BD" w14:textId="77777777" w:rsidR="004B2604" w:rsidRPr="000E262D" w:rsidRDefault="004B2604" w:rsidP="004B2604">
      <w:pPr>
        <w:widowControl/>
        <w:ind w:left="400" w:hangingChars="200" w:hanging="400"/>
        <w:jc w:val="left"/>
        <w:rPr>
          <w:rFonts w:ascii="Times New Roman" w:hAnsi="Times New Roman" w:cs="Times New Roman"/>
          <w:color w:val="000000" w:themeColor="text1"/>
          <w:sz w:val="20"/>
          <w:szCs w:val="20"/>
          <w:shd w:val="clear" w:color="auto" w:fill="FFFFFF"/>
        </w:rPr>
      </w:pPr>
      <w:proofErr w:type="spellStart"/>
      <w:r w:rsidRPr="000E262D">
        <w:rPr>
          <w:rFonts w:ascii="Times New Roman" w:hAnsi="Times New Roman" w:cs="Times New Roman"/>
          <w:color w:val="000000" w:themeColor="text1"/>
          <w:sz w:val="20"/>
          <w:szCs w:val="20"/>
          <w:shd w:val="clear" w:color="auto" w:fill="FFFFFF"/>
        </w:rPr>
        <w:t>Radaelli</w:t>
      </w:r>
      <w:proofErr w:type="spellEnd"/>
      <w:r w:rsidRPr="000E262D">
        <w:rPr>
          <w:rFonts w:ascii="Times New Roman" w:hAnsi="Times New Roman" w:cs="Times New Roman"/>
          <w:color w:val="000000" w:themeColor="text1"/>
          <w:sz w:val="20"/>
          <w:szCs w:val="20"/>
          <w:shd w:val="clear" w:color="auto" w:fill="FFFFFF"/>
        </w:rPr>
        <w:t>, C.M., 2005. “Diffusion without convergence: how political context shapes the. adoption of regulatory impact assessment.” </w:t>
      </w:r>
      <w:r w:rsidRPr="000E262D">
        <w:rPr>
          <w:rFonts w:ascii="Times New Roman" w:hAnsi="Times New Roman" w:cs="Times New Roman"/>
          <w:i/>
          <w:iCs/>
          <w:color w:val="000000" w:themeColor="text1"/>
          <w:sz w:val="20"/>
          <w:szCs w:val="20"/>
          <w:shd w:val="clear" w:color="auto" w:fill="FFFFFF"/>
        </w:rPr>
        <w:t>Journal of European Public Policy</w:t>
      </w:r>
      <w:r w:rsidRPr="000E262D">
        <w:rPr>
          <w:rFonts w:ascii="Times New Roman" w:hAnsi="Times New Roman" w:cs="Times New Roman"/>
          <w:color w:val="000000" w:themeColor="text1"/>
          <w:sz w:val="20"/>
          <w:szCs w:val="20"/>
          <w:shd w:val="clear" w:color="auto" w:fill="FFFFFF"/>
        </w:rPr>
        <w:t>, 12(5), pp.924-943.</w:t>
      </w:r>
    </w:p>
    <w:p w14:paraId="5F9F9488"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rPr>
        <w:t>Risse</w:t>
      </w:r>
      <w:proofErr w:type="spellEnd"/>
      <w:r w:rsidRPr="000E262D">
        <w:rPr>
          <w:rFonts w:ascii="Times New Roman" w:hAnsi="Times New Roman" w:cs="Times New Roman"/>
          <w:color w:val="000000" w:themeColor="text1"/>
          <w:sz w:val="20"/>
          <w:szCs w:val="20"/>
        </w:rPr>
        <w:t>, T. 2016. ‘The Diffusion of Regionalism.” Pp. 87–108 in </w:t>
      </w:r>
      <w:r w:rsidRPr="000E262D">
        <w:rPr>
          <w:rFonts w:ascii="Times New Roman" w:hAnsi="Times New Roman" w:cs="Times New Roman"/>
          <w:i/>
          <w:color w:val="000000" w:themeColor="text1"/>
          <w:sz w:val="20"/>
          <w:szCs w:val="20"/>
        </w:rPr>
        <w:t xml:space="preserve">The Oxford Handbook of Comparative Regionalism, </w:t>
      </w:r>
      <w:r w:rsidRPr="000E262D">
        <w:rPr>
          <w:rFonts w:ascii="Times New Roman" w:hAnsi="Times New Roman" w:cs="Times New Roman"/>
          <w:iCs/>
          <w:color w:val="000000" w:themeColor="text1"/>
          <w:sz w:val="20"/>
          <w:szCs w:val="20"/>
        </w:rPr>
        <w:t xml:space="preserve">edited by </w:t>
      </w:r>
      <w:proofErr w:type="spellStart"/>
      <w:r w:rsidRPr="000E262D">
        <w:rPr>
          <w:rFonts w:ascii="Times New Roman" w:hAnsi="Times New Roman" w:cs="Times New Roman"/>
          <w:color w:val="000000" w:themeColor="text1"/>
          <w:sz w:val="20"/>
          <w:szCs w:val="20"/>
        </w:rPr>
        <w:t>Börzel</w:t>
      </w:r>
      <w:proofErr w:type="spellEnd"/>
      <w:r w:rsidRPr="000E262D">
        <w:rPr>
          <w:rFonts w:ascii="Times New Roman" w:hAnsi="Times New Roman" w:cs="Times New Roman"/>
          <w:color w:val="000000" w:themeColor="text1"/>
          <w:sz w:val="20"/>
          <w:szCs w:val="20"/>
        </w:rPr>
        <w:t xml:space="preserve">, T. and </w:t>
      </w:r>
      <w:proofErr w:type="spellStart"/>
      <w:r w:rsidRPr="000E262D">
        <w:rPr>
          <w:rFonts w:ascii="Times New Roman" w:hAnsi="Times New Roman" w:cs="Times New Roman"/>
          <w:color w:val="000000" w:themeColor="text1"/>
          <w:sz w:val="20"/>
          <w:szCs w:val="20"/>
        </w:rPr>
        <w:t>Risse</w:t>
      </w:r>
      <w:proofErr w:type="spellEnd"/>
      <w:r w:rsidRPr="000E262D">
        <w:rPr>
          <w:rFonts w:ascii="Times New Roman" w:hAnsi="Times New Roman" w:cs="Times New Roman"/>
          <w:color w:val="000000" w:themeColor="text1"/>
          <w:sz w:val="20"/>
          <w:szCs w:val="20"/>
        </w:rPr>
        <w:t>, T. Oxford: OUP</w:t>
      </w:r>
    </w:p>
    <w:p w14:paraId="0811FC54" w14:textId="77777777" w:rsidR="004B2604" w:rsidRPr="000E262D" w:rsidRDefault="004B2604" w:rsidP="004B2604">
      <w:pPr>
        <w:spacing w:line="360" w:lineRule="auto"/>
        <w:ind w:left="400" w:hangingChars="200" w:hanging="400"/>
        <w:rPr>
          <w:rFonts w:ascii="Times New Roman" w:eastAsia="宋体" w:hAnsi="Times New Roman" w:cs="Times New Roman"/>
          <w:color w:val="000000" w:themeColor="text1"/>
          <w:sz w:val="20"/>
          <w:szCs w:val="20"/>
        </w:rPr>
      </w:pPr>
      <w:r w:rsidRPr="000E262D">
        <w:rPr>
          <w:rFonts w:ascii="Times New Roman" w:hAnsi="Times New Roman" w:cs="Times New Roman"/>
          <w:color w:val="000000" w:themeColor="text1"/>
          <w:sz w:val="20"/>
          <w:szCs w:val="20"/>
          <w:shd w:val="clear" w:color="auto" w:fill="FFFFFF"/>
        </w:rPr>
        <w:t>Rosamond, B. 2005. “Conceptualizing the EU model of governance in world politics.” </w:t>
      </w:r>
      <w:r w:rsidRPr="000E262D">
        <w:rPr>
          <w:rFonts w:ascii="Times New Roman" w:hAnsi="Times New Roman" w:cs="Times New Roman"/>
          <w:i/>
          <w:iCs/>
          <w:color w:val="000000" w:themeColor="text1"/>
          <w:sz w:val="20"/>
          <w:szCs w:val="20"/>
          <w:shd w:val="clear" w:color="auto" w:fill="FFFFFF"/>
        </w:rPr>
        <w:t>European foreign affairs Review</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10</w:t>
      </w:r>
      <w:r w:rsidRPr="000E262D">
        <w:rPr>
          <w:rFonts w:ascii="Times New Roman" w:hAnsi="Times New Roman" w:cs="Times New Roman"/>
          <w:color w:val="000000" w:themeColor="text1"/>
          <w:sz w:val="20"/>
          <w:szCs w:val="20"/>
          <w:shd w:val="clear" w:color="auto" w:fill="FFFFFF"/>
        </w:rPr>
        <w:t>(4):463-478.</w:t>
      </w:r>
    </w:p>
    <w:p w14:paraId="3509CA9A" w14:textId="77777777" w:rsidR="004B2604" w:rsidRPr="000E262D" w:rsidRDefault="004B2604" w:rsidP="004B2604">
      <w:pPr>
        <w:widowControl/>
        <w:spacing w:line="360" w:lineRule="auto"/>
        <w:ind w:left="400" w:hangingChars="200" w:hanging="400"/>
        <w:jc w:val="left"/>
        <w:rPr>
          <w:rFonts w:ascii="Times New Roman" w:hAnsi="Times New Roman" w:cs="Times New Roman"/>
          <w:color w:val="000000" w:themeColor="text1"/>
          <w:sz w:val="20"/>
          <w:szCs w:val="20"/>
        </w:rPr>
      </w:pPr>
      <w:proofErr w:type="spellStart"/>
      <w:r w:rsidRPr="000E262D">
        <w:rPr>
          <w:rFonts w:ascii="Times New Roman" w:hAnsi="Times New Roman" w:cs="Times New Roman"/>
          <w:color w:val="000000" w:themeColor="text1"/>
          <w:sz w:val="20"/>
          <w:szCs w:val="20"/>
          <w:shd w:val="clear" w:color="auto" w:fill="FFFFFF"/>
        </w:rPr>
        <w:t>Sicurelli</w:t>
      </w:r>
      <w:proofErr w:type="spellEnd"/>
      <w:r w:rsidRPr="000E262D">
        <w:rPr>
          <w:rFonts w:ascii="Times New Roman" w:hAnsi="Times New Roman" w:cs="Times New Roman"/>
          <w:color w:val="000000" w:themeColor="text1"/>
          <w:sz w:val="20"/>
          <w:szCs w:val="20"/>
          <w:shd w:val="clear" w:color="auto" w:fill="FFFFFF"/>
        </w:rPr>
        <w:t>, D. 2020. “External conditions for EU normative power through trade. The case of CEPA negotiations with Indonesia.” </w:t>
      </w:r>
      <w:r w:rsidRPr="000E262D">
        <w:rPr>
          <w:rFonts w:ascii="Times New Roman" w:hAnsi="Times New Roman" w:cs="Times New Roman"/>
          <w:i/>
          <w:iCs/>
          <w:color w:val="000000" w:themeColor="text1"/>
          <w:sz w:val="20"/>
          <w:szCs w:val="20"/>
          <w:shd w:val="clear" w:color="auto" w:fill="FFFFFF"/>
        </w:rPr>
        <w:t>Asia Europe Journal</w:t>
      </w:r>
      <w:r w:rsidRPr="000E262D">
        <w:rPr>
          <w:rFonts w:ascii="Times New Roman" w:hAnsi="Times New Roman" w:cs="Times New Roman"/>
          <w:color w:val="000000" w:themeColor="text1"/>
          <w:sz w:val="20"/>
          <w:szCs w:val="20"/>
          <w:shd w:val="clear" w:color="auto" w:fill="FFFFFF"/>
        </w:rPr>
        <w:t>, </w:t>
      </w:r>
      <w:r w:rsidRPr="000E262D">
        <w:rPr>
          <w:rFonts w:ascii="Times New Roman" w:hAnsi="Times New Roman" w:cs="Times New Roman"/>
          <w:i/>
          <w:iCs/>
          <w:color w:val="000000" w:themeColor="text1"/>
          <w:sz w:val="20"/>
          <w:szCs w:val="20"/>
          <w:shd w:val="clear" w:color="auto" w:fill="FFFFFF"/>
        </w:rPr>
        <w:t>18</w:t>
      </w:r>
      <w:r w:rsidRPr="000E262D">
        <w:rPr>
          <w:rFonts w:ascii="Times New Roman" w:hAnsi="Times New Roman" w:cs="Times New Roman"/>
          <w:color w:val="000000" w:themeColor="text1"/>
          <w:sz w:val="20"/>
          <w:szCs w:val="20"/>
          <w:shd w:val="clear" w:color="auto" w:fill="FFFFFF"/>
        </w:rPr>
        <w:t>(1):57-73.</w:t>
      </w:r>
    </w:p>
    <w:p w14:paraId="53AE569A"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Simmons, B. A. and Elkins, Z. 2004. “The Globalization of Liberalization: Policy Diffusion in the International Political Economy.” </w:t>
      </w:r>
      <w:r w:rsidRPr="000E262D">
        <w:rPr>
          <w:rFonts w:ascii="Times New Roman" w:hAnsi="Times New Roman" w:cs="Times New Roman"/>
          <w:i/>
          <w:iCs/>
          <w:color w:val="000000" w:themeColor="text1"/>
          <w:sz w:val="20"/>
          <w:szCs w:val="20"/>
        </w:rPr>
        <w:t>American Political Science Review</w:t>
      </w:r>
      <w:r w:rsidRPr="000E262D">
        <w:rPr>
          <w:rFonts w:ascii="Times New Roman" w:hAnsi="Times New Roman" w:cs="Times New Roman"/>
          <w:color w:val="000000" w:themeColor="text1"/>
          <w:sz w:val="20"/>
          <w:szCs w:val="20"/>
        </w:rPr>
        <w:t>, 98(1):171–189.</w:t>
      </w:r>
    </w:p>
    <w:p w14:paraId="623D37EC"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Strang, D. 1991. “Adding Social Structure to Diffusion Models: An Event History Framework.” </w:t>
      </w:r>
      <w:r w:rsidRPr="000E262D">
        <w:rPr>
          <w:rFonts w:ascii="Times New Roman" w:hAnsi="Times New Roman" w:cs="Times New Roman"/>
          <w:i/>
          <w:iCs/>
          <w:color w:val="000000" w:themeColor="text1"/>
          <w:sz w:val="20"/>
          <w:szCs w:val="20"/>
        </w:rPr>
        <w:t>Sociological Methods &amp; Research</w:t>
      </w:r>
      <w:r w:rsidRPr="000E262D">
        <w:rPr>
          <w:rFonts w:ascii="Times New Roman" w:hAnsi="Times New Roman" w:cs="Times New Roman"/>
          <w:color w:val="000000" w:themeColor="text1"/>
          <w:sz w:val="20"/>
          <w:szCs w:val="20"/>
        </w:rPr>
        <w:t>, 19(3):324–353.</w:t>
      </w:r>
    </w:p>
    <w:p w14:paraId="61973ABD" w14:textId="77777777" w:rsidR="004B2604" w:rsidRPr="000E262D" w:rsidRDefault="004B2604" w:rsidP="004B2604">
      <w:pPr>
        <w:widowControl/>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 xml:space="preserve">Wong, R., 2012. “Model power or reference point? The EU and the </w:t>
      </w:r>
      <w:proofErr w:type="gramStart"/>
      <w:r w:rsidRPr="000E262D">
        <w:rPr>
          <w:rFonts w:ascii="Times New Roman" w:hAnsi="Times New Roman" w:cs="Times New Roman"/>
          <w:color w:val="000000" w:themeColor="text1"/>
          <w:sz w:val="20"/>
          <w:szCs w:val="20"/>
        </w:rPr>
        <w:t>ASEAN  Charter</w:t>
      </w:r>
      <w:proofErr w:type="gramEnd"/>
      <w:r w:rsidRPr="000E262D">
        <w:rPr>
          <w:rFonts w:ascii="Times New Roman" w:hAnsi="Times New Roman" w:cs="Times New Roman"/>
          <w:color w:val="000000" w:themeColor="text1"/>
          <w:sz w:val="20"/>
          <w:szCs w:val="20"/>
        </w:rPr>
        <w:t>.” </w:t>
      </w:r>
      <w:r w:rsidRPr="000E262D">
        <w:rPr>
          <w:rFonts w:ascii="Times New Roman" w:hAnsi="Times New Roman" w:cs="Times New Roman"/>
          <w:i/>
          <w:iCs/>
          <w:color w:val="000000" w:themeColor="text1"/>
          <w:sz w:val="20"/>
          <w:szCs w:val="20"/>
        </w:rPr>
        <w:t>Cambridge review of international affairs</w:t>
      </w:r>
      <w:r w:rsidRPr="000E262D">
        <w:rPr>
          <w:rFonts w:ascii="Times New Roman" w:hAnsi="Times New Roman" w:cs="Times New Roman"/>
          <w:color w:val="000000" w:themeColor="text1"/>
          <w:sz w:val="20"/>
          <w:szCs w:val="20"/>
        </w:rPr>
        <w:t>, 25(4), pp.669-682.</w:t>
      </w:r>
    </w:p>
    <w:p w14:paraId="01B554FB" w14:textId="77777777" w:rsidR="004B2604" w:rsidRPr="000E262D" w:rsidRDefault="004B2604" w:rsidP="004B2604">
      <w:pPr>
        <w:widowControl/>
        <w:spacing w:line="360" w:lineRule="auto"/>
        <w:ind w:left="400" w:hangingChars="200" w:hanging="400"/>
        <w:jc w:val="left"/>
        <w:rPr>
          <w:rFonts w:ascii="Times New Roman" w:eastAsia="宋体" w:hAnsi="Times New Roman" w:cs="Times New Roman"/>
          <w:color w:val="000000" w:themeColor="text1"/>
          <w:kern w:val="0"/>
          <w:sz w:val="20"/>
          <w:szCs w:val="20"/>
        </w:rPr>
      </w:pPr>
      <w:r w:rsidRPr="000E262D">
        <w:rPr>
          <w:rFonts w:ascii="Times New Roman" w:eastAsia="宋体" w:hAnsi="Times New Roman" w:cs="Times New Roman"/>
          <w:color w:val="000000" w:themeColor="text1"/>
          <w:kern w:val="0"/>
          <w:sz w:val="20"/>
          <w:szCs w:val="20"/>
          <w:shd w:val="clear" w:color="auto" w:fill="FFFFFF"/>
        </w:rPr>
        <w:t>Young, A. R. 2015. “The European Union as a global regulator? Context and comparison.” </w:t>
      </w:r>
      <w:r w:rsidRPr="000E262D">
        <w:rPr>
          <w:rFonts w:ascii="Times New Roman" w:eastAsia="宋体" w:hAnsi="Times New Roman" w:cs="Times New Roman"/>
          <w:i/>
          <w:iCs/>
          <w:color w:val="000000" w:themeColor="text1"/>
          <w:kern w:val="0"/>
          <w:sz w:val="20"/>
          <w:szCs w:val="20"/>
          <w:shd w:val="clear" w:color="auto" w:fill="FFFFFF"/>
        </w:rPr>
        <w:t>Journal of European Public Policy</w:t>
      </w:r>
      <w:r w:rsidRPr="000E262D">
        <w:rPr>
          <w:rFonts w:ascii="Times New Roman" w:eastAsia="宋体" w:hAnsi="Times New Roman" w:cs="Times New Roman"/>
          <w:color w:val="000000" w:themeColor="text1"/>
          <w:kern w:val="0"/>
          <w:sz w:val="20"/>
          <w:szCs w:val="20"/>
          <w:shd w:val="clear" w:color="auto" w:fill="FFFFFF"/>
        </w:rPr>
        <w:t>, </w:t>
      </w:r>
      <w:r w:rsidRPr="000E262D">
        <w:rPr>
          <w:rFonts w:ascii="Times New Roman" w:eastAsia="宋体" w:hAnsi="Times New Roman" w:cs="Times New Roman"/>
          <w:i/>
          <w:iCs/>
          <w:color w:val="000000" w:themeColor="text1"/>
          <w:kern w:val="0"/>
          <w:sz w:val="20"/>
          <w:szCs w:val="20"/>
          <w:shd w:val="clear" w:color="auto" w:fill="FFFFFF"/>
        </w:rPr>
        <w:t>22</w:t>
      </w:r>
      <w:r w:rsidRPr="000E262D">
        <w:rPr>
          <w:rFonts w:ascii="Times New Roman" w:eastAsia="宋体" w:hAnsi="Times New Roman" w:cs="Times New Roman"/>
          <w:color w:val="000000" w:themeColor="text1"/>
          <w:kern w:val="0"/>
          <w:sz w:val="20"/>
          <w:szCs w:val="20"/>
          <w:shd w:val="clear" w:color="auto" w:fill="FFFFFF"/>
        </w:rPr>
        <w:t>(9):1233-1252.</w:t>
      </w:r>
    </w:p>
    <w:p w14:paraId="2489DF60" w14:textId="77777777" w:rsidR="004B2604" w:rsidRPr="000E262D" w:rsidRDefault="004B2604" w:rsidP="004B2604">
      <w:pPr>
        <w:spacing w:line="360" w:lineRule="auto"/>
        <w:ind w:left="400" w:hangingChars="200" w:hanging="400"/>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Zimmermann, L. 2016. “Same or different? Norm Diffusion Between Resistance, Compliance, and Localization in Post-Conflict States.” </w:t>
      </w:r>
      <w:r w:rsidRPr="000E262D">
        <w:rPr>
          <w:rFonts w:ascii="Times New Roman" w:hAnsi="Times New Roman" w:cs="Times New Roman"/>
          <w:i/>
          <w:iCs/>
          <w:color w:val="000000" w:themeColor="text1"/>
          <w:sz w:val="20"/>
          <w:szCs w:val="20"/>
        </w:rPr>
        <w:t>International Studies Perspectives</w:t>
      </w:r>
      <w:r w:rsidRPr="000E262D">
        <w:rPr>
          <w:rFonts w:ascii="Times New Roman" w:hAnsi="Times New Roman" w:cs="Times New Roman"/>
          <w:color w:val="000000" w:themeColor="text1"/>
          <w:sz w:val="20"/>
          <w:szCs w:val="20"/>
        </w:rPr>
        <w:t>, 17(1):98–115.</w:t>
      </w:r>
    </w:p>
    <w:p w14:paraId="584B3693" w14:textId="77777777" w:rsidR="004B2604" w:rsidRPr="000E262D" w:rsidRDefault="004B2604" w:rsidP="004B2604">
      <w:pPr>
        <w:rPr>
          <w:rFonts w:ascii="Times New Roman" w:hAnsi="Times New Roman" w:cs="Times New Roman"/>
          <w:color w:val="000000" w:themeColor="text1"/>
          <w:sz w:val="20"/>
          <w:szCs w:val="20"/>
        </w:rPr>
      </w:pPr>
    </w:p>
    <w:p w14:paraId="587987EF"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Primary sources:</w:t>
      </w:r>
    </w:p>
    <w:p w14:paraId="4960B031"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AEM. 1990. “Joint Statement of the 22</w:t>
      </w:r>
      <w:r w:rsidRPr="000E262D">
        <w:rPr>
          <w:rFonts w:ascii="Times New Roman" w:hAnsi="Times New Roman" w:cs="Times New Roman"/>
          <w:color w:val="000000" w:themeColor="text1"/>
          <w:sz w:val="20"/>
          <w:szCs w:val="20"/>
          <w:vertAlign w:val="superscript"/>
        </w:rPr>
        <w:t>nd</w:t>
      </w:r>
      <w:r w:rsidRPr="000E262D">
        <w:rPr>
          <w:rFonts w:ascii="Times New Roman" w:hAnsi="Times New Roman" w:cs="Times New Roman"/>
          <w:color w:val="000000" w:themeColor="text1"/>
          <w:sz w:val="20"/>
          <w:szCs w:val="20"/>
        </w:rPr>
        <w:t xml:space="preserve"> ASEAN Economic Ministers’ meeting” </w:t>
      </w:r>
      <w:r w:rsidRPr="000E262D">
        <w:rPr>
          <w:rFonts w:ascii="Times New Roman" w:hAnsi="Times New Roman" w:cs="Times New Roman"/>
          <w:color w:val="000000" w:themeColor="text1"/>
          <w:sz w:val="20"/>
          <w:szCs w:val="20"/>
        </w:rPr>
        <w:lastRenderedPageBreak/>
        <w:t>(https://cil.nus.edu.sg/wp-content/uploads/formidable/18/1990-22nd-AEM.pdf)</w:t>
      </w:r>
    </w:p>
    <w:p w14:paraId="1D5435DF"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ARISE Plus. 2020. Retrieved 1 March 2020(https://ariseplus.asean.org/).</w:t>
      </w:r>
    </w:p>
    <w:p w14:paraId="42A37F55"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ASEAN. 1997. “ASEAN Vision 2020.” Retrieved 1 March 2020(https://asean.org/?static_post=asean-vision-2020).</w:t>
      </w:r>
    </w:p>
    <w:p w14:paraId="1558B91F" w14:textId="4706D0D5"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ASEAN. 2003. “Declaration of ASEAN Concord II (Bali Concord II).” Retrieved 1 March 2020 (https://asean.org/?static_post=declaration-of-asean-concord-ii-bali-concord-ii).</w:t>
      </w:r>
    </w:p>
    <w:p w14:paraId="07C29A8E" w14:textId="59A26B9A"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ASEAN. 2015. “ASEAN Economic Community 2025.” Retrieved December 18, 2019 (</w:t>
      </w:r>
      <w:hyperlink r:id="rId11" w:history="1">
        <w:r w:rsidRPr="000E262D">
          <w:rPr>
            <w:rStyle w:val="a8"/>
            <w:rFonts w:ascii="Times New Roman" w:hAnsi="Times New Roman" w:cs="Times New Roman"/>
            <w:color w:val="000000" w:themeColor="text1"/>
            <w:sz w:val="20"/>
            <w:szCs w:val="20"/>
          </w:rPr>
          <w:t>https://asean.org/?static_post=asean-economic-community-blueprint-2025</w:t>
        </w:r>
      </w:hyperlink>
      <w:r w:rsidRPr="000E262D">
        <w:rPr>
          <w:rFonts w:ascii="Times New Roman" w:hAnsi="Times New Roman" w:cs="Times New Roman"/>
          <w:color w:val="000000" w:themeColor="text1"/>
          <w:sz w:val="20"/>
          <w:szCs w:val="20"/>
        </w:rPr>
        <w:t>)</w:t>
      </w:r>
    </w:p>
    <w:p w14:paraId="2A461A93" w14:textId="5747F2B4"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ASEAN. 2018. “Joint Statement of the Sixteenth AEM-EU Trade Commissioner Consultations” (</w:t>
      </w:r>
      <w:hyperlink r:id="rId12" w:history="1">
        <w:r w:rsidRPr="000E262D">
          <w:rPr>
            <w:rStyle w:val="a8"/>
            <w:rFonts w:ascii="Times New Roman" w:hAnsi="Times New Roman" w:cs="Times New Roman"/>
            <w:color w:val="000000" w:themeColor="text1"/>
            <w:sz w:val="20"/>
            <w:szCs w:val="20"/>
          </w:rPr>
          <w:t>https://asean.org/joint-statement-of-the-sixteenth-aem-eu-trade-commissioner-consultations/</w:t>
        </w:r>
      </w:hyperlink>
      <w:r w:rsidRPr="000E262D">
        <w:rPr>
          <w:rFonts w:ascii="Times New Roman" w:hAnsi="Times New Roman" w:cs="Times New Roman"/>
          <w:color w:val="000000" w:themeColor="text1"/>
          <w:sz w:val="20"/>
          <w:szCs w:val="20"/>
        </w:rPr>
        <w:t>)</w:t>
      </w:r>
    </w:p>
    <w:p w14:paraId="5E763AF7" w14:textId="14AD7A15"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2001. “Europe and Asia: A Strategic Framework for Enhanced Partnerships.” (https://ec.europa.eu/europeaid/communicationcommission-europe-and-asia strategic-framework-enhanced-</w:t>
      </w:r>
      <w:proofErr w:type="spellStart"/>
      <w:r w:rsidRPr="000E262D">
        <w:rPr>
          <w:rFonts w:ascii="Times New Roman" w:hAnsi="Times New Roman" w:cs="Times New Roman"/>
          <w:color w:val="000000" w:themeColor="text1"/>
          <w:sz w:val="20"/>
          <w:szCs w:val="20"/>
        </w:rPr>
        <w:t>partnerships_en</w:t>
      </w:r>
      <w:proofErr w:type="spellEnd"/>
      <w:r w:rsidRPr="000E262D">
        <w:rPr>
          <w:rFonts w:ascii="Times New Roman" w:hAnsi="Times New Roman" w:cs="Times New Roman"/>
          <w:color w:val="000000" w:themeColor="text1"/>
          <w:sz w:val="20"/>
          <w:szCs w:val="20"/>
        </w:rPr>
        <w:t>).</w:t>
      </w:r>
    </w:p>
    <w:p w14:paraId="78C0ED18" w14:textId="5E3135AB"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2003. “A New Partnership with Southeast Asia.” (http://eeas.europa.eu/archives/docs/library/publications/2004_seasia_en.pdf).</w:t>
      </w:r>
    </w:p>
    <w:p w14:paraId="1C54A9FB" w14:textId="20E4CA3F"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2006. “Global Europe Strategy.” (https://eurlex.</w:t>
      </w:r>
    </w:p>
    <w:p w14:paraId="7709CA30"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europa.eu/LexUriServ/LexUriServ.do?uri=</w:t>
      </w:r>
      <w:proofErr w:type="gramStart"/>
      <w:r w:rsidRPr="000E262D">
        <w:rPr>
          <w:rFonts w:ascii="Times New Roman" w:hAnsi="Times New Roman" w:cs="Times New Roman"/>
          <w:color w:val="000000" w:themeColor="text1"/>
          <w:sz w:val="20"/>
          <w:szCs w:val="20"/>
        </w:rPr>
        <w:t>COM:2006:0567</w:t>
      </w:r>
      <w:proofErr w:type="gramEnd"/>
      <w:r w:rsidRPr="000E262D">
        <w:rPr>
          <w:rFonts w:ascii="Times New Roman" w:hAnsi="Times New Roman" w:cs="Times New Roman"/>
          <w:color w:val="000000" w:themeColor="text1"/>
          <w:sz w:val="20"/>
          <w:szCs w:val="20"/>
        </w:rPr>
        <w:t>:FIN:en:PDF).</w:t>
      </w:r>
    </w:p>
    <w:p w14:paraId="4D9E82A1"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2007. “Regional Programming for Asia: strategy document 2007-2013.” Retrieved 1 March 2020(http://eeas.europa.eu/archives/docs/asia/docs/rsp/07_13_en.pdf).</w:t>
      </w:r>
    </w:p>
    <w:p w14:paraId="5506499B"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2010. “Trade, Growth and World Affairs: Trade Policy as a core</w:t>
      </w:r>
    </w:p>
    <w:p w14:paraId="6D42A775"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component of the EU’s 2020 strategy.” Brussels, 2010. Retrieved 1 March 2020(https://eurlex.europa.eu/LexUriServ/LexUriServ.do?uri=COM:2010:0612:FIN:EN:PDF).</w:t>
      </w:r>
    </w:p>
    <w:p w14:paraId="311F1FC7"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2013. “Evaluation of the EU’s trade-related assistance in third</w:t>
      </w:r>
    </w:p>
    <w:p w14:paraId="1212DAE8" w14:textId="5F59105B"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countries: final report.” Volume 2b, April 2013.</w:t>
      </w:r>
      <w:r w:rsidR="00316D29" w:rsidRPr="000E262D">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(https://ec.europa.eu/europeaid/file/37189/download_en?token=imWiVXeP).</w:t>
      </w:r>
    </w:p>
    <w:p w14:paraId="4758BA17" w14:textId="0A81AE14"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w:t>
      </w:r>
      <w:r w:rsidRPr="000E262D" w:rsidDel="008602E4">
        <w:rPr>
          <w:rFonts w:ascii="Times New Roman" w:hAnsi="Times New Roman" w:cs="Times New Roman"/>
          <w:color w:val="000000" w:themeColor="text1"/>
          <w:sz w:val="20"/>
          <w:szCs w:val="20"/>
        </w:rPr>
        <w:t xml:space="preserve"> </w:t>
      </w:r>
      <w:r w:rsidRPr="000E262D">
        <w:rPr>
          <w:rFonts w:ascii="Times New Roman" w:hAnsi="Times New Roman" w:cs="Times New Roman"/>
          <w:color w:val="000000" w:themeColor="text1"/>
          <w:sz w:val="20"/>
          <w:szCs w:val="20"/>
        </w:rPr>
        <w:t>2015a. “The EU and ASEAN: a partnership with a strategic purpose.” (https://eur-lex.europa.eu/legalcontent/EN/TXT/PDF/?uri=JOIN:2015:22:FIN&amp;from=EN).</w:t>
      </w:r>
    </w:p>
    <w:p w14:paraId="31E7E098"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European Commission. 2015b. “Trade for All: towards a more responsible trade and</w:t>
      </w:r>
    </w:p>
    <w:p w14:paraId="279FF1B3" w14:textId="14AD25E5"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investment policy.” (https://trade.ec.europa.eu/doclib/docs/2015/october/tradoc_153846.pdf).</w:t>
      </w:r>
      <w:r w:rsidRPr="000E262D" w:rsidDel="00486577">
        <w:rPr>
          <w:rFonts w:ascii="Times New Roman" w:hAnsi="Times New Roman" w:cs="Times New Roman"/>
          <w:color w:val="000000" w:themeColor="text1"/>
          <w:sz w:val="20"/>
          <w:szCs w:val="20"/>
        </w:rPr>
        <w:t xml:space="preserve"> </w:t>
      </w:r>
    </w:p>
    <w:p w14:paraId="5A0BA910" w14:textId="59D90D58"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EEAS. 2015. “ASEAN-EU Cooperation Programme 2014-2020.” updated January 2015. (https://eeas.europa.eu/sites/eeas/files/cooperation_2014-2020_1.pdf).</w:t>
      </w:r>
    </w:p>
    <w:p w14:paraId="1CF5BE4D" w14:textId="50A7721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EEAS. 2016. “EU-ASEAN Bluebook 2016.” (https://eeas.europa.eu/delegations/association-southeast-asian-nationsasean_en/10780/EU-ASEAN%20Blue%20Book%202016)</w:t>
      </w:r>
    </w:p>
    <w:p w14:paraId="1A926013" w14:textId="56EDDC84"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EEAS. 2019, “EU-ASEAN Bluebook 2019.” (https://eeas.europa.eu/sites/eeas/files/eu-asean_blue_book_2019.pdf).</w:t>
      </w:r>
    </w:p>
    <w:p w14:paraId="7C7C730B" w14:textId="7E31865F"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EEAS. 2017. “ASEAN-EU Plan of Action (2018-2022).” (https://eeas.europa.eu/headquarters/headQuarters-homepage_sv/30781/ASEAN-EU%20Plan%20of%20Action%202018-2022).</w:t>
      </w:r>
    </w:p>
    <w:p w14:paraId="4D566B66" w14:textId="7777777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EU-ASEAN COMPASS. 2013. “EU-ASEAN Capacity Building Project for Monitory</w:t>
      </w:r>
    </w:p>
    <w:p w14:paraId="07631262" w14:textId="4889B2A7" w:rsidR="004B2604" w:rsidRPr="000E262D" w:rsidRDefault="004B2604" w:rsidP="004B2604">
      <w:pPr>
        <w:rPr>
          <w:rFonts w:ascii="Times New Roman" w:hAnsi="Times New Roman" w:cs="Times New Roman"/>
          <w:color w:val="000000" w:themeColor="text1"/>
          <w:sz w:val="20"/>
          <w:szCs w:val="20"/>
        </w:rPr>
      </w:pPr>
      <w:r w:rsidRPr="000E262D">
        <w:rPr>
          <w:rFonts w:ascii="Times New Roman" w:hAnsi="Times New Roman" w:cs="Times New Roman"/>
          <w:color w:val="000000" w:themeColor="text1"/>
          <w:sz w:val="20"/>
          <w:szCs w:val="20"/>
        </w:rPr>
        <w:t>Integration Progress and Statistics.” 29 October 2013 (https://www.unescap.org/sites/default/files/6.EU-ASEAN%20compass.pdf).</w:t>
      </w:r>
    </w:p>
    <w:p w14:paraId="7EC4E368" w14:textId="77777777" w:rsidR="004B2604" w:rsidRPr="000E262D" w:rsidRDefault="004B2604" w:rsidP="004B2604">
      <w:pPr>
        <w:rPr>
          <w:rFonts w:ascii="Times New Roman" w:hAnsi="Times New Roman" w:cs="Times New Roman"/>
          <w:color w:val="000000" w:themeColor="text1"/>
          <w:sz w:val="20"/>
          <w:szCs w:val="20"/>
        </w:rPr>
      </w:pPr>
    </w:p>
    <w:p w14:paraId="79717B50" w14:textId="1194A5F9" w:rsidR="004B2604" w:rsidRPr="000E262D" w:rsidRDefault="004B2604" w:rsidP="008A7331">
      <w:pPr>
        <w:rPr>
          <w:rFonts w:ascii="Times New Roman" w:hAnsi="Times New Roman" w:cs="Times New Roman"/>
          <w:color w:val="000000" w:themeColor="text1"/>
          <w:sz w:val="20"/>
          <w:szCs w:val="20"/>
        </w:rPr>
      </w:pPr>
    </w:p>
    <w:p w14:paraId="0EB00951" w14:textId="12622353" w:rsidR="004B2604" w:rsidRPr="000E262D" w:rsidRDefault="004B2604" w:rsidP="008A7331">
      <w:pPr>
        <w:rPr>
          <w:rFonts w:ascii="Times New Roman" w:hAnsi="Times New Roman" w:cs="Times New Roman"/>
          <w:color w:val="000000" w:themeColor="text1"/>
          <w:sz w:val="20"/>
          <w:szCs w:val="20"/>
        </w:rPr>
      </w:pPr>
    </w:p>
    <w:p w14:paraId="59F1D1C9" w14:textId="77777777" w:rsidR="004B2604" w:rsidRPr="000E262D" w:rsidRDefault="004B2604" w:rsidP="008A7331">
      <w:pPr>
        <w:rPr>
          <w:rFonts w:ascii="Times New Roman" w:hAnsi="Times New Roman" w:cs="Times New Roman"/>
          <w:color w:val="000000" w:themeColor="text1"/>
          <w:sz w:val="20"/>
          <w:szCs w:val="20"/>
        </w:rPr>
      </w:pPr>
    </w:p>
    <w:p w14:paraId="2669F4D5" w14:textId="49E25D14" w:rsidR="00505786" w:rsidRPr="000E262D" w:rsidRDefault="00505786" w:rsidP="008A7331">
      <w:pPr>
        <w:rPr>
          <w:rFonts w:ascii="Times New Roman" w:hAnsi="Times New Roman" w:cs="Times New Roman"/>
          <w:color w:val="000000" w:themeColor="text1"/>
          <w:sz w:val="20"/>
          <w:szCs w:val="20"/>
          <w:lang w:val="en-US"/>
        </w:rPr>
      </w:pPr>
    </w:p>
    <w:sectPr w:rsidR="00505786" w:rsidRPr="000E262D" w:rsidSect="004A4DF8">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3DEB2" w14:textId="77777777" w:rsidR="004E0875" w:rsidRDefault="004E0875" w:rsidP="00DE02CF">
      <w:r>
        <w:separator/>
      </w:r>
    </w:p>
  </w:endnote>
  <w:endnote w:type="continuationSeparator" w:id="0">
    <w:p w14:paraId="2C83C429" w14:textId="77777777" w:rsidR="004E0875" w:rsidRDefault="004E0875" w:rsidP="00DE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03F19" w14:textId="77777777" w:rsidR="004E0875" w:rsidRDefault="004E0875" w:rsidP="00DE02CF">
      <w:r>
        <w:separator/>
      </w:r>
    </w:p>
  </w:footnote>
  <w:footnote w:type="continuationSeparator" w:id="0">
    <w:p w14:paraId="1AA323D7" w14:textId="77777777" w:rsidR="004E0875" w:rsidRDefault="004E0875" w:rsidP="00DE02CF">
      <w:r>
        <w:continuationSeparator/>
      </w:r>
    </w:p>
  </w:footnote>
  <w:footnote w:id="1">
    <w:p w14:paraId="6F70C4D8" w14:textId="5D1F6B47" w:rsidR="008F6C64" w:rsidRPr="000E262D" w:rsidRDefault="008F6C64" w:rsidP="00457232">
      <w:pPr>
        <w:rPr>
          <w:rFonts w:ascii="Times New Roman" w:hAnsi="Times New Roman" w:cs="Times New Roman"/>
          <w:color w:val="000000" w:themeColor="text1"/>
          <w:sz w:val="13"/>
          <w:szCs w:val="13"/>
        </w:rPr>
      </w:pPr>
      <w:r w:rsidRPr="000E262D">
        <w:rPr>
          <w:rStyle w:val="a7"/>
          <w:rFonts w:ascii="Times New Roman" w:hAnsi="Times New Roman" w:cs="Times New Roman"/>
          <w:color w:val="000000" w:themeColor="text1"/>
          <w:sz w:val="13"/>
          <w:szCs w:val="13"/>
        </w:rPr>
        <w:footnoteRef/>
      </w:r>
      <w:r w:rsidRPr="000E262D">
        <w:rPr>
          <w:rFonts w:ascii="Times New Roman" w:hAnsi="Times New Roman" w:cs="Times New Roman"/>
          <w:color w:val="000000" w:themeColor="text1"/>
          <w:sz w:val="13"/>
          <w:szCs w:val="13"/>
        </w:rPr>
        <w:t xml:space="preserve"> It is noteworthy that empirical studies of NPE have heavily concentrated on the EU’s promotion of socio-political norms such as human rights (Lerch and </w:t>
      </w:r>
      <w:proofErr w:type="spellStart"/>
      <w:r w:rsidRPr="000E262D">
        <w:rPr>
          <w:rFonts w:ascii="Times New Roman" w:hAnsi="Times New Roman" w:cs="Times New Roman"/>
          <w:color w:val="000000" w:themeColor="text1"/>
          <w:sz w:val="13"/>
          <w:szCs w:val="13"/>
        </w:rPr>
        <w:t>Schwellnus</w:t>
      </w:r>
      <w:proofErr w:type="spellEnd"/>
      <w:r w:rsidRPr="000E262D">
        <w:rPr>
          <w:rFonts w:ascii="Times New Roman" w:hAnsi="Times New Roman" w:cs="Times New Roman"/>
          <w:color w:val="000000" w:themeColor="text1"/>
          <w:sz w:val="13"/>
          <w:szCs w:val="13"/>
        </w:rPr>
        <w:t xml:space="preserve"> 2006), democracy (Pace and </w:t>
      </w:r>
      <w:proofErr w:type="spellStart"/>
      <w:r w:rsidRPr="000E262D">
        <w:rPr>
          <w:rFonts w:ascii="Times New Roman" w:hAnsi="Times New Roman" w:cs="Times New Roman"/>
          <w:color w:val="000000" w:themeColor="text1"/>
          <w:sz w:val="13"/>
          <w:szCs w:val="13"/>
        </w:rPr>
        <w:t>Seeberg</w:t>
      </w:r>
      <w:proofErr w:type="spellEnd"/>
      <w:r w:rsidRPr="000E262D">
        <w:rPr>
          <w:rFonts w:ascii="Times New Roman" w:hAnsi="Times New Roman" w:cs="Times New Roman"/>
          <w:color w:val="000000" w:themeColor="text1"/>
          <w:sz w:val="13"/>
          <w:szCs w:val="13"/>
        </w:rPr>
        <w:t xml:space="preserve"> 2013), labour rights (</w:t>
      </w:r>
      <w:proofErr w:type="spellStart"/>
      <w:r w:rsidRPr="000E262D">
        <w:rPr>
          <w:rFonts w:ascii="Times New Roman" w:hAnsi="Times New Roman" w:cs="Times New Roman"/>
          <w:color w:val="000000" w:themeColor="text1"/>
          <w:sz w:val="13"/>
          <w:szCs w:val="13"/>
        </w:rPr>
        <w:t>Orbie</w:t>
      </w:r>
      <w:proofErr w:type="spellEnd"/>
      <w:r w:rsidRPr="000E262D">
        <w:rPr>
          <w:rFonts w:ascii="Times New Roman" w:hAnsi="Times New Roman" w:cs="Times New Roman"/>
          <w:color w:val="000000" w:themeColor="text1"/>
          <w:sz w:val="13"/>
          <w:szCs w:val="13"/>
        </w:rPr>
        <w:t xml:space="preserve"> 2011), and sustainable development (</w:t>
      </w:r>
      <w:proofErr w:type="spellStart"/>
      <w:r w:rsidRPr="000E262D">
        <w:rPr>
          <w:rFonts w:ascii="Times New Roman" w:hAnsi="Times New Roman" w:cs="Times New Roman"/>
          <w:color w:val="000000" w:themeColor="text1"/>
          <w:sz w:val="13"/>
          <w:szCs w:val="13"/>
        </w:rPr>
        <w:t>Sicurelli</w:t>
      </w:r>
      <w:proofErr w:type="spellEnd"/>
      <w:r w:rsidRPr="000E262D">
        <w:rPr>
          <w:rFonts w:ascii="Times New Roman" w:hAnsi="Times New Roman" w:cs="Times New Roman"/>
          <w:color w:val="000000" w:themeColor="text1"/>
          <w:sz w:val="13"/>
          <w:szCs w:val="13"/>
        </w:rPr>
        <w:t xml:space="preserve"> 2020).</w:t>
      </w:r>
    </w:p>
    <w:p w14:paraId="4E8F7FDC" w14:textId="543C81F6" w:rsidR="008F6C64" w:rsidRPr="000E262D" w:rsidRDefault="008F6C64">
      <w:pPr>
        <w:pStyle w:val="a5"/>
      </w:pPr>
    </w:p>
  </w:footnote>
  <w:footnote w:id="2">
    <w:p w14:paraId="10EF7F1B" w14:textId="126B6C18" w:rsidR="008F6C64" w:rsidRPr="008F00A2" w:rsidRDefault="008F6C64">
      <w:pPr>
        <w:pStyle w:val="a5"/>
        <w:rPr>
          <w:rFonts w:ascii="Times New Roman" w:hAnsi="Times New Roman" w:cs="Times New Roman"/>
        </w:rPr>
      </w:pPr>
      <w:r w:rsidRPr="008F00A2">
        <w:rPr>
          <w:rStyle w:val="a7"/>
          <w:rFonts w:ascii="Times New Roman" w:hAnsi="Times New Roman" w:cs="Times New Roman"/>
        </w:rPr>
        <w:footnoteRef/>
      </w:r>
      <w:r w:rsidRPr="008F00A2">
        <w:rPr>
          <w:rFonts w:ascii="Times New Roman" w:hAnsi="Times New Roman" w:cs="Times New Roman"/>
        </w:rPr>
        <w:t xml:space="preserve"> Author interview with a former </w:t>
      </w:r>
      <w:r>
        <w:rPr>
          <w:rFonts w:ascii="Times New Roman" w:hAnsi="Times New Roman" w:cs="Times New Roman"/>
        </w:rPr>
        <w:t>EU</w:t>
      </w:r>
      <w:r w:rsidRPr="008F00A2">
        <w:rPr>
          <w:rFonts w:ascii="Times New Roman" w:hAnsi="Times New Roman" w:cs="Times New Roman"/>
        </w:rPr>
        <w:t xml:space="preserve"> diplomat in Singapore, 23 August 2017</w:t>
      </w:r>
    </w:p>
  </w:footnote>
  <w:footnote w:id="3">
    <w:p w14:paraId="445CAC0A" w14:textId="5F57EE58" w:rsidR="008F6C64" w:rsidRPr="00E06411" w:rsidRDefault="008F6C64" w:rsidP="00E06411">
      <w:pPr>
        <w:autoSpaceDE w:val="0"/>
        <w:autoSpaceDN w:val="0"/>
        <w:adjustRightInd w:val="0"/>
        <w:jc w:val="left"/>
        <w:rPr>
          <w:rFonts w:ascii="Georgia" w:hAnsi="Georgia" w:cs="Times New Roman"/>
          <w:kern w:val="0"/>
          <w:sz w:val="15"/>
          <w:szCs w:val="15"/>
          <w:lang w:val="en-US"/>
        </w:rPr>
      </w:pPr>
      <w:r w:rsidRPr="00E06411">
        <w:rPr>
          <w:rStyle w:val="a7"/>
          <w:rFonts w:ascii="Georgia" w:hAnsi="Georgia"/>
          <w:sz w:val="15"/>
          <w:szCs w:val="15"/>
        </w:rPr>
        <w:footnoteRef/>
      </w:r>
      <w:r w:rsidRPr="00E06411">
        <w:rPr>
          <w:rFonts w:ascii="Georgia" w:hAnsi="Georgia"/>
          <w:sz w:val="15"/>
          <w:szCs w:val="15"/>
        </w:rPr>
        <w:t xml:space="preserve"> Author interview with an </w:t>
      </w:r>
      <w:r w:rsidRPr="00E06411">
        <w:rPr>
          <w:rFonts w:ascii="Georgia" w:hAnsi="Georgia" w:cs="Times New Roman"/>
          <w:kern w:val="0"/>
          <w:sz w:val="15"/>
          <w:szCs w:val="15"/>
          <w:lang w:val="en-US"/>
        </w:rPr>
        <w:t>Official at DG Trade, European Commission. Brussels. 3 April 2017; author interview with the Deputy Head of Unit, DG Trade, European Commission. Brussels. 3 April 2017; author interview with the Former Deputy Head of Mission, the EU Mission to ASEAN. Beijing. 3 November 2017.</w:t>
      </w:r>
    </w:p>
  </w:footnote>
  <w:footnote w:id="4">
    <w:p w14:paraId="3240D83F" w14:textId="77777777" w:rsidR="008F6C64" w:rsidRPr="00684516" w:rsidRDefault="008F6C64">
      <w:pPr>
        <w:pStyle w:val="a5"/>
        <w:rPr>
          <w:rFonts w:ascii="Georgia" w:hAnsi="Georgia"/>
          <w:sz w:val="15"/>
          <w:szCs w:val="15"/>
        </w:rPr>
      </w:pPr>
      <w:r w:rsidRPr="00684516">
        <w:rPr>
          <w:rStyle w:val="a7"/>
          <w:rFonts w:ascii="Georgia" w:hAnsi="Georgia"/>
          <w:sz w:val="15"/>
          <w:szCs w:val="15"/>
        </w:rPr>
        <w:footnoteRef/>
      </w:r>
      <w:r w:rsidRPr="00684516">
        <w:rPr>
          <w:rFonts w:ascii="Georgia" w:hAnsi="Georgia"/>
          <w:sz w:val="15"/>
          <w:szCs w:val="15"/>
        </w:rPr>
        <w:t xml:space="preserve"> Author interview with </w:t>
      </w:r>
      <w:r w:rsidRPr="00684516">
        <w:rPr>
          <w:rFonts w:ascii="Georgia" w:hAnsi="Georgia" w:cs="Times New Roman"/>
          <w:kern w:val="0"/>
          <w:sz w:val="15"/>
          <w:szCs w:val="15"/>
          <w:lang w:val="en-US"/>
        </w:rPr>
        <w:t>ASEAN Desk Officer EEAS. Brussels. 25 March 2017.</w:t>
      </w:r>
    </w:p>
  </w:footnote>
  <w:footnote w:id="5">
    <w:p w14:paraId="7CB4AFD7" w14:textId="77777777" w:rsidR="008F6C64" w:rsidRPr="00684516" w:rsidRDefault="008F6C64" w:rsidP="00684516">
      <w:pPr>
        <w:autoSpaceDE w:val="0"/>
        <w:autoSpaceDN w:val="0"/>
        <w:adjustRightInd w:val="0"/>
        <w:jc w:val="left"/>
        <w:rPr>
          <w:rFonts w:ascii="Georgia" w:hAnsi="Georgia" w:cs="Times New Roman"/>
          <w:color w:val="201F1E"/>
          <w:kern w:val="0"/>
          <w:sz w:val="15"/>
          <w:szCs w:val="15"/>
          <w:lang w:val="en-US"/>
        </w:rPr>
      </w:pPr>
      <w:r w:rsidRPr="00684516">
        <w:rPr>
          <w:rStyle w:val="a7"/>
          <w:rFonts w:ascii="Georgia" w:hAnsi="Georgia"/>
          <w:sz w:val="15"/>
          <w:szCs w:val="15"/>
        </w:rPr>
        <w:footnoteRef/>
      </w:r>
      <w:r w:rsidRPr="00684516">
        <w:rPr>
          <w:rFonts w:ascii="Georgia" w:hAnsi="Georgia"/>
          <w:sz w:val="15"/>
          <w:szCs w:val="15"/>
        </w:rPr>
        <w:t xml:space="preserve"> Author interview with </w:t>
      </w:r>
      <w:r w:rsidRPr="00684516">
        <w:rPr>
          <w:rFonts w:ascii="Georgia" w:hAnsi="Georgia" w:cs="Times New Roman"/>
          <w:color w:val="201F1E"/>
          <w:kern w:val="0"/>
          <w:sz w:val="15"/>
          <w:szCs w:val="15"/>
          <w:lang w:val="en-US"/>
        </w:rPr>
        <w:t>Desk officer ASEAN and Afghanistan, Asia, Australia &amp; New Zealand Unit</w:t>
      </w:r>
      <w:r>
        <w:rPr>
          <w:rFonts w:ascii="Georgia" w:hAnsi="Georgia" w:cs="Times New Roman"/>
          <w:color w:val="201F1E"/>
          <w:kern w:val="0"/>
          <w:sz w:val="15"/>
          <w:szCs w:val="15"/>
          <w:lang w:val="en-US"/>
        </w:rPr>
        <w:t xml:space="preserve"> </w:t>
      </w:r>
      <w:r w:rsidRPr="00684516">
        <w:rPr>
          <w:rFonts w:ascii="Georgia" w:hAnsi="Georgia" w:cs="Times New Roman"/>
          <w:color w:val="201F1E"/>
          <w:kern w:val="0"/>
          <w:sz w:val="15"/>
          <w:szCs w:val="15"/>
          <w:lang w:val="en-US"/>
        </w:rPr>
        <w:t>European Parliament. Brussels. 17 February 2017.</w:t>
      </w:r>
    </w:p>
  </w:footnote>
  <w:footnote w:id="6">
    <w:p w14:paraId="06293FE2" w14:textId="48FA8EB7" w:rsidR="008F6C64" w:rsidRPr="000963DB" w:rsidRDefault="008F6C64" w:rsidP="000963DB">
      <w:pPr>
        <w:rPr>
          <w:rFonts w:ascii="Times New Roman" w:hAnsi="Times New Roman" w:cs="Times New Roman"/>
          <w:sz w:val="15"/>
          <w:szCs w:val="15"/>
        </w:rPr>
      </w:pPr>
      <w:r w:rsidRPr="000963DB">
        <w:rPr>
          <w:rFonts w:ascii="Times New Roman" w:hAnsi="Times New Roman" w:cs="Times New Roman"/>
          <w:sz w:val="15"/>
          <w:szCs w:val="15"/>
          <w:vertAlign w:val="superscript"/>
        </w:rPr>
        <w:footnoteRef/>
      </w:r>
      <w:r w:rsidRPr="000963DB">
        <w:rPr>
          <w:rFonts w:ascii="Times New Roman" w:hAnsi="Times New Roman" w:cs="Times New Roman"/>
          <w:sz w:val="15"/>
          <w:szCs w:val="15"/>
          <w:vertAlign w:val="superscript"/>
        </w:rPr>
        <w:t xml:space="preserve"> </w:t>
      </w:r>
      <w:r w:rsidRPr="000963DB">
        <w:rPr>
          <w:rFonts w:ascii="Times New Roman" w:hAnsi="Times New Roman" w:cs="Times New Roman"/>
          <w:sz w:val="15"/>
          <w:szCs w:val="15"/>
        </w:rPr>
        <w:t>Author interviews with two senior officials in the Department of External Relations and the Department of Community Affairs at ASEAN Secretariat, Jakarta, 29-30, August 2017</w:t>
      </w:r>
    </w:p>
  </w:footnote>
  <w:footnote w:id="7">
    <w:p w14:paraId="55E027C7" w14:textId="462F9B2F" w:rsidR="008F6C64" w:rsidRPr="000963DB" w:rsidRDefault="008F6C64" w:rsidP="000963DB">
      <w:pPr>
        <w:rPr>
          <w:rFonts w:ascii="Times New Roman" w:hAnsi="Times New Roman" w:cs="Times New Roman"/>
          <w:sz w:val="15"/>
          <w:szCs w:val="15"/>
        </w:rPr>
      </w:pPr>
      <w:r w:rsidRPr="000963DB">
        <w:rPr>
          <w:rStyle w:val="a7"/>
          <w:rFonts w:ascii="Times New Roman" w:hAnsi="Times New Roman" w:cs="Times New Roman"/>
          <w:sz w:val="15"/>
          <w:szCs w:val="15"/>
        </w:rPr>
        <w:footnoteRef/>
      </w:r>
      <w:r w:rsidRPr="000963DB">
        <w:rPr>
          <w:rFonts w:ascii="Times New Roman" w:hAnsi="Times New Roman" w:cs="Times New Roman"/>
          <w:sz w:val="15"/>
          <w:szCs w:val="15"/>
        </w:rPr>
        <w:t xml:space="preserve"> Author interview with a senior researcher in a Brussels-based research institution, 9 April 2017.</w:t>
      </w:r>
    </w:p>
  </w:footnote>
  <w:footnote w:id="8">
    <w:p w14:paraId="28CD99C2" w14:textId="77777777" w:rsidR="008F6C64" w:rsidRPr="000963DB" w:rsidRDefault="008F6C64" w:rsidP="000963DB">
      <w:pPr>
        <w:rPr>
          <w:rFonts w:ascii="Times New Roman" w:hAnsi="Times New Roman" w:cs="Times New Roman"/>
          <w:sz w:val="15"/>
          <w:szCs w:val="15"/>
        </w:rPr>
      </w:pPr>
      <w:r w:rsidRPr="000963DB">
        <w:rPr>
          <w:rStyle w:val="a7"/>
          <w:rFonts w:ascii="Times New Roman" w:hAnsi="Times New Roman" w:cs="Times New Roman"/>
          <w:sz w:val="15"/>
          <w:szCs w:val="15"/>
        </w:rPr>
        <w:footnoteRef/>
      </w:r>
      <w:r w:rsidRPr="000963DB">
        <w:rPr>
          <w:rFonts w:ascii="Times New Roman" w:hAnsi="Times New Roman" w:cs="Times New Roman"/>
          <w:sz w:val="15"/>
          <w:szCs w:val="15"/>
        </w:rPr>
        <w:t xml:space="preserve"> ‘Mahathir strikes again, bats for common market among SE Asian nations’, Manila Standard, 16 October 1997.</w:t>
      </w:r>
    </w:p>
  </w:footnote>
  <w:footnote w:id="9">
    <w:p w14:paraId="729071BA" w14:textId="140456A7" w:rsidR="008F6C64" w:rsidRPr="000963DB" w:rsidRDefault="008F6C64" w:rsidP="000963DB">
      <w:pPr>
        <w:rPr>
          <w:rFonts w:ascii="Times New Roman" w:hAnsi="Times New Roman" w:cs="Times New Roman"/>
          <w:sz w:val="15"/>
          <w:szCs w:val="15"/>
        </w:rPr>
      </w:pPr>
      <w:r w:rsidRPr="000963DB">
        <w:rPr>
          <w:rStyle w:val="a7"/>
          <w:rFonts w:ascii="Times New Roman" w:hAnsi="Times New Roman" w:cs="Times New Roman"/>
          <w:color w:val="000000" w:themeColor="text1"/>
          <w:sz w:val="15"/>
          <w:szCs w:val="15"/>
        </w:rPr>
        <w:footnoteRef/>
      </w:r>
      <w:r w:rsidRPr="000963DB">
        <w:rPr>
          <w:rFonts w:ascii="Times New Roman" w:hAnsi="Times New Roman" w:cs="Times New Roman"/>
          <w:sz w:val="15"/>
          <w:szCs w:val="15"/>
        </w:rPr>
        <w:t xml:space="preserve"> </w:t>
      </w:r>
      <w:r w:rsidRPr="000963DB">
        <w:rPr>
          <w:rFonts w:ascii="Times New Roman" w:hAnsi="Times New Roman" w:cs="Times New Roman"/>
          <w:sz w:val="15"/>
          <w:szCs w:val="15"/>
          <w:shd w:val="clear" w:color="auto" w:fill="FFFFFF"/>
        </w:rPr>
        <w:t>Jake Lloyd-Smith in, K. L. (2002, Oct 09). ‘Singapore leader looks to European Economic Community mode: Goh supports single market model in Asia’.</w:t>
      </w:r>
      <w:r w:rsidRPr="000963DB">
        <w:rPr>
          <w:rFonts w:ascii="Times New Roman" w:hAnsi="Times New Roman" w:cs="Times New Roman"/>
          <w:i/>
          <w:iCs/>
          <w:sz w:val="15"/>
          <w:szCs w:val="15"/>
          <w:shd w:val="clear" w:color="auto" w:fill="FFFFFF"/>
        </w:rPr>
        <w:t> South China Morning Post</w:t>
      </w:r>
      <w:r w:rsidRPr="000963DB">
        <w:rPr>
          <w:rFonts w:ascii="Times New Roman" w:hAnsi="Times New Roman" w:cs="Times New Roman"/>
          <w:sz w:val="15"/>
          <w:szCs w:val="15"/>
          <w:shd w:val="clear" w:color="auto" w:fill="FFFFFF"/>
        </w:rPr>
        <w:t>. Retrieved from https://search.proquest.com/docview/265784769?accountid=11862.</w:t>
      </w:r>
    </w:p>
  </w:footnote>
  <w:footnote w:id="10">
    <w:p w14:paraId="2A67ED00" w14:textId="77777777" w:rsidR="008F6C64" w:rsidRPr="000963DB" w:rsidRDefault="008F6C64" w:rsidP="000963DB">
      <w:pPr>
        <w:rPr>
          <w:rFonts w:ascii="Times New Roman" w:hAnsi="Times New Roman" w:cs="Times New Roman"/>
          <w:sz w:val="15"/>
          <w:szCs w:val="15"/>
        </w:rPr>
      </w:pPr>
      <w:r w:rsidRPr="000963DB">
        <w:rPr>
          <w:rStyle w:val="a7"/>
          <w:rFonts w:ascii="Times New Roman" w:hAnsi="Times New Roman" w:cs="Times New Roman"/>
          <w:color w:val="000000" w:themeColor="text1"/>
          <w:sz w:val="15"/>
          <w:szCs w:val="15"/>
        </w:rPr>
        <w:footnoteRef/>
      </w:r>
      <w:r w:rsidRPr="000963DB">
        <w:rPr>
          <w:rFonts w:ascii="Times New Roman" w:hAnsi="Times New Roman" w:cs="Times New Roman"/>
          <w:sz w:val="15"/>
          <w:szCs w:val="15"/>
        </w:rPr>
        <w:t xml:space="preserve"> </w:t>
      </w:r>
      <w:proofErr w:type="spellStart"/>
      <w:r w:rsidRPr="000963DB">
        <w:rPr>
          <w:rFonts w:ascii="Times New Roman" w:hAnsi="Times New Roman" w:cs="Times New Roman"/>
          <w:sz w:val="15"/>
          <w:szCs w:val="15"/>
          <w:shd w:val="clear" w:color="auto" w:fill="FFFFFF"/>
        </w:rPr>
        <w:t>Perlez</w:t>
      </w:r>
      <w:proofErr w:type="spellEnd"/>
      <w:r w:rsidRPr="000963DB">
        <w:rPr>
          <w:rFonts w:ascii="Times New Roman" w:hAnsi="Times New Roman" w:cs="Times New Roman"/>
          <w:sz w:val="15"/>
          <w:szCs w:val="15"/>
          <w:shd w:val="clear" w:color="auto" w:fill="FFFFFF"/>
        </w:rPr>
        <w:t>, J. (2003, Oct 08). ‘ASEAN powerhouses push single market Singapore and Thailand take the lead on eve of annual summit meeting: [A edition].</w:t>
      </w:r>
      <w:r w:rsidRPr="000963DB">
        <w:rPr>
          <w:rFonts w:ascii="Times New Roman" w:hAnsi="Times New Roman" w:cs="Times New Roman"/>
          <w:i/>
          <w:iCs/>
          <w:sz w:val="15"/>
          <w:szCs w:val="15"/>
          <w:shd w:val="clear" w:color="auto" w:fill="FFFFFF"/>
        </w:rPr>
        <w:t> </w:t>
      </w:r>
      <w:proofErr w:type="gramStart"/>
      <w:r w:rsidRPr="000963DB">
        <w:rPr>
          <w:rFonts w:ascii="Times New Roman" w:hAnsi="Times New Roman" w:cs="Times New Roman"/>
          <w:i/>
          <w:iCs/>
          <w:sz w:val="15"/>
          <w:szCs w:val="15"/>
          <w:shd w:val="clear" w:color="auto" w:fill="FFFFFF"/>
        </w:rPr>
        <w:t>International Herald Tribune,</w:t>
      </w:r>
      <w:proofErr w:type="gramEnd"/>
      <w:r w:rsidRPr="000963DB">
        <w:rPr>
          <w:rFonts w:ascii="Times New Roman" w:hAnsi="Times New Roman" w:cs="Times New Roman"/>
          <w:sz w:val="15"/>
          <w:szCs w:val="15"/>
          <w:shd w:val="clear" w:color="auto" w:fill="FFFFFF"/>
        </w:rPr>
        <w:t> Retrieved from https://search.proquest.com/docview/318405510?accountid=1186.</w:t>
      </w:r>
    </w:p>
  </w:footnote>
  <w:footnote w:id="11">
    <w:p w14:paraId="3C5B3513" w14:textId="410E51AA" w:rsidR="008F6C64" w:rsidRPr="000963DB" w:rsidRDefault="008F6C64" w:rsidP="000963DB">
      <w:pPr>
        <w:rPr>
          <w:rFonts w:ascii="Times New Roman" w:hAnsi="Times New Roman" w:cs="Times New Roman"/>
          <w:sz w:val="15"/>
          <w:szCs w:val="15"/>
        </w:rPr>
      </w:pPr>
      <w:r w:rsidRPr="000963DB">
        <w:rPr>
          <w:rStyle w:val="a7"/>
          <w:rFonts w:ascii="Times New Roman" w:hAnsi="Times New Roman" w:cs="Times New Roman"/>
          <w:sz w:val="15"/>
          <w:szCs w:val="15"/>
        </w:rPr>
        <w:footnoteRef/>
      </w:r>
      <w:r w:rsidRPr="000963DB">
        <w:rPr>
          <w:rFonts w:ascii="Times New Roman" w:hAnsi="Times New Roman" w:cs="Times New Roman"/>
          <w:sz w:val="15"/>
          <w:szCs w:val="15"/>
        </w:rPr>
        <w:t xml:space="preserve"> See ASEAN Plus official website, available at: </w:t>
      </w:r>
      <w:hyperlink r:id="rId1" w:history="1">
        <w:r w:rsidRPr="000963DB">
          <w:rPr>
            <w:rStyle w:val="a8"/>
            <w:rFonts w:ascii="Times New Roman" w:hAnsi="Times New Roman" w:cs="Times New Roman"/>
            <w:sz w:val="15"/>
            <w:szCs w:val="15"/>
          </w:rPr>
          <w:t>http://ariseplus.asean.org/projects/</w:t>
        </w:r>
      </w:hyperlink>
    </w:p>
  </w:footnote>
  <w:footnote w:id="12">
    <w:p w14:paraId="07AAD85A" w14:textId="697CEA35" w:rsidR="008F6C64" w:rsidRPr="00D4712C" w:rsidRDefault="008F6C64" w:rsidP="000963DB">
      <w:r w:rsidRPr="000963DB">
        <w:rPr>
          <w:rStyle w:val="a7"/>
          <w:rFonts w:ascii="Times New Roman" w:hAnsi="Times New Roman" w:cs="Times New Roman"/>
          <w:sz w:val="15"/>
          <w:szCs w:val="15"/>
        </w:rPr>
        <w:footnoteRef/>
      </w:r>
      <w:r w:rsidRPr="000963DB">
        <w:rPr>
          <w:rFonts w:ascii="Times New Roman" w:hAnsi="Times New Roman" w:cs="Times New Roman"/>
          <w:sz w:val="15"/>
          <w:szCs w:val="15"/>
        </w:rPr>
        <w:t xml:space="preserve">See the implementation framework of the ASEAN single aviation market, available at: </w:t>
      </w:r>
      <w:hyperlink r:id="rId2" w:history="1">
        <w:r w:rsidRPr="000963DB">
          <w:rPr>
            <w:rStyle w:val="a8"/>
            <w:rFonts w:ascii="Times New Roman" w:hAnsi="Times New Roman" w:cs="Times New Roman"/>
            <w:sz w:val="15"/>
            <w:szCs w:val="15"/>
          </w:rPr>
          <w:t>https://asean.org/wp-content/uploads/images/archive/documents/111219-17th%20ATM_Agenda%20Item%208%20ASAM%20Implementation%20Framework.pdf</w:t>
        </w:r>
      </w:hyperlink>
    </w:p>
  </w:footnote>
  <w:footnote w:id="13">
    <w:p w14:paraId="3ACACBD5" w14:textId="77777777" w:rsidR="008F6C64" w:rsidRPr="00744891" w:rsidRDefault="008F6C64">
      <w:pPr>
        <w:pStyle w:val="a5"/>
        <w:rPr>
          <w:rFonts w:ascii="Georgia" w:hAnsi="Georgia"/>
          <w:sz w:val="15"/>
          <w:szCs w:val="15"/>
          <w:lang w:val="en-US"/>
        </w:rPr>
      </w:pPr>
      <w:r w:rsidRPr="00744891">
        <w:rPr>
          <w:rStyle w:val="a7"/>
          <w:rFonts w:ascii="Georgia" w:hAnsi="Georgia"/>
          <w:sz w:val="15"/>
          <w:szCs w:val="15"/>
        </w:rPr>
        <w:footnoteRef/>
      </w:r>
      <w:r w:rsidRPr="00744891">
        <w:rPr>
          <w:rFonts w:ascii="Georgia" w:hAnsi="Georgia"/>
          <w:sz w:val="15"/>
          <w:szCs w:val="15"/>
        </w:rPr>
        <w:t xml:space="preserve"> </w:t>
      </w:r>
      <w:r w:rsidRPr="00744891">
        <w:rPr>
          <w:rFonts w:ascii="Georgia" w:hAnsi="Georgia"/>
          <w:sz w:val="15"/>
          <w:szCs w:val="15"/>
          <w:lang w:val="en-US"/>
        </w:rPr>
        <w:t xml:space="preserve">Author interview with </w:t>
      </w:r>
      <w:r w:rsidRPr="00744891">
        <w:rPr>
          <w:rFonts w:ascii="Georgia" w:hAnsi="Georgia" w:cs="Times New Roman"/>
          <w:kern w:val="0"/>
          <w:sz w:val="15"/>
          <w:szCs w:val="15"/>
          <w:lang w:val="en-US"/>
        </w:rPr>
        <w:t>Senior Research Fellow EUISS. Brussels. 22 March 2017.</w:t>
      </w:r>
    </w:p>
  </w:footnote>
  <w:footnote w:id="14">
    <w:p w14:paraId="10FA869E" w14:textId="77777777" w:rsidR="008F6C64" w:rsidRPr="00744891" w:rsidRDefault="008F6C64">
      <w:pPr>
        <w:pStyle w:val="a5"/>
        <w:rPr>
          <w:rFonts w:ascii="Georgia" w:hAnsi="Georgia"/>
          <w:sz w:val="15"/>
          <w:szCs w:val="15"/>
        </w:rPr>
      </w:pPr>
      <w:r w:rsidRPr="00744891">
        <w:rPr>
          <w:rStyle w:val="a7"/>
          <w:rFonts w:ascii="Georgia" w:hAnsi="Georgia"/>
          <w:sz w:val="15"/>
          <w:szCs w:val="15"/>
        </w:rPr>
        <w:footnoteRef/>
      </w:r>
      <w:r w:rsidRPr="00744891">
        <w:rPr>
          <w:rFonts w:ascii="Georgia" w:hAnsi="Georgia"/>
          <w:sz w:val="15"/>
          <w:szCs w:val="15"/>
        </w:rPr>
        <w:t xml:space="preserve"> Author interview with </w:t>
      </w:r>
      <w:r w:rsidRPr="00744891">
        <w:rPr>
          <w:rFonts w:ascii="Georgia" w:hAnsi="Georgia" w:cs="Times New Roman"/>
          <w:kern w:val="0"/>
          <w:sz w:val="15"/>
          <w:szCs w:val="15"/>
          <w:lang w:val="en-US"/>
        </w:rPr>
        <w:t xml:space="preserve">ASEAN Desk Officer DG </w:t>
      </w:r>
      <w:proofErr w:type="spellStart"/>
      <w:r w:rsidRPr="00744891">
        <w:rPr>
          <w:rFonts w:ascii="Georgia" w:hAnsi="Georgia" w:cs="Times New Roman"/>
          <w:kern w:val="0"/>
          <w:sz w:val="15"/>
          <w:szCs w:val="15"/>
          <w:lang w:val="en-US"/>
        </w:rPr>
        <w:t>Devco</w:t>
      </w:r>
      <w:proofErr w:type="spellEnd"/>
      <w:r w:rsidRPr="00744891">
        <w:rPr>
          <w:rFonts w:ascii="Georgia" w:hAnsi="Georgia" w:cs="Times New Roman"/>
          <w:kern w:val="0"/>
          <w:sz w:val="15"/>
          <w:szCs w:val="15"/>
          <w:lang w:val="en-US"/>
        </w:rPr>
        <w:t>, European Commission. Brussels. 3 February 2017.</w:t>
      </w:r>
    </w:p>
  </w:footnote>
  <w:footnote w:id="15">
    <w:p w14:paraId="660F9741" w14:textId="77777777" w:rsidR="008F6C64" w:rsidRPr="0033247B" w:rsidRDefault="008F6C64">
      <w:pPr>
        <w:pStyle w:val="a5"/>
        <w:rPr>
          <w:rFonts w:ascii="Georgia" w:hAnsi="Georgia"/>
          <w:sz w:val="15"/>
          <w:szCs w:val="15"/>
        </w:rPr>
      </w:pPr>
      <w:r w:rsidRPr="0033247B">
        <w:rPr>
          <w:rStyle w:val="a7"/>
          <w:rFonts w:ascii="Georgia" w:hAnsi="Georgia"/>
          <w:sz w:val="15"/>
          <w:szCs w:val="15"/>
        </w:rPr>
        <w:footnoteRef/>
      </w:r>
      <w:r w:rsidRPr="0033247B">
        <w:rPr>
          <w:rFonts w:ascii="Georgia" w:hAnsi="Georgia"/>
          <w:sz w:val="15"/>
          <w:szCs w:val="15"/>
        </w:rPr>
        <w:t xml:space="preserve"> Author interview with </w:t>
      </w:r>
      <w:r w:rsidRPr="0033247B">
        <w:rPr>
          <w:rFonts w:ascii="Georgia" w:hAnsi="Georgia" w:cs="Times New Roman"/>
          <w:kern w:val="0"/>
          <w:sz w:val="15"/>
          <w:szCs w:val="15"/>
          <w:lang w:val="en-US"/>
        </w:rPr>
        <w:t>ASEAN Desk Officer EEAS. Brussels. 25 March 2017.</w:t>
      </w:r>
    </w:p>
  </w:footnote>
  <w:footnote w:id="16">
    <w:p w14:paraId="1F8043BF" w14:textId="5BBE3D74" w:rsidR="008F6C64" w:rsidRPr="009D4F97" w:rsidRDefault="008F6C64" w:rsidP="00DE02CF">
      <w:pPr>
        <w:rPr>
          <w:rFonts w:ascii="Times New Roman" w:hAnsi="Times New Roman" w:cs="Times New Roman"/>
          <w:color w:val="000000" w:themeColor="text1"/>
          <w:sz w:val="15"/>
          <w:szCs w:val="15"/>
        </w:rPr>
      </w:pPr>
      <w:r w:rsidRPr="009D4F97">
        <w:rPr>
          <w:rStyle w:val="a7"/>
          <w:rFonts w:ascii="Times New Roman" w:hAnsi="Times New Roman" w:cs="Times New Roman"/>
          <w:sz w:val="15"/>
          <w:szCs w:val="15"/>
        </w:rPr>
        <w:footnoteRef/>
      </w:r>
      <w:r w:rsidRPr="009D4F97">
        <w:rPr>
          <w:rFonts w:ascii="Times New Roman" w:hAnsi="Times New Roman" w:cs="Times New Roman"/>
          <w:sz w:val="15"/>
          <w:szCs w:val="15"/>
        </w:rPr>
        <w:t xml:space="preserve"> Details of the events under the ARISE Plus project can be found at the official website of ARISE Plus, retrieved on 18 December 2019(</w:t>
      </w:r>
      <w:hyperlink r:id="rId3" w:history="1">
        <w:r w:rsidRPr="009D4F97">
          <w:rPr>
            <w:rStyle w:val="a8"/>
            <w:rFonts w:ascii="Times New Roman" w:hAnsi="Times New Roman" w:cs="Times New Roman"/>
            <w:sz w:val="15"/>
            <w:szCs w:val="15"/>
          </w:rPr>
          <w:t>https://ariseplus.asean.org/events/</w:t>
        </w:r>
      </w:hyperlink>
      <w:r w:rsidRPr="009D4F97">
        <w:rPr>
          <w:rStyle w:val="a8"/>
          <w:rFonts w:ascii="Times New Roman" w:hAnsi="Times New Roman" w:cs="Times New Roman"/>
          <w:color w:val="000000" w:themeColor="text1"/>
          <w:sz w:val="15"/>
          <w:szCs w:val="15"/>
          <w:u w:val="none"/>
        </w:rPr>
        <w:t>).</w:t>
      </w:r>
    </w:p>
  </w:footnote>
  <w:footnote w:id="17">
    <w:p w14:paraId="16B3C6F0" w14:textId="16DFAA4C" w:rsidR="008F6C64" w:rsidRPr="009D4F97" w:rsidRDefault="008F6C64">
      <w:pPr>
        <w:pStyle w:val="a5"/>
        <w:rPr>
          <w:rFonts w:ascii="Times New Roman" w:hAnsi="Times New Roman" w:cs="Times New Roman"/>
          <w:sz w:val="15"/>
          <w:szCs w:val="15"/>
        </w:rPr>
      </w:pPr>
      <w:r w:rsidRPr="009D4F97">
        <w:rPr>
          <w:rStyle w:val="a7"/>
          <w:rFonts w:ascii="Times New Roman" w:hAnsi="Times New Roman" w:cs="Times New Roman"/>
          <w:sz w:val="15"/>
          <w:szCs w:val="15"/>
        </w:rPr>
        <w:footnoteRef/>
      </w:r>
      <w:r w:rsidRPr="009D4F97">
        <w:rPr>
          <w:rFonts w:ascii="Times New Roman" w:hAnsi="Times New Roman" w:cs="Times New Roman"/>
          <w:sz w:val="15"/>
          <w:szCs w:val="15"/>
        </w:rPr>
        <w:t xml:space="preserve"> Author interview with </w:t>
      </w:r>
      <w:r w:rsidRPr="009D4F97">
        <w:rPr>
          <w:rFonts w:ascii="Times New Roman" w:hAnsi="Times New Roman" w:cs="Times New Roman"/>
          <w:kern w:val="0"/>
          <w:sz w:val="15"/>
          <w:szCs w:val="15"/>
          <w:lang w:val="en-US"/>
        </w:rPr>
        <w:t>Senior Researcher at a Brussels-based research institution. Brussels. 9 April 2017; author interview with Senior Researcher at the ASEAN Studies Centre, ISEAS. Singapore.7 August 2017.</w:t>
      </w:r>
    </w:p>
  </w:footnote>
  <w:footnote w:id="18">
    <w:p w14:paraId="09E3A2C8" w14:textId="07339453" w:rsidR="008F6C64" w:rsidRPr="009D4F97" w:rsidRDefault="008F6C64">
      <w:pPr>
        <w:pStyle w:val="a5"/>
        <w:rPr>
          <w:rFonts w:ascii="Times New Roman" w:hAnsi="Times New Roman" w:cs="Times New Roman"/>
          <w:sz w:val="15"/>
          <w:szCs w:val="15"/>
        </w:rPr>
      </w:pPr>
      <w:r w:rsidRPr="009D4F97">
        <w:rPr>
          <w:rStyle w:val="a7"/>
          <w:rFonts w:ascii="Times New Roman" w:hAnsi="Times New Roman" w:cs="Times New Roman"/>
          <w:sz w:val="15"/>
          <w:szCs w:val="15"/>
        </w:rPr>
        <w:footnoteRef/>
      </w:r>
      <w:r w:rsidRPr="009D4F97">
        <w:rPr>
          <w:rFonts w:ascii="Times New Roman" w:hAnsi="Times New Roman" w:cs="Times New Roman"/>
          <w:sz w:val="15"/>
          <w:szCs w:val="15"/>
        </w:rPr>
        <w:t xml:space="preserve"> Author interview with</w:t>
      </w:r>
      <w:r w:rsidRPr="009D4F97">
        <w:rPr>
          <w:rFonts w:ascii="Times New Roman" w:hAnsi="Times New Roman" w:cs="Times New Roman"/>
          <w:kern w:val="0"/>
          <w:sz w:val="15"/>
          <w:szCs w:val="15"/>
          <w:lang w:val="en-US"/>
        </w:rPr>
        <w:t xml:space="preserve"> Senior Researcher at Brussels-based research institution. Brussels. 17 May 2017.</w:t>
      </w:r>
    </w:p>
  </w:footnote>
  <w:footnote w:id="19">
    <w:p w14:paraId="7CE891F8" w14:textId="77777777" w:rsidR="008F6C64" w:rsidRPr="009D4F97" w:rsidRDefault="008F6C64">
      <w:pPr>
        <w:pStyle w:val="a5"/>
        <w:rPr>
          <w:rFonts w:ascii="Times New Roman" w:hAnsi="Times New Roman" w:cs="Times New Roman"/>
          <w:sz w:val="15"/>
          <w:szCs w:val="15"/>
        </w:rPr>
      </w:pPr>
      <w:r w:rsidRPr="009D4F97">
        <w:rPr>
          <w:rStyle w:val="a7"/>
          <w:rFonts w:ascii="Times New Roman" w:hAnsi="Times New Roman" w:cs="Times New Roman"/>
          <w:sz w:val="15"/>
          <w:szCs w:val="15"/>
        </w:rPr>
        <w:footnoteRef/>
      </w:r>
      <w:r w:rsidRPr="009D4F97">
        <w:rPr>
          <w:rFonts w:ascii="Times New Roman" w:hAnsi="Times New Roman" w:cs="Times New Roman"/>
          <w:sz w:val="15"/>
          <w:szCs w:val="15"/>
        </w:rPr>
        <w:t xml:space="preserve"> Author interview with </w:t>
      </w:r>
      <w:r w:rsidRPr="009D4F97">
        <w:rPr>
          <w:rFonts w:ascii="Times New Roman" w:hAnsi="Times New Roman" w:cs="Times New Roman"/>
          <w:kern w:val="0"/>
          <w:sz w:val="15"/>
          <w:szCs w:val="15"/>
          <w:lang w:val="en-US"/>
        </w:rPr>
        <w:t>Former Secretary-General of ASEAN. Singapore. 24 August 2017.</w:t>
      </w:r>
    </w:p>
  </w:footnote>
  <w:footnote w:id="20">
    <w:p w14:paraId="0134C398" w14:textId="77777777" w:rsidR="008F6C64" w:rsidRPr="009D4F97" w:rsidRDefault="008F6C64">
      <w:pPr>
        <w:pStyle w:val="a5"/>
        <w:rPr>
          <w:rFonts w:ascii="Times New Roman" w:hAnsi="Times New Roman" w:cs="Times New Roman"/>
          <w:sz w:val="15"/>
          <w:szCs w:val="15"/>
        </w:rPr>
      </w:pPr>
      <w:r w:rsidRPr="009D4F97">
        <w:rPr>
          <w:rStyle w:val="a7"/>
          <w:rFonts w:ascii="Times New Roman" w:hAnsi="Times New Roman" w:cs="Times New Roman"/>
          <w:sz w:val="15"/>
          <w:szCs w:val="15"/>
        </w:rPr>
        <w:footnoteRef/>
      </w:r>
      <w:r w:rsidRPr="009D4F97">
        <w:rPr>
          <w:rFonts w:ascii="Times New Roman" w:hAnsi="Times New Roman" w:cs="Times New Roman"/>
          <w:sz w:val="15"/>
          <w:szCs w:val="15"/>
        </w:rPr>
        <w:t xml:space="preserve"> Author interview with </w:t>
      </w:r>
      <w:r w:rsidRPr="009D4F97">
        <w:rPr>
          <w:rFonts w:ascii="Times New Roman" w:hAnsi="Times New Roman" w:cs="Times New Roman"/>
          <w:kern w:val="0"/>
          <w:sz w:val="15"/>
          <w:szCs w:val="15"/>
          <w:lang w:val="en-US"/>
        </w:rPr>
        <w:t>a senior official from the Department of External Relations, ASEAN. Jakarta. 30 August 2017.</w:t>
      </w:r>
    </w:p>
  </w:footnote>
  <w:footnote w:id="21">
    <w:p w14:paraId="6040524B" w14:textId="77777777" w:rsidR="008F6C64" w:rsidRPr="004240CC" w:rsidRDefault="008F6C64">
      <w:pPr>
        <w:pStyle w:val="a5"/>
        <w:rPr>
          <w:rFonts w:ascii="Times New Roman" w:hAnsi="Times New Roman" w:cs="Times New Roman"/>
          <w:sz w:val="15"/>
          <w:szCs w:val="15"/>
        </w:rPr>
      </w:pPr>
      <w:r w:rsidRPr="004240CC">
        <w:rPr>
          <w:rStyle w:val="a7"/>
          <w:rFonts w:ascii="Times New Roman" w:hAnsi="Times New Roman" w:cs="Times New Roman"/>
          <w:sz w:val="15"/>
          <w:szCs w:val="15"/>
        </w:rPr>
        <w:footnoteRef/>
      </w:r>
      <w:r w:rsidRPr="004240CC">
        <w:rPr>
          <w:rFonts w:ascii="Times New Roman" w:hAnsi="Times New Roman" w:cs="Times New Roman"/>
          <w:sz w:val="15"/>
          <w:szCs w:val="15"/>
        </w:rPr>
        <w:t xml:space="preserve"> Author interview with a former ASEAN official. </w:t>
      </w:r>
      <w:r w:rsidRPr="004240CC">
        <w:rPr>
          <w:rFonts w:ascii="Times New Roman" w:hAnsi="Times New Roman" w:cs="Times New Roman"/>
          <w:kern w:val="0"/>
          <w:sz w:val="15"/>
          <w:szCs w:val="15"/>
          <w:lang w:val="en-US"/>
        </w:rPr>
        <w:t>Singapore.7 August 2017.</w:t>
      </w:r>
    </w:p>
  </w:footnote>
  <w:footnote w:id="22">
    <w:p w14:paraId="1EA1EA4E" w14:textId="77777777" w:rsidR="008F6C64" w:rsidRPr="004240CC" w:rsidRDefault="008F6C64">
      <w:pPr>
        <w:pStyle w:val="a5"/>
        <w:rPr>
          <w:rFonts w:ascii="Times New Roman" w:hAnsi="Times New Roman" w:cs="Times New Roman"/>
          <w:sz w:val="15"/>
          <w:szCs w:val="15"/>
        </w:rPr>
      </w:pPr>
      <w:r w:rsidRPr="004240CC">
        <w:rPr>
          <w:rStyle w:val="a7"/>
          <w:rFonts w:ascii="Times New Roman" w:hAnsi="Times New Roman" w:cs="Times New Roman"/>
          <w:sz w:val="15"/>
          <w:szCs w:val="15"/>
        </w:rPr>
        <w:footnoteRef/>
      </w:r>
      <w:r w:rsidRPr="004240CC">
        <w:rPr>
          <w:rFonts w:ascii="Times New Roman" w:hAnsi="Times New Roman" w:cs="Times New Roman"/>
          <w:sz w:val="15"/>
          <w:szCs w:val="15"/>
        </w:rPr>
        <w:t xml:space="preserve"> Author interview with </w:t>
      </w:r>
      <w:r w:rsidRPr="004240CC">
        <w:rPr>
          <w:rFonts w:ascii="Times New Roman" w:hAnsi="Times New Roman" w:cs="Times New Roman"/>
          <w:kern w:val="0"/>
          <w:sz w:val="15"/>
          <w:szCs w:val="15"/>
          <w:lang w:val="en-US"/>
        </w:rPr>
        <w:t>a senior official from the Department of External Relations, ASEAN. Jakarta. 30 August 2017.</w:t>
      </w:r>
    </w:p>
  </w:footnote>
  <w:footnote w:id="23">
    <w:p w14:paraId="44A67639" w14:textId="77777777" w:rsidR="008F6C64" w:rsidRPr="004240CC" w:rsidRDefault="008F6C64">
      <w:pPr>
        <w:pStyle w:val="a5"/>
        <w:rPr>
          <w:rFonts w:ascii="Times New Roman" w:hAnsi="Times New Roman" w:cs="Times New Roman"/>
          <w:sz w:val="15"/>
          <w:szCs w:val="15"/>
        </w:rPr>
      </w:pPr>
      <w:r w:rsidRPr="004240CC">
        <w:rPr>
          <w:rStyle w:val="a7"/>
          <w:rFonts w:ascii="Times New Roman" w:hAnsi="Times New Roman" w:cs="Times New Roman"/>
          <w:sz w:val="15"/>
          <w:szCs w:val="15"/>
        </w:rPr>
        <w:footnoteRef/>
      </w:r>
      <w:r w:rsidRPr="004240CC">
        <w:rPr>
          <w:rFonts w:ascii="Times New Roman" w:hAnsi="Times New Roman" w:cs="Times New Roman"/>
          <w:sz w:val="15"/>
          <w:szCs w:val="15"/>
        </w:rPr>
        <w:t xml:space="preserve"> Author interview with </w:t>
      </w:r>
      <w:r w:rsidRPr="004240CC">
        <w:rPr>
          <w:rFonts w:ascii="Times New Roman" w:hAnsi="Times New Roman" w:cs="Times New Roman"/>
          <w:kern w:val="0"/>
          <w:sz w:val="15"/>
          <w:szCs w:val="15"/>
          <w:lang w:val="en-US"/>
        </w:rPr>
        <w:t>Director for Community Affairs, ASEAN. Jakarta. 29 August 2017.</w:t>
      </w:r>
    </w:p>
  </w:footnote>
  <w:footnote w:id="24">
    <w:p w14:paraId="411231EA" w14:textId="77777777" w:rsidR="008F6C64" w:rsidRPr="009A7A17" w:rsidRDefault="008F6C64">
      <w:pPr>
        <w:pStyle w:val="a5"/>
        <w:rPr>
          <w:rFonts w:ascii="Times New Roman" w:hAnsi="Times New Roman" w:cs="Times New Roman"/>
        </w:rPr>
      </w:pPr>
      <w:r w:rsidRPr="009A7A17">
        <w:rPr>
          <w:rStyle w:val="a7"/>
          <w:rFonts w:ascii="Times New Roman" w:hAnsi="Times New Roman" w:cs="Times New Roman"/>
          <w:sz w:val="15"/>
          <w:szCs w:val="15"/>
        </w:rPr>
        <w:footnoteRef/>
      </w:r>
      <w:r w:rsidRPr="009A7A17">
        <w:rPr>
          <w:rFonts w:ascii="Times New Roman" w:hAnsi="Times New Roman" w:cs="Times New Roman"/>
          <w:sz w:val="15"/>
          <w:szCs w:val="15"/>
        </w:rPr>
        <w:t xml:space="preserve"> Author interview with </w:t>
      </w:r>
      <w:r w:rsidRPr="009A7A17">
        <w:rPr>
          <w:rFonts w:ascii="Times New Roman" w:hAnsi="Times New Roman" w:cs="Times New Roman"/>
          <w:kern w:val="0"/>
          <w:sz w:val="15"/>
          <w:szCs w:val="15"/>
          <w:lang w:val="en-US"/>
        </w:rPr>
        <w:t>a senior official from the Department of External Relations, ASEAN. Jakarta. 30 August 2017.</w:t>
      </w:r>
    </w:p>
  </w:footnote>
  <w:footnote w:id="25">
    <w:p w14:paraId="7211A33D" w14:textId="1DC6328E" w:rsidR="008F6C64" w:rsidRPr="009A7A17" w:rsidRDefault="008F6C64">
      <w:pPr>
        <w:pStyle w:val="a5"/>
        <w:rPr>
          <w:rFonts w:ascii="Times New Roman" w:hAnsi="Times New Roman" w:cs="Times New Roman"/>
          <w:sz w:val="15"/>
          <w:szCs w:val="15"/>
        </w:rPr>
      </w:pPr>
      <w:r w:rsidRPr="009A7A17">
        <w:rPr>
          <w:rStyle w:val="a7"/>
          <w:rFonts w:ascii="Times New Roman" w:hAnsi="Times New Roman" w:cs="Times New Roman"/>
          <w:sz w:val="15"/>
          <w:szCs w:val="15"/>
        </w:rPr>
        <w:footnoteRef/>
      </w:r>
      <w:r w:rsidRPr="009A7A17">
        <w:rPr>
          <w:rFonts w:ascii="Times New Roman" w:hAnsi="Times New Roman" w:cs="Times New Roman"/>
          <w:sz w:val="15"/>
          <w:szCs w:val="15"/>
        </w:rPr>
        <w:t xml:space="preserve"> ARISE Plus, “Projects” retrieved on 18 December 2019(</w:t>
      </w:r>
      <w:hyperlink r:id="rId4" w:history="1">
        <w:r w:rsidRPr="009A7A17">
          <w:rPr>
            <w:rStyle w:val="a8"/>
            <w:rFonts w:ascii="Times New Roman" w:hAnsi="Times New Roman" w:cs="Times New Roman"/>
            <w:sz w:val="15"/>
            <w:szCs w:val="15"/>
          </w:rPr>
          <w:t>http://ariseplus.asean.org/projects/</w:t>
        </w:r>
      </w:hyperlink>
      <w:r w:rsidRPr="009A7A17">
        <w:rPr>
          <w:rStyle w:val="a8"/>
          <w:rFonts w:ascii="Times New Roman" w:hAnsi="Times New Roman" w:cs="Times New Roman"/>
          <w:color w:val="000000" w:themeColor="text1"/>
          <w:sz w:val="15"/>
          <w:szCs w:val="15"/>
          <w:u w:val="none"/>
        </w:rPr>
        <w:t>).</w:t>
      </w:r>
    </w:p>
  </w:footnote>
  <w:footnote w:id="26">
    <w:p w14:paraId="110B12F4" w14:textId="4E036611" w:rsidR="008F6C64" w:rsidRPr="009A7A17" w:rsidRDefault="008F6C64">
      <w:pPr>
        <w:pStyle w:val="a5"/>
        <w:rPr>
          <w:rFonts w:ascii="Times New Roman" w:hAnsi="Times New Roman" w:cs="Times New Roman"/>
          <w:sz w:val="15"/>
          <w:szCs w:val="15"/>
        </w:rPr>
      </w:pPr>
      <w:r w:rsidRPr="009A7A17">
        <w:rPr>
          <w:rStyle w:val="a7"/>
          <w:rFonts w:ascii="Times New Roman" w:hAnsi="Times New Roman" w:cs="Times New Roman"/>
          <w:sz w:val="15"/>
          <w:szCs w:val="15"/>
        </w:rPr>
        <w:footnoteRef/>
      </w:r>
      <w:r w:rsidRPr="009A7A17">
        <w:rPr>
          <w:rFonts w:ascii="Times New Roman" w:hAnsi="Times New Roman" w:cs="Times New Roman"/>
          <w:sz w:val="15"/>
          <w:szCs w:val="15"/>
        </w:rPr>
        <w:t xml:space="preserve"> </w:t>
      </w:r>
      <w:r w:rsidRPr="009A7A17">
        <w:rPr>
          <w:rFonts w:ascii="Times New Roman" w:hAnsi="Times New Roman" w:cs="Times New Roman"/>
          <w:sz w:val="15"/>
          <w:szCs w:val="15"/>
          <w:lang w:val="en-US"/>
        </w:rPr>
        <w:t xml:space="preserve">Author interview with </w:t>
      </w:r>
      <w:r w:rsidRPr="009A7A17">
        <w:rPr>
          <w:rFonts w:ascii="Times New Roman" w:hAnsi="Times New Roman" w:cs="Times New Roman"/>
          <w:sz w:val="15"/>
          <w:szCs w:val="15"/>
        </w:rPr>
        <w:t xml:space="preserve">Author interview with </w:t>
      </w:r>
      <w:r w:rsidRPr="009A7A17">
        <w:rPr>
          <w:rFonts w:ascii="Times New Roman" w:hAnsi="Times New Roman" w:cs="Times New Roman"/>
          <w:kern w:val="0"/>
          <w:sz w:val="15"/>
          <w:szCs w:val="15"/>
          <w:lang w:val="en-US"/>
        </w:rPr>
        <w:t>a senior official from the Department of External Relations, ASEAN. Jakarta. 30 August 2017.</w:t>
      </w:r>
    </w:p>
  </w:footnote>
  <w:footnote w:id="27">
    <w:p w14:paraId="70E2C56C" w14:textId="77777777" w:rsidR="008F6C64" w:rsidRPr="009A7A17" w:rsidRDefault="008F6C64">
      <w:pPr>
        <w:pStyle w:val="a5"/>
        <w:rPr>
          <w:rFonts w:ascii="Times New Roman" w:hAnsi="Times New Roman" w:cs="Times New Roman"/>
          <w:sz w:val="15"/>
          <w:szCs w:val="15"/>
        </w:rPr>
      </w:pPr>
      <w:r w:rsidRPr="009A7A17">
        <w:rPr>
          <w:rStyle w:val="a7"/>
          <w:rFonts w:ascii="Times New Roman" w:hAnsi="Times New Roman" w:cs="Times New Roman"/>
          <w:sz w:val="15"/>
          <w:szCs w:val="15"/>
        </w:rPr>
        <w:footnoteRef/>
      </w:r>
      <w:r w:rsidRPr="009A7A17">
        <w:rPr>
          <w:rFonts w:ascii="Times New Roman" w:hAnsi="Times New Roman" w:cs="Times New Roman"/>
          <w:sz w:val="15"/>
          <w:szCs w:val="15"/>
        </w:rPr>
        <w:t xml:space="preserve"> Author interview with a former ASEAN official. </w:t>
      </w:r>
      <w:r w:rsidRPr="009A7A17">
        <w:rPr>
          <w:rFonts w:ascii="Times New Roman" w:hAnsi="Times New Roman" w:cs="Times New Roman"/>
          <w:kern w:val="0"/>
          <w:sz w:val="15"/>
          <w:szCs w:val="15"/>
          <w:lang w:val="en-US"/>
        </w:rPr>
        <w:t>Singapore.7 August 2017.</w:t>
      </w:r>
    </w:p>
  </w:footnote>
  <w:footnote w:id="28">
    <w:p w14:paraId="46BCB592" w14:textId="77777777" w:rsidR="008F6C64" w:rsidRPr="009A7A17" w:rsidRDefault="008F6C64">
      <w:pPr>
        <w:pStyle w:val="a5"/>
        <w:rPr>
          <w:rFonts w:ascii="Times New Roman" w:hAnsi="Times New Roman" w:cs="Times New Roman"/>
          <w:sz w:val="15"/>
          <w:szCs w:val="15"/>
          <w:lang w:val="en-US"/>
        </w:rPr>
      </w:pPr>
      <w:r w:rsidRPr="009A7A17">
        <w:rPr>
          <w:rStyle w:val="a7"/>
          <w:rFonts w:ascii="Times New Roman" w:hAnsi="Times New Roman" w:cs="Times New Roman"/>
          <w:sz w:val="15"/>
          <w:szCs w:val="15"/>
        </w:rPr>
        <w:footnoteRef/>
      </w:r>
      <w:r w:rsidRPr="009A7A17">
        <w:rPr>
          <w:rFonts w:ascii="Times New Roman" w:hAnsi="Times New Roman" w:cs="Times New Roman"/>
          <w:sz w:val="15"/>
          <w:szCs w:val="15"/>
        </w:rPr>
        <w:t xml:space="preserve"> Author interview </w:t>
      </w:r>
      <w:r w:rsidRPr="009A7A17">
        <w:rPr>
          <w:rFonts w:ascii="Times New Roman" w:hAnsi="Times New Roman" w:cs="Times New Roman"/>
          <w:kern w:val="0"/>
          <w:sz w:val="15"/>
          <w:szCs w:val="15"/>
          <w:lang w:val="en-US"/>
        </w:rPr>
        <w:t>Senior Researcher at the ASEAN Studies Centre, ISEAS. Singapore.7 August 2017.</w:t>
      </w:r>
    </w:p>
  </w:footnote>
  <w:footnote w:id="29">
    <w:p w14:paraId="508E8D43" w14:textId="77777777" w:rsidR="008F6C64" w:rsidRPr="009A7A17" w:rsidRDefault="008F6C64">
      <w:pPr>
        <w:pStyle w:val="a5"/>
        <w:rPr>
          <w:rFonts w:ascii="Times New Roman" w:hAnsi="Times New Roman" w:cs="Times New Roman"/>
          <w:sz w:val="15"/>
          <w:szCs w:val="15"/>
        </w:rPr>
      </w:pPr>
      <w:r w:rsidRPr="009A7A17">
        <w:rPr>
          <w:rStyle w:val="a7"/>
          <w:rFonts w:ascii="Times New Roman" w:hAnsi="Times New Roman" w:cs="Times New Roman"/>
          <w:sz w:val="15"/>
          <w:szCs w:val="15"/>
        </w:rPr>
        <w:footnoteRef/>
      </w:r>
      <w:r w:rsidRPr="009A7A17">
        <w:rPr>
          <w:rFonts w:ascii="Times New Roman" w:hAnsi="Times New Roman" w:cs="Times New Roman"/>
          <w:sz w:val="15"/>
          <w:szCs w:val="15"/>
        </w:rPr>
        <w:t xml:space="preserve"> Author interview with </w:t>
      </w:r>
      <w:r w:rsidRPr="009A7A17">
        <w:rPr>
          <w:rFonts w:ascii="Times New Roman" w:hAnsi="Times New Roman" w:cs="Times New Roman"/>
          <w:kern w:val="0"/>
          <w:sz w:val="15"/>
          <w:szCs w:val="15"/>
          <w:lang w:val="en-US"/>
        </w:rPr>
        <w:t>Former Secretary-General of ASEAN. Singapore. 24 August 2017.</w:t>
      </w:r>
    </w:p>
  </w:footnote>
  <w:footnote w:id="30">
    <w:p w14:paraId="07CE1A69" w14:textId="77777777" w:rsidR="008F6C64" w:rsidRPr="00002390" w:rsidRDefault="008F6C64" w:rsidP="00475CE6">
      <w:pPr>
        <w:pStyle w:val="a5"/>
        <w:rPr>
          <w:rFonts w:ascii="Times New Roman" w:hAnsi="Times New Roman" w:cs="Times New Roman"/>
          <w:sz w:val="15"/>
          <w:szCs w:val="15"/>
        </w:rPr>
      </w:pPr>
      <w:r w:rsidRPr="00002390">
        <w:rPr>
          <w:rStyle w:val="a7"/>
          <w:rFonts w:ascii="Times New Roman" w:hAnsi="Times New Roman" w:cs="Times New Roman"/>
          <w:sz w:val="15"/>
          <w:szCs w:val="15"/>
        </w:rPr>
        <w:footnoteRef/>
      </w:r>
      <w:r w:rsidRPr="00002390">
        <w:rPr>
          <w:rFonts w:ascii="Times New Roman" w:hAnsi="Times New Roman" w:cs="Times New Roman"/>
          <w:sz w:val="15"/>
          <w:szCs w:val="15"/>
        </w:rPr>
        <w:t xml:space="preserve"> </w:t>
      </w:r>
      <w:r w:rsidRPr="00002390">
        <w:rPr>
          <w:rFonts w:ascii="Times New Roman" w:hAnsi="Times New Roman" w:cs="Times New Roman"/>
          <w:sz w:val="15"/>
          <w:szCs w:val="15"/>
          <w:lang w:val="en-US"/>
        </w:rPr>
        <w:t xml:space="preserve">Author interview with </w:t>
      </w:r>
      <w:r w:rsidRPr="00002390">
        <w:rPr>
          <w:rFonts w:ascii="Times New Roman" w:hAnsi="Times New Roman" w:cs="Times New Roman"/>
          <w:sz w:val="15"/>
          <w:szCs w:val="15"/>
        </w:rPr>
        <w:t xml:space="preserve">Author interview with </w:t>
      </w:r>
      <w:r w:rsidRPr="00002390">
        <w:rPr>
          <w:rFonts w:ascii="Times New Roman" w:hAnsi="Times New Roman" w:cs="Times New Roman"/>
          <w:kern w:val="0"/>
          <w:sz w:val="15"/>
          <w:szCs w:val="15"/>
          <w:lang w:val="en-US"/>
        </w:rPr>
        <w:t>a senior official from the Department of External Relations, ASEAN. Jakarta. 30 August 2017.</w:t>
      </w:r>
    </w:p>
    <w:p w14:paraId="08D7E42C" w14:textId="77777777" w:rsidR="008F6C64" w:rsidRPr="00475CE6" w:rsidRDefault="008F6C64">
      <w:pPr>
        <w:pStyle w:val="a5"/>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5F189E"/>
    <w:multiLevelType w:val="hybridMultilevel"/>
    <w:tmpl w:val="00C290E4"/>
    <w:lvl w:ilvl="0" w:tplc="BAB66C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675C9B"/>
    <w:multiLevelType w:val="hybridMultilevel"/>
    <w:tmpl w:val="56C41290"/>
    <w:lvl w:ilvl="0" w:tplc="8042E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4A1B13"/>
    <w:multiLevelType w:val="hybridMultilevel"/>
    <w:tmpl w:val="DB84EC44"/>
    <w:lvl w:ilvl="0" w:tplc="128AB7BA">
      <w:start w:val="1"/>
      <w:numFmt w:val="bullet"/>
      <w:lvlText w:val="-"/>
      <w:lvlJc w:val="left"/>
      <w:pPr>
        <w:ind w:left="360" w:hanging="360"/>
      </w:pPr>
      <w:rPr>
        <w:rFonts w:ascii="Georgia" w:eastAsiaTheme="minorEastAsia" w:hAnsi="Georgia"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D1E2D78"/>
    <w:multiLevelType w:val="hybridMultilevel"/>
    <w:tmpl w:val="F2BA8FAC"/>
    <w:lvl w:ilvl="0" w:tplc="145EC890">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0C6369"/>
    <w:multiLevelType w:val="hybridMultilevel"/>
    <w:tmpl w:val="58FE81A4"/>
    <w:lvl w:ilvl="0" w:tplc="32F8D6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F172E1"/>
    <w:multiLevelType w:val="hybridMultilevel"/>
    <w:tmpl w:val="C0A4F8AC"/>
    <w:lvl w:ilvl="0" w:tplc="D95EA9DC">
      <w:start w:val="2"/>
      <w:numFmt w:val="bullet"/>
      <w:lvlText w:val=""/>
      <w:lvlJc w:val="left"/>
      <w:pPr>
        <w:ind w:left="420" w:hanging="420"/>
      </w:pPr>
      <w:rPr>
        <w:rFonts w:ascii="Symbol" w:eastAsia="宋体" w:hAnsi="Symbol" w:cs="Times New Roman" w:hint="default"/>
        <w:color w:val="auto"/>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6" w15:restartNumberingAfterBreak="0">
    <w:nsid w:val="74A95320"/>
    <w:multiLevelType w:val="hybridMultilevel"/>
    <w:tmpl w:val="3294C10A"/>
    <w:lvl w:ilvl="0" w:tplc="773E1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0B"/>
    <w:rsid w:val="00002390"/>
    <w:rsid w:val="000035D2"/>
    <w:rsid w:val="00012B93"/>
    <w:rsid w:val="000158EB"/>
    <w:rsid w:val="00015C52"/>
    <w:rsid w:val="0003197C"/>
    <w:rsid w:val="00032720"/>
    <w:rsid w:val="00032795"/>
    <w:rsid w:val="00035DE5"/>
    <w:rsid w:val="00050BD5"/>
    <w:rsid w:val="00051740"/>
    <w:rsid w:val="00056A1C"/>
    <w:rsid w:val="00062D73"/>
    <w:rsid w:val="00063408"/>
    <w:rsid w:val="00067B2B"/>
    <w:rsid w:val="00071691"/>
    <w:rsid w:val="000727FA"/>
    <w:rsid w:val="0007645F"/>
    <w:rsid w:val="00076ED3"/>
    <w:rsid w:val="00085E61"/>
    <w:rsid w:val="00087505"/>
    <w:rsid w:val="00094FF6"/>
    <w:rsid w:val="0009546A"/>
    <w:rsid w:val="0009587F"/>
    <w:rsid w:val="000963DB"/>
    <w:rsid w:val="000A64EE"/>
    <w:rsid w:val="000B45B7"/>
    <w:rsid w:val="000B4B13"/>
    <w:rsid w:val="000C4231"/>
    <w:rsid w:val="000D49BD"/>
    <w:rsid w:val="000D4AF5"/>
    <w:rsid w:val="000E262D"/>
    <w:rsid w:val="000E38EC"/>
    <w:rsid w:val="000E5517"/>
    <w:rsid w:val="000E6975"/>
    <w:rsid w:val="000E6B60"/>
    <w:rsid w:val="000E7641"/>
    <w:rsid w:val="000F1502"/>
    <w:rsid w:val="000F1E07"/>
    <w:rsid w:val="000F21D6"/>
    <w:rsid w:val="000F28EB"/>
    <w:rsid w:val="000F3A67"/>
    <w:rsid w:val="0010406B"/>
    <w:rsid w:val="00104EB2"/>
    <w:rsid w:val="00107334"/>
    <w:rsid w:val="00114F33"/>
    <w:rsid w:val="00120263"/>
    <w:rsid w:val="00120642"/>
    <w:rsid w:val="00121328"/>
    <w:rsid w:val="001236E5"/>
    <w:rsid w:val="00124D62"/>
    <w:rsid w:val="0012574C"/>
    <w:rsid w:val="00125A36"/>
    <w:rsid w:val="00125BBB"/>
    <w:rsid w:val="00125CDF"/>
    <w:rsid w:val="00126C04"/>
    <w:rsid w:val="00133ACF"/>
    <w:rsid w:val="00133C30"/>
    <w:rsid w:val="00136D74"/>
    <w:rsid w:val="00137B70"/>
    <w:rsid w:val="001439A5"/>
    <w:rsid w:val="00143E38"/>
    <w:rsid w:val="001442AB"/>
    <w:rsid w:val="00146BDB"/>
    <w:rsid w:val="001567CA"/>
    <w:rsid w:val="00157DFB"/>
    <w:rsid w:val="0016776F"/>
    <w:rsid w:val="001679BD"/>
    <w:rsid w:val="001703D2"/>
    <w:rsid w:val="0017055A"/>
    <w:rsid w:val="00183D47"/>
    <w:rsid w:val="00191368"/>
    <w:rsid w:val="00192ABF"/>
    <w:rsid w:val="00193A15"/>
    <w:rsid w:val="001A2D83"/>
    <w:rsid w:val="001A317B"/>
    <w:rsid w:val="001A633A"/>
    <w:rsid w:val="001A68F6"/>
    <w:rsid w:val="001B132B"/>
    <w:rsid w:val="001B16DC"/>
    <w:rsid w:val="001B2FC4"/>
    <w:rsid w:val="001B66A5"/>
    <w:rsid w:val="001C413F"/>
    <w:rsid w:val="001C4F0D"/>
    <w:rsid w:val="001C53F6"/>
    <w:rsid w:val="001C5425"/>
    <w:rsid w:val="001C7C21"/>
    <w:rsid w:val="001D7E66"/>
    <w:rsid w:val="001E1182"/>
    <w:rsid w:val="001E2471"/>
    <w:rsid w:val="001E2613"/>
    <w:rsid w:val="001E3030"/>
    <w:rsid w:val="001E49D3"/>
    <w:rsid w:val="001F40FA"/>
    <w:rsid w:val="001F4FBC"/>
    <w:rsid w:val="002011D0"/>
    <w:rsid w:val="002061A4"/>
    <w:rsid w:val="00207B4D"/>
    <w:rsid w:val="0021188F"/>
    <w:rsid w:val="00213D7C"/>
    <w:rsid w:val="00216FC0"/>
    <w:rsid w:val="00220F04"/>
    <w:rsid w:val="002220CF"/>
    <w:rsid w:val="00222CEB"/>
    <w:rsid w:val="00223A04"/>
    <w:rsid w:val="00223AB3"/>
    <w:rsid w:val="00224051"/>
    <w:rsid w:val="00224562"/>
    <w:rsid w:val="00225BC4"/>
    <w:rsid w:val="00226565"/>
    <w:rsid w:val="0023062B"/>
    <w:rsid w:val="00237B07"/>
    <w:rsid w:val="00242655"/>
    <w:rsid w:val="002440D2"/>
    <w:rsid w:val="0024560D"/>
    <w:rsid w:val="002503C2"/>
    <w:rsid w:val="002525DF"/>
    <w:rsid w:val="00252C63"/>
    <w:rsid w:val="00254259"/>
    <w:rsid w:val="002555AA"/>
    <w:rsid w:val="0026094D"/>
    <w:rsid w:val="00260E7C"/>
    <w:rsid w:val="002613D7"/>
    <w:rsid w:val="00263A0E"/>
    <w:rsid w:val="00264F36"/>
    <w:rsid w:val="00265039"/>
    <w:rsid w:val="00270376"/>
    <w:rsid w:val="0027111A"/>
    <w:rsid w:val="00273E18"/>
    <w:rsid w:val="00275CEC"/>
    <w:rsid w:val="00282A06"/>
    <w:rsid w:val="002857A5"/>
    <w:rsid w:val="00286232"/>
    <w:rsid w:val="0028679F"/>
    <w:rsid w:val="00286DC9"/>
    <w:rsid w:val="00293E5D"/>
    <w:rsid w:val="00293E85"/>
    <w:rsid w:val="00295B4C"/>
    <w:rsid w:val="00296E7E"/>
    <w:rsid w:val="00297245"/>
    <w:rsid w:val="00297894"/>
    <w:rsid w:val="002A118D"/>
    <w:rsid w:val="002A211F"/>
    <w:rsid w:val="002A27DE"/>
    <w:rsid w:val="002A290D"/>
    <w:rsid w:val="002A53BA"/>
    <w:rsid w:val="002B05F9"/>
    <w:rsid w:val="002B0615"/>
    <w:rsid w:val="002B0647"/>
    <w:rsid w:val="002B115C"/>
    <w:rsid w:val="002B2D3F"/>
    <w:rsid w:val="002C06BE"/>
    <w:rsid w:val="002C0F45"/>
    <w:rsid w:val="002C1222"/>
    <w:rsid w:val="002C151F"/>
    <w:rsid w:val="002C19E0"/>
    <w:rsid w:val="002C3F10"/>
    <w:rsid w:val="002C5729"/>
    <w:rsid w:val="002C7A74"/>
    <w:rsid w:val="002D1E06"/>
    <w:rsid w:val="002D2C44"/>
    <w:rsid w:val="002D3F1A"/>
    <w:rsid w:val="002E2347"/>
    <w:rsid w:val="002E24A5"/>
    <w:rsid w:val="002E38B8"/>
    <w:rsid w:val="002E4032"/>
    <w:rsid w:val="002E4DE3"/>
    <w:rsid w:val="002F1969"/>
    <w:rsid w:val="002F1A35"/>
    <w:rsid w:val="002F2C88"/>
    <w:rsid w:val="003001AA"/>
    <w:rsid w:val="00301731"/>
    <w:rsid w:val="00303FF4"/>
    <w:rsid w:val="00304CFC"/>
    <w:rsid w:val="00306D15"/>
    <w:rsid w:val="0030780A"/>
    <w:rsid w:val="00312563"/>
    <w:rsid w:val="003125FC"/>
    <w:rsid w:val="00314022"/>
    <w:rsid w:val="00314AE1"/>
    <w:rsid w:val="00316D29"/>
    <w:rsid w:val="0032099F"/>
    <w:rsid w:val="00321A54"/>
    <w:rsid w:val="00323017"/>
    <w:rsid w:val="00323261"/>
    <w:rsid w:val="00323766"/>
    <w:rsid w:val="003279E9"/>
    <w:rsid w:val="00330022"/>
    <w:rsid w:val="00331149"/>
    <w:rsid w:val="003322FE"/>
    <w:rsid w:val="0033247B"/>
    <w:rsid w:val="00340187"/>
    <w:rsid w:val="00343503"/>
    <w:rsid w:val="003437A6"/>
    <w:rsid w:val="00344966"/>
    <w:rsid w:val="00345102"/>
    <w:rsid w:val="00352576"/>
    <w:rsid w:val="003529A2"/>
    <w:rsid w:val="00353492"/>
    <w:rsid w:val="00353BF0"/>
    <w:rsid w:val="00360BF2"/>
    <w:rsid w:val="00361A0F"/>
    <w:rsid w:val="0036371D"/>
    <w:rsid w:val="003709CE"/>
    <w:rsid w:val="00372B91"/>
    <w:rsid w:val="0037561A"/>
    <w:rsid w:val="003770A7"/>
    <w:rsid w:val="003811A7"/>
    <w:rsid w:val="00382956"/>
    <w:rsid w:val="00382FBC"/>
    <w:rsid w:val="003918FA"/>
    <w:rsid w:val="003928E7"/>
    <w:rsid w:val="003941A3"/>
    <w:rsid w:val="003965C1"/>
    <w:rsid w:val="003A04D8"/>
    <w:rsid w:val="003A0705"/>
    <w:rsid w:val="003A4E50"/>
    <w:rsid w:val="003B1AE4"/>
    <w:rsid w:val="003B300B"/>
    <w:rsid w:val="003B6371"/>
    <w:rsid w:val="003B6426"/>
    <w:rsid w:val="003C2A67"/>
    <w:rsid w:val="003C2F2F"/>
    <w:rsid w:val="003D155A"/>
    <w:rsid w:val="003D3E3C"/>
    <w:rsid w:val="003D5258"/>
    <w:rsid w:val="003D5B97"/>
    <w:rsid w:val="003D739E"/>
    <w:rsid w:val="003E1479"/>
    <w:rsid w:val="003E5646"/>
    <w:rsid w:val="003E6CB8"/>
    <w:rsid w:val="003F1D89"/>
    <w:rsid w:val="003F23C3"/>
    <w:rsid w:val="003F5548"/>
    <w:rsid w:val="003F7E6E"/>
    <w:rsid w:val="00401B04"/>
    <w:rsid w:val="00402279"/>
    <w:rsid w:val="00402922"/>
    <w:rsid w:val="00403FFF"/>
    <w:rsid w:val="00405F6F"/>
    <w:rsid w:val="004131A0"/>
    <w:rsid w:val="00415878"/>
    <w:rsid w:val="004240CC"/>
    <w:rsid w:val="00427CD8"/>
    <w:rsid w:val="004322FB"/>
    <w:rsid w:val="00436115"/>
    <w:rsid w:val="0043649C"/>
    <w:rsid w:val="00441376"/>
    <w:rsid w:val="00446CFF"/>
    <w:rsid w:val="0044754A"/>
    <w:rsid w:val="00450BC0"/>
    <w:rsid w:val="00455145"/>
    <w:rsid w:val="0045652B"/>
    <w:rsid w:val="00457232"/>
    <w:rsid w:val="00462EF7"/>
    <w:rsid w:val="0046631C"/>
    <w:rsid w:val="00467879"/>
    <w:rsid w:val="004679D9"/>
    <w:rsid w:val="004723FB"/>
    <w:rsid w:val="0047463F"/>
    <w:rsid w:val="004751B8"/>
    <w:rsid w:val="00475CE6"/>
    <w:rsid w:val="00476A66"/>
    <w:rsid w:val="0048649C"/>
    <w:rsid w:val="00486577"/>
    <w:rsid w:val="00486A1F"/>
    <w:rsid w:val="00491A19"/>
    <w:rsid w:val="00493D50"/>
    <w:rsid w:val="004A0EDA"/>
    <w:rsid w:val="004A4DF8"/>
    <w:rsid w:val="004A54A9"/>
    <w:rsid w:val="004A6C52"/>
    <w:rsid w:val="004A788E"/>
    <w:rsid w:val="004B164A"/>
    <w:rsid w:val="004B2604"/>
    <w:rsid w:val="004C18F2"/>
    <w:rsid w:val="004C1A4F"/>
    <w:rsid w:val="004C23C1"/>
    <w:rsid w:val="004C7291"/>
    <w:rsid w:val="004C7C3C"/>
    <w:rsid w:val="004D334B"/>
    <w:rsid w:val="004D79FE"/>
    <w:rsid w:val="004E0875"/>
    <w:rsid w:val="004E1D8D"/>
    <w:rsid w:val="004E2792"/>
    <w:rsid w:val="004E67B3"/>
    <w:rsid w:val="004E77E0"/>
    <w:rsid w:val="004F4ADB"/>
    <w:rsid w:val="004F5AE8"/>
    <w:rsid w:val="00503A34"/>
    <w:rsid w:val="00505786"/>
    <w:rsid w:val="00505DB5"/>
    <w:rsid w:val="00506688"/>
    <w:rsid w:val="005078ED"/>
    <w:rsid w:val="00510908"/>
    <w:rsid w:val="00512F7B"/>
    <w:rsid w:val="00513592"/>
    <w:rsid w:val="00513761"/>
    <w:rsid w:val="005142D7"/>
    <w:rsid w:val="00514FD2"/>
    <w:rsid w:val="00521BFB"/>
    <w:rsid w:val="00523883"/>
    <w:rsid w:val="005277A9"/>
    <w:rsid w:val="0052797B"/>
    <w:rsid w:val="00533BC8"/>
    <w:rsid w:val="0053600B"/>
    <w:rsid w:val="00536592"/>
    <w:rsid w:val="005454FC"/>
    <w:rsid w:val="005517BF"/>
    <w:rsid w:val="00551894"/>
    <w:rsid w:val="00555297"/>
    <w:rsid w:val="005561ED"/>
    <w:rsid w:val="005572DA"/>
    <w:rsid w:val="005602A9"/>
    <w:rsid w:val="00560D7B"/>
    <w:rsid w:val="0056666D"/>
    <w:rsid w:val="00571D4C"/>
    <w:rsid w:val="00572552"/>
    <w:rsid w:val="005726B4"/>
    <w:rsid w:val="00574896"/>
    <w:rsid w:val="00576DA7"/>
    <w:rsid w:val="00580139"/>
    <w:rsid w:val="00580336"/>
    <w:rsid w:val="005815D7"/>
    <w:rsid w:val="00584570"/>
    <w:rsid w:val="005857B7"/>
    <w:rsid w:val="00587357"/>
    <w:rsid w:val="005874C4"/>
    <w:rsid w:val="00587AEE"/>
    <w:rsid w:val="0059440D"/>
    <w:rsid w:val="00596178"/>
    <w:rsid w:val="005A00C0"/>
    <w:rsid w:val="005A3C66"/>
    <w:rsid w:val="005B3777"/>
    <w:rsid w:val="005B598A"/>
    <w:rsid w:val="005B7BEE"/>
    <w:rsid w:val="005C0554"/>
    <w:rsid w:val="005C7B33"/>
    <w:rsid w:val="005D4119"/>
    <w:rsid w:val="005D7929"/>
    <w:rsid w:val="005E32D9"/>
    <w:rsid w:val="005E36CE"/>
    <w:rsid w:val="005E426C"/>
    <w:rsid w:val="005E685B"/>
    <w:rsid w:val="005F1DBB"/>
    <w:rsid w:val="005F3210"/>
    <w:rsid w:val="005F3545"/>
    <w:rsid w:val="005F6053"/>
    <w:rsid w:val="005F7AEA"/>
    <w:rsid w:val="00601DC7"/>
    <w:rsid w:val="006039C1"/>
    <w:rsid w:val="00610442"/>
    <w:rsid w:val="00613B46"/>
    <w:rsid w:val="00621086"/>
    <w:rsid w:val="006232D9"/>
    <w:rsid w:val="0062455E"/>
    <w:rsid w:val="0062712B"/>
    <w:rsid w:val="00630616"/>
    <w:rsid w:val="00633C6D"/>
    <w:rsid w:val="00634C1A"/>
    <w:rsid w:val="0063717A"/>
    <w:rsid w:val="00643F84"/>
    <w:rsid w:val="0064413F"/>
    <w:rsid w:val="006441A2"/>
    <w:rsid w:val="0064458D"/>
    <w:rsid w:val="00656385"/>
    <w:rsid w:val="006574CC"/>
    <w:rsid w:val="00661C4F"/>
    <w:rsid w:val="00665BD1"/>
    <w:rsid w:val="006666A7"/>
    <w:rsid w:val="006752BC"/>
    <w:rsid w:val="00675DBA"/>
    <w:rsid w:val="00684516"/>
    <w:rsid w:val="00684EEC"/>
    <w:rsid w:val="006873FD"/>
    <w:rsid w:val="006905E6"/>
    <w:rsid w:val="00694358"/>
    <w:rsid w:val="0069538E"/>
    <w:rsid w:val="006962C7"/>
    <w:rsid w:val="006969A8"/>
    <w:rsid w:val="006A083C"/>
    <w:rsid w:val="006A2614"/>
    <w:rsid w:val="006B09C4"/>
    <w:rsid w:val="006B0A77"/>
    <w:rsid w:val="006B25FA"/>
    <w:rsid w:val="006B434D"/>
    <w:rsid w:val="006B5992"/>
    <w:rsid w:val="006D117B"/>
    <w:rsid w:val="006D2953"/>
    <w:rsid w:val="006D3E83"/>
    <w:rsid w:val="006D4D52"/>
    <w:rsid w:val="006D6DE6"/>
    <w:rsid w:val="006E2DD0"/>
    <w:rsid w:val="006E43F6"/>
    <w:rsid w:val="006F19CD"/>
    <w:rsid w:val="006F243C"/>
    <w:rsid w:val="006F27AD"/>
    <w:rsid w:val="006F4C55"/>
    <w:rsid w:val="006F63AE"/>
    <w:rsid w:val="006F6EC9"/>
    <w:rsid w:val="006F75DF"/>
    <w:rsid w:val="006F7C8A"/>
    <w:rsid w:val="00700A71"/>
    <w:rsid w:val="00704C09"/>
    <w:rsid w:val="00710B6A"/>
    <w:rsid w:val="0071298D"/>
    <w:rsid w:val="00717A1F"/>
    <w:rsid w:val="00721D31"/>
    <w:rsid w:val="00721EEA"/>
    <w:rsid w:val="007264AC"/>
    <w:rsid w:val="00730060"/>
    <w:rsid w:val="00735094"/>
    <w:rsid w:val="007358A0"/>
    <w:rsid w:val="007376A9"/>
    <w:rsid w:val="007426B4"/>
    <w:rsid w:val="00742EE5"/>
    <w:rsid w:val="007445CE"/>
    <w:rsid w:val="00744891"/>
    <w:rsid w:val="007468AE"/>
    <w:rsid w:val="00750263"/>
    <w:rsid w:val="00753C49"/>
    <w:rsid w:val="00756452"/>
    <w:rsid w:val="00756961"/>
    <w:rsid w:val="007625C0"/>
    <w:rsid w:val="00765105"/>
    <w:rsid w:val="00772F4E"/>
    <w:rsid w:val="00780B22"/>
    <w:rsid w:val="00781EA0"/>
    <w:rsid w:val="00783320"/>
    <w:rsid w:val="00791926"/>
    <w:rsid w:val="00794762"/>
    <w:rsid w:val="00796492"/>
    <w:rsid w:val="007A4C5A"/>
    <w:rsid w:val="007A6FD5"/>
    <w:rsid w:val="007B0537"/>
    <w:rsid w:val="007B4ED7"/>
    <w:rsid w:val="007C136E"/>
    <w:rsid w:val="007C3142"/>
    <w:rsid w:val="007C530F"/>
    <w:rsid w:val="007C59D9"/>
    <w:rsid w:val="007C7CBF"/>
    <w:rsid w:val="007D15D5"/>
    <w:rsid w:val="007D1B18"/>
    <w:rsid w:val="007D2DD0"/>
    <w:rsid w:val="007D4AE4"/>
    <w:rsid w:val="007D5057"/>
    <w:rsid w:val="007D7505"/>
    <w:rsid w:val="007D7758"/>
    <w:rsid w:val="007D7E52"/>
    <w:rsid w:val="007E0BAE"/>
    <w:rsid w:val="007E4404"/>
    <w:rsid w:val="007E53A6"/>
    <w:rsid w:val="007E6965"/>
    <w:rsid w:val="007E7F0F"/>
    <w:rsid w:val="007F0572"/>
    <w:rsid w:val="007F0786"/>
    <w:rsid w:val="007F0F68"/>
    <w:rsid w:val="007F35DE"/>
    <w:rsid w:val="007F403B"/>
    <w:rsid w:val="007F59BE"/>
    <w:rsid w:val="007F75B7"/>
    <w:rsid w:val="00800E0A"/>
    <w:rsid w:val="00806174"/>
    <w:rsid w:val="0080715B"/>
    <w:rsid w:val="00813213"/>
    <w:rsid w:val="00814A94"/>
    <w:rsid w:val="0081729A"/>
    <w:rsid w:val="00817F10"/>
    <w:rsid w:val="00827E43"/>
    <w:rsid w:val="0083193F"/>
    <w:rsid w:val="00833F29"/>
    <w:rsid w:val="00836529"/>
    <w:rsid w:val="00837466"/>
    <w:rsid w:val="00840B5C"/>
    <w:rsid w:val="00856269"/>
    <w:rsid w:val="008602E4"/>
    <w:rsid w:val="00861E13"/>
    <w:rsid w:val="00862844"/>
    <w:rsid w:val="00871580"/>
    <w:rsid w:val="00873508"/>
    <w:rsid w:val="008843F0"/>
    <w:rsid w:val="00887781"/>
    <w:rsid w:val="008903B8"/>
    <w:rsid w:val="00890F59"/>
    <w:rsid w:val="00891BBE"/>
    <w:rsid w:val="00893527"/>
    <w:rsid w:val="00897955"/>
    <w:rsid w:val="008A1424"/>
    <w:rsid w:val="008A3BCA"/>
    <w:rsid w:val="008A4D8E"/>
    <w:rsid w:val="008A5B0A"/>
    <w:rsid w:val="008A7331"/>
    <w:rsid w:val="008A78FA"/>
    <w:rsid w:val="008B2621"/>
    <w:rsid w:val="008B3C6E"/>
    <w:rsid w:val="008B57CA"/>
    <w:rsid w:val="008C0F52"/>
    <w:rsid w:val="008C3590"/>
    <w:rsid w:val="008C70E7"/>
    <w:rsid w:val="008C7ED2"/>
    <w:rsid w:val="008D3333"/>
    <w:rsid w:val="008D51ED"/>
    <w:rsid w:val="008E30DF"/>
    <w:rsid w:val="008E413E"/>
    <w:rsid w:val="008E585C"/>
    <w:rsid w:val="008F00A2"/>
    <w:rsid w:val="008F0961"/>
    <w:rsid w:val="008F6C64"/>
    <w:rsid w:val="009074FB"/>
    <w:rsid w:val="00907DA0"/>
    <w:rsid w:val="0091144D"/>
    <w:rsid w:val="00916DB8"/>
    <w:rsid w:val="00935A0A"/>
    <w:rsid w:val="009439FB"/>
    <w:rsid w:val="0095042C"/>
    <w:rsid w:val="00950FD8"/>
    <w:rsid w:val="00952865"/>
    <w:rsid w:val="009610DB"/>
    <w:rsid w:val="0096595D"/>
    <w:rsid w:val="0096627A"/>
    <w:rsid w:val="00967B1A"/>
    <w:rsid w:val="00970767"/>
    <w:rsid w:val="00970D89"/>
    <w:rsid w:val="00973257"/>
    <w:rsid w:val="0097433B"/>
    <w:rsid w:val="0097451C"/>
    <w:rsid w:val="009775AD"/>
    <w:rsid w:val="00980DE0"/>
    <w:rsid w:val="00981FC7"/>
    <w:rsid w:val="0098414F"/>
    <w:rsid w:val="009861A9"/>
    <w:rsid w:val="00992BDC"/>
    <w:rsid w:val="00994C9D"/>
    <w:rsid w:val="009A18F6"/>
    <w:rsid w:val="009A1943"/>
    <w:rsid w:val="009A7A17"/>
    <w:rsid w:val="009B23F4"/>
    <w:rsid w:val="009B5507"/>
    <w:rsid w:val="009B76BF"/>
    <w:rsid w:val="009C18A9"/>
    <w:rsid w:val="009C5707"/>
    <w:rsid w:val="009C6CF5"/>
    <w:rsid w:val="009D0486"/>
    <w:rsid w:val="009D4966"/>
    <w:rsid w:val="009D4F97"/>
    <w:rsid w:val="009D5085"/>
    <w:rsid w:val="009D510B"/>
    <w:rsid w:val="009D5F94"/>
    <w:rsid w:val="009D6A36"/>
    <w:rsid w:val="009D766A"/>
    <w:rsid w:val="009E146A"/>
    <w:rsid w:val="00A01A25"/>
    <w:rsid w:val="00A03847"/>
    <w:rsid w:val="00A11827"/>
    <w:rsid w:val="00A20E4F"/>
    <w:rsid w:val="00A22B75"/>
    <w:rsid w:val="00A22EFC"/>
    <w:rsid w:val="00A24440"/>
    <w:rsid w:val="00A27F41"/>
    <w:rsid w:val="00A33137"/>
    <w:rsid w:val="00A3360F"/>
    <w:rsid w:val="00A34B8A"/>
    <w:rsid w:val="00A35B23"/>
    <w:rsid w:val="00A41163"/>
    <w:rsid w:val="00A53DB8"/>
    <w:rsid w:val="00A55894"/>
    <w:rsid w:val="00A64F39"/>
    <w:rsid w:val="00A65B11"/>
    <w:rsid w:val="00A667E3"/>
    <w:rsid w:val="00A7317F"/>
    <w:rsid w:val="00A773A8"/>
    <w:rsid w:val="00A801E9"/>
    <w:rsid w:val="00A81E5D"/>
    <w:rsid w:val="00A83FDC"/>
    <w:rsid w:val="00A862DA"/>
    <w:rsid w:val="00A94812"/>
    <w:rsid w:val="00A9551F"/>
    <w:rsid w:val="00A97B15"/>
    <w:rsid w:val="00AA04AB"/>
    <w:rsid w:val="00AA26BF"/>
    <w:rsid w:val="00AA3324"/>
    <w:rsid w:val="00AA53E9"/>
    <w:rsid w:val="00AA73EF"/>
    <w:rsid w:val="00AB05A1"/>
    <w:rsid w:val="00AB449E"/>
    <w:rsid w:val="00AB64C0"/>
    <w:rsid w:val="00AC0994"/>
    <w:rsid w:val="00AC2C9B"/>
    <w:rsid w:val="00AC5E5D"/>
    <w:rsid w:val="00AC7FEE"/>
    <w:rsid w:val="00AD09E4"/>
    <w:rsid w:val="00AD1060"/>
    <w:rsid w:val="00AD3043"/>
    <w:rsid w:val="00AD3C5C"/>
    <w:rsid w:val="00AD6B22"/>
    <w:rsid w:val="00AD7DAC"/>
    <w:rsid w:val="00AE03DF"/>
    <w:rsid w:val="00AE44B4"/>
    <w:rsid w:val="00AE4854"/>
    <w:rsid w:val="00AE4BD1"/>
    <w:rsid w:val="00AE6B3A"/>
    <w:rsid w:val="00AE7F68"/>
    <w:rsid w:val="00AF7391"/>
    <w:rsid w:val="00B003BC"/>
    <w:rsid w:val="00B03F63"/>
    <w:rsid w:val="00B05BA8"/>
    <w:rsid w:val="00B06421"/>
    <w:rsid w:val="00B134ED"/>
    <w:rsid w:val="00B20FBE"/>
    <w:rsid w:val="00B255F3"/>
    <w:rsid w:val="00B25B10"/>
    <w:rsid w:val="00B25FE0"/>
    <w:rsid w:val="00B30885"/>
    <w:rsid w:val="00B318C8"/>
    <w:rsid w:val="00B34CF7"/>
    <w:rsid w:val="00B36416"/>
    <w:rsid w:val="00B41E43"/>
    <w:rsid w:val="00B45F00"/>
    <w:rsid w:val="00B63EF9"/>
    <w:rsid w:val="00B66118"/>
    <w:rsid w:val="00B70F8A"/>
    <w:rsid w:val="00B73BAA"/>
    <w:rsid w:val="00B77DB6"/>
    <w:rsid w:val="00B80326"/>
    <w:rsid w:val="00B81974"/>
    <w:rsid w:val="00B836B6"/>
    <w:rsid w:val="00B929FD"/>
    <w:rsid w:val="00BA4F35"/>
    <w:rsid w:val="00BB2D79"/>
    <w:rsid w:val="00BB3242"/>
    <w:rsid w:val="00BB7166"/>
    <w:rsid w:val="00BC558A"/>
    <w:rsid w:val="00BD37AA"/>
    <w:rsid w:val="00BD399B"/>
    <w:rsid w:val="00BD5A1D"/>
    <w:rsid w:val="00BD5CDD"/>
    <w:rsid w:val="00BE3720"/>
    <w:rsid w:val="00BE3B2B"/>
    <w:rsid w:val="00BF04B9"/>
    <w:rsid w:val="00BF3FEC"/>
    <w:rsid w:val="00BF60F3"/>
    <w:rsid w:val="00C00C23"/>
    <w:rsid w:val="00C05205"/>
    <w:rsid w:val="00C05DE1"/>
    <w:rsid w:val="00C076E5"/>
    <w:rsid w:val="00C11971"/>
    <w:rsid w:val="00C1609C"/>
    <w:rsid w:val="00C2024F"/>
    <w:rsid w:val="00C22730"/>
    <w:rsid w:val="00C2601D"/>
    <w:rsid w:val="00C268AC"/>
    <w:rsid w:val="00C279B0"/>
    <w:rsid w:val="00C27E66"/>
    <w:rsid w:val="00C31862"/>
    <w:rsid w:val="00C368C4"/>
    <w:rsid w:val="00C36AB4"/>
    <w:rsid w:val="00C40AE7"/>
    <w:rsid w:val="00C41651"/>
    <w:rsid w:val="00C423ED"/>
    <w:rsid w:val="00C43C7C"/>
    <w:rsid w:val="00C451DF"/>
    <w:rsid w:val="00C46A44"/>
    <w:rsid w:val="00C5000F"/>
    <w:rsid w:val="00C5036C"/>
    <w:rsid w:val="00C5044E"/>
    <w:rsid w:val="00C50B8D"/>
    <w:rsid w:val="00C51CF0"/>
    <w:rsid w:val="00C54810"/>
    <w:rsid w:val="00C5763A"/>
    <w:rsid w:val="00C62005"/>
    <w:rsid w:val="00C65046"/>
    <w:rsid w:val="00C66A8C"/>
    <w:rsid w:val="00C72233"/>
    <w:rsid w:val="00C76099"/>
    <w:rsid w:val="00C7698E"/>
    <w:rsid w:val="00C7768B"/>
    <w:rsid w:val="00C82029"/>
    <w:rsid w:val="00C902D5"/>
    <w:rsid w:val="00C9089C"/>
    <w:rsid w:val="00C909BB"/>
    <w:rsid w:val="00C9462D"/>
    <w:rsid w:val="00C96D06"/>
    <w:rsid w:val="00C9722D"/>
    <w:rsid w:val="00CA35C5"/>
    <w:rsid w:val="00CA4B4E"/>
    <w:rsid w:val="00CA663C"/>
    <w:rsid w:val="00CB046D"/>
    <w:rsid w:val="00CB0D88"/>
    <w:rsid w:val="00CB25B8"/>
    <w:rsid w:val="00CB3701"/>
    <w:rsid w:val="00CB3E3E"/>
    <w:rsid w:val="00CB4432"/>
    <w:rsid w:val="00CB47C0"/>
    <w:rsid w:val="00CB7DB2"/>
    <w:rsid w:val="00CC1081"/>
    <w:rsid w:val="00CC4116"/>
    <w:rsid w:val="00CC4D03"/>
    <w:rsid w:val="00CC4EFC"/>
    <w:rsid w:val="00CC722B"/>
    <w:rsid w:val="00CD6883"/>
    <w:rsid w:val="00CE5CD1"/>
    <w:rsid w:val="00CF0CCF"/>
    <w:rsid w:val="00CF0FBF"/>
    <w:rsid w:val="00CF1463"/>
    <w:rsid w:val="00CF6283"/>
    <w:rsid w:val="00CF6BE2"/>
    <w:rsid w:val="00D00253"/>
    <w:rsid w:val="00D003F6"/>
    <w:rsid w:val="00D020BD"/>
    <w:rsid w:val="00D103C9"/>
    <w:rsid w:val="00D105D7"/>
    <w:rsid w:val="00D1083A"/>
    <w:rsid w:val="00D11BE6"/>
    <w:rsid w:val="00D14027"/>
    <w:rsid w:val="00D235F4"/>
    <w:rsid w:val="00D23A75"/>
    <w:rsid w:val="00D31407"/>
    <w:rsid w:val="00D34E61"/>
    <w:rsid w:val="00D37948"/>
    <w:rsid w:val="00D4712C"/>
    <w:rsid w:val="00D57A37"/>
    <w:rsid w:val="00D6018B"/>
    <w:rsid w:val="00D62471"/>
    <w:rsid w:val="00D76A8A"/>
    <w:rsid w:val="00D77FDE"/>
    <w:rsid w:val="00D83304"/>
    <w:rsid w:val="00D84306"/>
    <w:rsid w:val="00D84BA6"/>
    <w:rsid w:val="00D87CE5"/>
    <w:rsid w:val="00D917C2"/>
    <w:rsid w:val="00D956E5"/>
    <w:rsid w:val="00D960D0"/>
    <w:rsid w:val="00D96909"/>
    <w:rsid w:val="00DA0E04"/>
    <w:rsid w:val="00DB0DDB"/>
    <w:rsid w:val="00DB4676"/>
    <w:rsid w:val="00DB47AA"/>
    <w:rsid w:val="00DB512C"/>
    <w:rsid w:val="00DC005F"/>
    <w:rsid w:val="00DC3439"/>
    <w:rsid w:val="00DC56BF"/>
    <w:rsid w:val="00DD4FD6"/>
    <w:rsid w:val="00DE02CF"/>
    <w:rsid w:val="00DE3333"/>
    <w:rsid w:val="00DE3618"/>
    <w:rsid w:val="00DE39B8"/>
    <w:rsid w:val="00DE6A47"/>
    <w:rsid w:val="00DF091B"/>
    <w:rsid w:val="00DF26E8"/>
    <w:rsid w:val="00DF6D17"/>
    <w:rsid w:val="00E01479"/>
    <w:rsid w:val="00E0423B"/>
    <w:rsid w:val="00E058BC"/>
    <w:rsid w:val="00E06411"/>
    <w:rsid w:val="00E07082"/>
    <w:rsid w:val="00E14158"/>
    <w:rsid w:val="00E159D4"/>
    <w:rsid w:val="00E20190"/>
    <w:rsid w:val="00E20674"/>
    <w:rsid w:val="00E210EC"/>
    <w:rsid w:val="00E2596F"/>
    <w:rsid w:val="00E3287B"/>
    <w:rsid w:val="00E33065"/>
    <w:rsid w:val="00E35883"/>
    <w:rsid w:val="00E35F0B"/>
    <w:rsid w:val="00E36F3D"/>
    <w:rsid w:val="00E3708E"/>
    <w:rsid w:val="00E3744D"/>
    <w:rsid w:val="00E44CD8"/>
    <w:rsid w:val="00E47042"/>
    <w:rsid w:val="00E472D8"/>
    <w:rsid w:val="00E51885"/>
    <w:rsid w:val="00E5561E"/>
    <w:rsid w:val="00E60F3F"/>
    <w:rsid w:val="00E66550"/>
    <w:rsid w:val="00E70A14"/>
    <w:rsid w:val="00E7565B"/>
    <w:rsid w:val="00E7727D"/>
    <w:rsid w:val="00E90DFD"/>
    <w:rsid w:val="00EA78A4"/>
    <w:rsid w:val="00EB14DD"/>
    <w:rsid w:val="00EB2F37"/>
    <w:rsid w:val="00EB3BA6"/>
    <w:rsid w:val="00EB664C"/>
    <w:rsid w:val="00EC2FC8"/>
    <w:rsid w:val="00EC3CBA"/>
    <w:rsid w:val="00EC43ED"/>
    <w:rsid w:val="00EC5C01"/>
    <w:rsid w:val="00EC7ABA"/>
    <w:rsid w:val="00ED119A"/>
    <w:rsid w:val="00ED7D72"/>
    <w:rsid w:val="00EE13CD"/>
    <w:rsid w:val="00EE3207"/>
    <w:rsid w:val="00EF2EE4"/>
    <w:rsid w:val="00EF6F56"/>
    <w:rsid w:val="00F00FB5"/>
    <w:rsid w:val="00F1322E"/>
    <w:rsid w:val="00F147F6"/>
    <w:rsid w:val="00F23E6F"/>
    <w:rsid w:val="00F267E3"/>
    <w:rsid w:val="00F30CE1"/>
    <w:rsid w:val="00F32F74"/>
    <w:rsid w:val="00F34920"/>
    <w:rsid w:val="00F34EB4"/>
    <w:rsid w:val="00F36A2A"/>
    <w:rsid w:val="00F40D6D"/>
    <w:rsid w:val="00F42E11"/>
    <w:rsid w:val="00F448EB"/>
    <w:rsid w:val="00F44AA3"/>
    <w:rsid w:val="00F44ED6"/>
    <w:rsid w:val="00F468E1"/>
    <w:rsid w:val="00F478C1"/>
    <w:rsid w:val="00F50C16"/>
    <w:rsid w:val="00F53EEA"/>
    <w:rsid w:val="00F544D9"/>
    <w:rsid w:val="00F57A33"/>
    <w:rsid w:val="00F6299F"/>
    <w:rsid w:val="00F650B7"/>
    <w:rsid w:val="00F66461"/>
    <w:rsid w:val="00F673FE"/>
    <w:rsid w:val="00F72F89"/>
    <w:rsid w:val="00F73660"/>
    <w:rsid w:val="00F74E67"/>
    <w:rsid w:val="00F763A6"/>
    <w:rsid w:val="00F81EEC"/>
    <w:rsid w:val="00F82EEC"/>
    <w:rsid w:val="00F87B72"/>
    <w:rsid w:val="00F939B6"/>
    <w:rsid w:val="00FA02B4"/>
    <w:rsid w:val="00FA290E"/>
    <w:rsid w:val="00FA655F"/>
    <w:rsid w:val="00FA6A4B"/>
    <w:rsid w:val="00FA73F5"/>
    <w:rsid w:val="00FB271B"/>
    <w:rsid w:val="00FB34BF"/>
    <w:rsid w:val="00FB3F15"/>
    <w:rsid w:val="00FB5F44"/>
    <w:rsid w:val="00FB7B63"/>
    <w:rsid w:val="00FC39F1"/>
    <w:rsid w:val="00FC6591"/>
    <w:rsid w:val="00FD1D3A"/>
    <w:rsid w:val="00FD35AC"/>
    <w:rsid w:val="00FD436F"/>
    <w:rsid w:val="00FD5DB8"/>
    <w:rsid w:val="00FD703B"/>
    <w:rsid w:val="00FE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829B"/>
  <w15:chartTrackingRefBased/>
  <w15:docId w15:val="{9A892673-D5D4-1D43-B4C4-3EA5FC2C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paragraph" w:styleId="1">
    <w:name w:val="heading 1"/>
    <w:basedOn w:val="a"/>
    <w:next w:val="a"/>
    <w:link w:val="10"/>
    <w:autoRedefine/>
    <w:uiPriority w:val="9"/>
    <w:qFormat/>
    <w:rsid w:val="00584570"/>
    <w:pPr>
      <w:keepNext/>
      <w:keepLines/>
      <w:spacing w:before="340" w:after="330" w:line="578" w:lineRule="auto"/>
      <w:outlineLvl w:val="0"/>
    </w:pPr>
    <w:rPr>
      <w:rFonts w:ascii="Times New Roman" w:eastAsia="Times New Roman" w:hAnsi="Times New Roman"/>
      <w:b/>
      <w:bCs/>
      <w:kern w:val="44"/>
      <w:sz w:val="22"/>
      <w:szCs w:val="44"/>
    </w:rPr>
  </w:style>
  <w:style w:type="paragraph" w:styleId="2">
    <w:name w:val="heading 2"/>
    <w:basedOn w:val="a"/>
    <w:link w:val="20"/>
    <w:uiPriority w:val="9"/>
    <w:qFormat/>
    <w:rsid w:val="00DE02CF"/>
    <w:pPr>
      <w:widowControl/>
      <w:spacing w:before="100" w:beforeAutospacing="1" w:after="100" w:afterAutospacing="1"/>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570"/>
    <w:rPr>
      <w:rFonts w:ascii="Times New Roman" w:eastAsia="Times New Roman" w:hAnsi="Times New Roman"/>
      <w:b/>
      <w:bCs/>
      <w:kern w:val="44"/>
      <w:sz w:val="22"/>
      <w:szCs w:val="44"/>
      <w:lang w:val="en-GB"/>
    </w:rPr>
  </w:style>
  <w:style w:type="paragraph" w:styleId="a3">
    <w:name w:val="List Paragraph"/>
    <w:basedOn w:val="a"/>
    <w:uiPriority w:val="34"/>
    <w:qFormat/>
    <w:rsid w:val="002A53BA"/>
    <w:pPr>
      <w:ind w:firstLineChars="200" w:firstLine="420"/>
    </w:pPr>
  </w:style>
  <w:style w:type="table" w:styleId="a4">
    <w:name w:val="Table Grid"/>
    <w:basedOn w:val="a1"/>
    <w:uiPriority w:val="39"/>
    <w:rsid w:val="0006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E02CF"/>
    <w:pPr>
      <w:snapToGrid w:val="0"/>
      <w:jc w:val="left"/>
    </w:pPr>
    <w:rPr>
      <w:sz w:val="18"/>
      <w:szCs w:val="18"/>
    </w:rPr>
  </w:style>
  <w:style w:type="character" w:customStyle="1" w:styleId="a6">
    <w:name w:val="脚注文本 字符"/>
    <w:basedOn w:val="a0"/>
    <w:link w:val="a5"/>
    <w:uiPriority w:val="99"/>
    <w:rsid w:val="00DE02CF"/>
    <w:rPr>
      <w:sz w:val="18"/>
      <w:szCs w:val="18"/>
      <w:lang w:val="en-GB"/>
    </w:rPr>
  </w:style>
  <w:style w:type="character" w:styleId="a7">
    <w:name w:val="footnote reference"/>
    <w:basedOn w:val="a0"/>
    <w:uiPriority w:val="99"/>
    <w:unhideWhenUsed/>
    <w:rsid w:val="00DE02CF"/>
    <w:rPr>
      <w:vertAlign w:val="superscript"/>
    </w:rPr>
  </w:style>
  <w:style w:type="character" w:styleId="a8">
    <w:name w:val="Hyperlink"/>
    <w:basedOn w:val="a0"/>
    <w:uiPriority w:val="99"/>
    <w:unhideWhenUsed/>
    <w:rsid w:val="00DE02CF"/>
    <w:rPr>
      <w:color w:val="0563C1" w:themeColor="hyperlink"/>
      <w:u w:val="single"/>
    </w:rPr>
  </w:style>
  <w:style w:type="character" w:customStyle="1" w:styleId="20">
    <w:name w:val="标题 2 字符"/>
    <w:basedOn w:val="a0"/>
    <w:link w:val="2"/>
    <w:uiPriority w:val="9"/>
    <w:rsid w:val="00DE02CF"/>
    <w:rPr>
      <w:rFonts w:ascii="宋体" w:eastAsia="宋体" w:hAnsi="宋体" w:cs="宋体"/>
      <w:b/>
      <w:bCs/>
      <w:kern w:val="0"/>
      <w:sz w:val="36"/>
      <w:szCs w:val="36"/>
    </w:rPr>
  </w:style>
  <w:style w:type="table" w:customStyle="1" w:styleId="21">
    <w:name w:val="无格式表格 21"/>
    <w:basedOn w:val="a1"/>
    <w:uiPriority w:val="42"/>
    <w:rsid w:val="00DE02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9">
    <w:name w:val="caption"/>
    <w:basedOn w:val="a"/>
    <w:next w:val="a"/>
    <w:uiPriority w:val="35"/>
    <w:unhideWhenUsed/>
    <w:qFormat/>
    <w:rsid w:val="00DE02CF"/>
    <w:pPr>
      <w:keepNext/>
    </w:pPr>
    <w:rPr>
      <w:rFonts w:ascii="Times New Roman" w:eastAsia="黑体" w:hAnsi="Times New Roman" w:cs="Times New Roman"/>
      <w:sz w:val="22"/>
      <w:szCs w:val="22"/>
    </w:rPr>
  </w:style>
  <w:style w:type="paragraph" w:styleId="aa">
    <w:name w:val="annotation text"/>
    <w:basedOn w:val="a"/>
    <w:link w:val="ab"/>
    <w:uiPriority w:val="99"/>
    <w:unhideWhenUsed/>
    <w:rsid w:val="004C7291"/>
    <w:rPr>
      <w:sz w:val="20"/>
      <w:szCs w:val="20"/>
    </w:rPr>
  </w:style>
  <w:style w:type="character" w:customStyle="1" w:styleId="ab">
    <w:name w:val="批注文字 字符"/>
    <w:basedOn w:val="a0"/>
    <w:link w:val="aa"/>
    <w:uiPriority w:val="99"/>
    <w:rsid w:val="004C7291"/>
    <w:rPr>
      <w:sz w:val="20"/>
      <w:szCs w:val="20"/>
      <w:lang w:val="en-GB"/>
    </w:rPr>
  </w:style>
  <w:style w:type="paragraph" w:styleId="ac">
    <w:name w:val="Balloon Text"/>
    <w:basedOn w:val="a"/>
    <w:link w:val="ad"/>
    <w:uiPriority w:val="99"/>
    <w:semiHidden/>
    <w:unhideWhenUsed/>
    <w:rsid w:val="004C7291"/>
    <w:rPr>
      <w:rFonts w:ascii="Segoe UI" w:hAnsi="Segoe UI" w:cs="Segoe UI"/>
      <w:sz w:val="20"/>
      <w:szCs w:val="18"/>
    </w:rPr>
  </w:style>
  <w:style w:type="character" w:customStyle="1" w:styleId="ad">
    <w:name w:val="批注框文本 字符"/>
    <w:basedOn w:val="a0"/>
    <w:link w:val="ac"/>
    <w:uiPriority w:val="99"/>
    <w:semiHidden/>
    <w:rsid w:val="004C7291"/>
    <w:rPr>
      <w:rFonts w:ascii="Segoe UI" w:hAnsi="Segoe UI" w:cs="Segoe UI"/>
      <w:sz w:val="20"/>
      <w:szCs w:val="18"/>
      <w:lang w:val="en-GB"/>
    </w:rPr>
  </w:style>
  <w:style w:type="character" w:styleId="ae">
    <w:name w:val="annotation reference"/>
    <w:basedOn w:val="a0"/>
    <w:uiPriority w:val="99"/>
    <w:semiHidden/>
    <w:unhideWhenUsed/>
    <w:rsid w:val="000A64EE"/>
    <w:rPr>
      <w:sz w:val="16"/>
      <w:szCs w:val="16"/>
    </w:rPr>
  </w:style>
  <w:style w:type="paragraph" w:styleId="af">
    <w:name w:val="annotation subject"/>
    <w:basedOn w:val="aa"/>
    <w:next w:val="aa"/>
    <w:link w:val="af0"/>
    <w:uiPriority w:val="99"/>
    <w:semiHidden/>
    <w:unhideWhenUsed/>
    <w:rsid w:val="000A64EE"/>
    <w:rPr>
      <w:b/>
      <w:bCs/>
    </w:rPr>
  </w:style>
  <w:style w:type="character" w:customStyle="1" w:styleId="af0">
    <w:name w:val="批注主题 字符"/>
    <w:basedOn w:val="ab"/>
    <w:link w:val="af"/>
    <w:uiPriority w:val="99"/>
    <w:semiHidden/>
    <w:rsid w:val="000A64EE"/>
    <w:rPr>
      <w:b/>
      <w:bCs/>
      <w:sz w:val="20"/>
      <w:szCs w:val="20"/>
      <w:lang w:val="en-GB"/>
    </w:rPr>
  </w:style>
  <w:style w:type="character" w:styleId="af1">
    <w:name w:val="Unresolved Mention"/>
    <w:basedOn w:val="a0"/>
    <w:uiPriority w:val="99"/>
    <w:semiHidden/>
    <w:unhideWhenUsed/>
    <w:rsid w:val="00486577"/>
    <w:rPr>
      <w:color w:val="605E5C"/>
      <w:shd w:val="clear" w:color="auto" w:fill="E1DFDD"/>
    </w:rPr>
  </w:style>
  <w:style w:type="character" w:styleId="af2">
    <w:name w:val="Emphasis"/>
    <w:basedOn w:val="a0"/>
    <w:uiPriority w:val="20"/>
    <w:qFormat/>
    <w:rsid w:val="00E14158"/>
    <w:rPr>
      <w:i/>
      <w:iCs/>
    </w:rPr>
  </w:style>
  <w:style w:type="paragraph" w:styleId="af3">
    <w:name w:val="Normal (Web)"/>
    <w:basedOn w:val="a"/>
    <w:uiPriority w:val="99"/>
    <w:unhideWhenUsed/>
    <w:rsid w:val="00EC43ED"/>
    <w:pPr>
      <w:widowControl/>
      <w:spacing w:before="100" w:beforeAutospacing="1" w:after="100" w:afterAutospacing="1"/>
      <w:jc w:val="left"/>
    </w:pPr>
    <w:rPr>
      <w:rFonts w:ascii="宋体" w:eastAsia="宋体" w:hAnsi="宋体" w:cs="宋体"/>
      <w:kern w:val="0"/>
      <w:sz w:val="24"/>
      <w:lang w:val="en-US"/>
    </w:rPr>
  </w:style>
  <w:style w:type="character" w:styleId="af4">
    <w:name w:val="FollowedHyperlink"/>
    <w:basedOn w:val="a0"/>
    <w:uiPriority w:val="99"/>
    <w:semiHidden/>
    <w:unhideWhenUsed/>
    <w:rsid w:val="008F0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3162">
      <w:bodyDiv w:val="1"/>
      <w:marLeft w:val="0"/>
      <w:marRight w:val="0"/>
      <w:marTop w:val="0"/>
      <w:marBottom w:val="0"/>
      <w:divBdr>
        <w:top w:val="none" w:sz="0" w:space="0" w:color="auto"/>
        <w:left w:val="none" w:sz="0" w:space="0" w:color="auto"/>
        <w:bottom w:val="none" w:sz="0" w:space="0" w:color="auto"/>
        <w:right w:val="none" w:sz="0" w:space="0" w:color="auto"/>
      </w:divBdr>
    </w:div>
    <w:div w:id="53356397">
      <w:bodyDiv w:val="1"/>
      <w:marLeft w:val="0"/>
      <w:marRight w:val="0"/>
      <w:marTop w:val="0"/>
      <w:marBottom w:val="0"/>
      <w:divBdr>
        <w:top w:val="none" w:sz="0" w:space="0" w:color="auto"/>
        <w:left w:val="none" w:sz="0" w:space="0" w:color="auto"/>
        <w:bottom w:val="none" w:sz="0" w:space="0" w:color="auto"/>
        <w:right w:val="none" w:sz="0" w:space="0" w:color="auto"/>
      </w:divBdr>
    </w:div>
    <w:div w:id="53967847">
      <w:bodyDiv w:val="1"/>
      <w:marLeft w:val="0"/>
      <w:marRight w:val="0"/>
      <w:marTop w:val="0"/>
      <w:marBottom w:val="0"/>
      <w:divBdr>
        <w:top w:val="none" w:sz="0" w:space="0" w:color="auto"/>
        <w:left w:val="none" w:sz="0" w:space="0" w:color="auto"/>
        <w:bottom w:val="none" w:sz="0" w:space="0" w:color="auto"/>
        <w:right w:val="none" w:sz="0" w:space="0" w:color="auto"/>
      </w:divBdr>
    </w:div>
    <w:div w:id="58792793">
      <w:bodyDiv w:val="1"/>
      <w:marLeft w:val="0"/>
      <w:marRight w:val="0"/>
      <w:marTop w:val="0"/>
      <w:marBottom w:val="0"/>
      <w:divBdr>
        <w:top w:val="none" w:sz="0" w:space="0" w:color="auto"/>
        <w:left w:val="none" w:sz="0" w:space="0" w:color="auto"/>
        <w:bottom w:val="none" w:sz="0" w:space="0" w:color="auto"/>
        <w:right w:val="none" w:sz="0" w:space="0" w:color="auto"/>
      </w:divBdr>
    </w:div>
    <w:div w:id="80027103">
      <w:bodyDiv w:val="1"/>
      <w:marLeft w:val="0"/>
      <w:marRight w:val="0"/>
      <w:marTop w:val="0"/>
      <w:marBottom w:val="0"/>
      <w:divBdr>
        <w:top w:val="none" w:sz="0" w:space="0" w:color="auto"/>
        <w:left w:val="none" w:sz="0" w:space="0" w:color="auto"/>
        <w:bottom w:val="none" w:sz="0" w:space="0" w:color="auto"/>
        <w:right w:val="none" w:sz="0" w:space="0" w:color="auto"/>
      </w:divBdr>
    </w:div>
    <w:div w:id="86736831">
      <w:bodyDiv w:val="1"/>
      <w:marLeft w:val="0"/>
      <w:marRight w:val="0"/>
      <w:marTop w:val="0"/>
      <w:marBottom w:val="0"/>
      <w:divBdr>
        <w:top w:val="none" w:sz="0" w:space="0" w:color="auto"/>
        <w:left w:val="none" w:sz="0" w:space="0" w:color="auto"/>
        <w:bottom w:val="none" w:sz="0" w:space="0" w:color="auto"/>
        <w:right w:val="none" w:sz="0" w:space="0" w:color="auto"/>
      </w:divBdr>
    </w:div>
    <w:div w:id="94794515">
      <w:bodyDiv w:val="1"/>
      <w:marLeft w:val="0"/>
      <w:marRight w:val="0"/>
      <w:marTop w:val="0"/>
      <w:marBottom w:val="0"/>
      <w:divBdr>
        <w:top w:val="none" w:sz="0" w:space="0" w:color="auto"/>
        <w:left w:val="none" w:sz="0" w:space="0" w:color="auto"/>
        <w:bottom w:val="none" w:sz="0" w:space="0" w:color="auto"/>
        <w:right w:val="none" w:sz="0" w:space="0" w:color="auto"/>
      </w:divBdr>
    </w:div>
    <w:div w:id="116292709">
      <w:bodyDiv w:val="1"/>
      <w:marLeft w:val="0"/>
      <w:marRight w:val="0"/>
      <w:marTop w:val="0"/>
      <w:marBottom w:val="0"/>
      <w:divBdr>
        <w:top w:val="none" w:sz="0" w:space="0" w:color="auto"/>
        <w:left w:val="none" w:sz="0" w:space="0" w:color="auto"/>
        <w:bottom w:val="none" w:sz="0" w:space="0" w:color="auto"/>
        <w:right w:val="none" w:sz="0" w:space="0" w:color="auto"/>
      </w:divBdr>
    </w:div>
    <w:div w:id="203950894">
      <w:bodyDiv w:val="1"/>
      <w:marLeft w:val="0"/>
      <w:marRight w:val="0"/>
      <w:marTop w:val="0"/>
      <w:marBottom w:val="0"/>
      <w:divBdr>
        <w:top w:val="none" w:sz="0" w:space="0" w:color="auto"/>
        <w:left w:val="none" w:sz="0" w:space="0" w:color="auto"/>
        <w:bottom w:val="none" w:sz="0" w:space="0" w:color="auto"/>
        <w:right w:val="none" w:sz="0" w:space="0" w:color="auto"/>
      </w:divBdr>
    </w:div>
    <w:div w:id="245456415">
      <w:bodyDiv w:val="1"/>
      <w:marLeft w:val="0"/>
      <w:marRight w:val="0"/>
      <w:marTop w:val="0"/>
      <w:marBottom w:val="0"/>
      <w:divBdr>
        <w:top w:val="none" w:sz="0" w:space="0" w:color="auto"/>
        <w:left w:val="none" w:sz="0" w:space="0" w:color="auto"/>
        <w:bottom w:val="none" w:sz="0" w:space="0" w:color="auto"/>
        <w:right w:val="none" w:sz="0" w:space="0" w:color="auto"/>
      </w:divBdr>
    </w:div>
    <w:div w:id="309746488">
      <w:bodyDiv w:val="1"/>
      <w:marLeft w:val="0"/>
      <w:marRight w:val="0"/>
      <w:marTop w:val="0"/>
      <w:marBottom w:val="0"/>
      <w:divBdr>
        <w:top w:val="none" w:sz="0" w:space="0" w:color="auto"/>
        <w:left w:val="none" w:sz="0" w:space="0" w:color="auto"/>
        <w:bottom w:val="none" w:sz="0" w:space="0" w:color="auto"/>
        <w:right w:val="none" w:sz="0" w:space="0" w:color="auto"/>
      </w:divBdr>
    </w:div>
    <w:div w:id="359207455">
      <w:bodyDiv w:val="1"/>
      <w:marLeft w:val="0"/>
      <w:marRight w:val="0"/>
      <w:marTop w:val="0"/>
      <w:marBottom w:val="0"/>
      <w:divBdr>
        <w:top w:val="none" w:sz="0" w:space="0" w:color="auto"/>
        <w:left w:val="none" w:sz="0" w:space="0" w:color="auto"/>
        <w:bottom w:val="none" w:sz="0" w:space="0" w:color="auto"/>
        <w:right w:val="none" w:sz="0" w:space="0" w:color="auto"/>
      </w:divBdr>
    </w:div>
    <w:div w:id="413598211">
      <w:bodyDiv w:val="1"/>
      <w:marLeft w:val="0"/>
      <w:marRight w:val="0"/>
      <w:marTop w:val="0"/>
      <w:marBottom w:val="0"/>
      <w:divBdr>
        <w:top w:val="none" w:sz="0" w:space="0" w:color="auto"/>
        <w:left w:val="none" w:sz="0" w:space="0" w:color="auto"/>
        <w:bottom w:val="none" w:sz="0" w:space="0" w:color="auto"/>
        <w:right w:val="none" w:sz="0" w:space="0" w:color="auto"/>
      </w:divBdr>
    </w:div>
    <w:div w:id="803274981">
      <w:bodyDiv w:val="1"/>
      <w:marLeft w:val="0"/>
      <w:marRight w:val="0"/>
      <w:marTop w:val="0"/>
      <w:marBottom w:val="0"/>
      <w:divBdr>
        <w:top w:val="none" w:sz="0" w:space="0" w:color="auto"/>
        <w:left w:val="none" w:sz="0" w:space="0" w:color="auto"/>
        <w:bottom w:val="none" w:sz="0" w:space="0" w:color="auto"/>
        <w:right w:val="none" w:sz="0" w:space="0" w:color="auto"/>
      </w:divBdr>
    </w:div>
    <w:div w:id="814684067">
      <w:bodyDiv w:val="1"/>
      <w:marLeft w:val="0"/>
      <w:marRight w:val="0"/>
      <w:marTop w:val="0"/>
      <w:marBottom w:val="0"/>
      <w:divBdr>
        <w:top w:val="none" w:sz="0" w:space="0" w:color="auto"/>
        <w:left w:val="none" w:sz="0" w:space="0" w:color="auto"/>
        <w:bottom w:val="none" w:sz="0" w:space="0" w:color="auto"/>
        <w:right w:val="none" w:sz="0" w:space="0" w:color="auto"/>
      </w:divBdr>
    </w:div>
    <w:div w:id="996229723">
      <w:bodyDiv w:val="1"/>
      <w:marLeft w:val="0"/>
      <w:marRight w:val="0"/>
      <w:marTop w:val="0"/>
      <w:marBottom w:val="0"/>
      <w:divBdr>
        <w:top w:val="none" w:sz="0" w:space="0" w:color="auto"/>
        <w:left w:val="none" w:sz="0" w:space="0" w:color="auto"/>
        <w:bottom w:val="none" w:sz="0" w:space="0" w:color="auto"/>
        <w:right w:val="none" w:sz="0" w:space="0" w:color="auto"/>
      </w:divBdr>
    </w:div>
    <w:div w:id="1406762269">
      <w:bodyDiv w:val="1"/>
      <w:marLeft w:val="0"/>
      <w:marRight w:val="0"/>
      <w:marTop w:val="0"/>
      <w:marBottom w:val="0"/>
      <w:divBdr>
        <w:top w:val="none" w:sz="0" w:space="0" w:color="auto"/>
        <w:left w:val="none" w:sz="0" w:space="0" w:color="auto"/>
        <w:bottom w:val="none" w:sz="0" w:space="0" w:color="auto"/>
        <w:right w:val="none" w:sz="0" w:space="0" w:color="auto"/>
      </w:divBdr>
    </w:div>
    <w:div w:id="175636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ean.org/joint-statement-of-the-sixteenth-aem-eu-trade-commissioner-consult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ean.org/?static_post=asean-economic-community-blueprint-2025"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iseplus.asean.org/events/" TargetMode="External"/><Relationship Id="rId2" Type="http://schemas.openxmlformats.org/officeDocument/2006/relationships/hyperlink" Target="https://asean.org/wp-content/uploads/images/archive/documents/111219-17th%20ATM_Agenda%20Item%208%20ASAM%20Implementation%20Framework.pdf" TargetMode="External"/><Relationship Id="rId1" Type="http://schemas.openxmlformats.org/officeDocument/2006/relationships/hyperlink" Target="http://ariseplus.asean.org/projects/" TargetMode="External"/><Relationship Id="rId4" Type="http://schemas.openxmlformats.org/officeDocument/2006/relationships/hyperlink" Target="http://ariseplus.asean.org/projec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1CB2-C774-F440-BAD8-A0A70948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11294</Words>
  <Characters>64378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Xuechen</dc:creator>
  <cp:keywords/>
  <dc:description/>
  <cp:lastModifiedBy>Chen, Xuechen</cp:lastModifiedBy>
  <cp:revision>2</cp:revision>
  <dcterms:created xsi:type="dcterms:W3CDTF">2021-01-14T21:00:00Z</dcterms:created>
  <dcterms:modified xsi:type="dcterms:W3CDTF">2021-01-14T21:00:00Z</dcterms:modified>
</cp:coreProperties>
</file>