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9D5C" w14:textId="41403B68" w:rsidR="004A6F37" w:rsidRPr="002B0075" w:rsidRDefault="00B14865" w:rsidP="00514E1A">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Unpacking</w:t>
      </w:r>
      <w:r w:rsidR="004A6F37" w:rsidRPr="002B0075">
        <w:rPr>
          <w:rFonts w:ascii="Times New Roman" w:hAnsi="Times New Roman" w:cs="Times New Roman"/>
          <w:b/>
          <w:bCs/>
          <w:color w:val="000000" w:themeColor="text1"/>
          <w:sz w:val="20"/>
          <w:szCs w:val="20"/>
        </w:rPr>
        <w:t xml:space="preserve"> Normative Power Europe: EU Promotion of Security Norm Cluster in ASEAN</w:t>
      </w:r>
    </w:p>
    <w:p w14:paraId="6E6DA0C2" w14:textId="5B28E4F4" w:rsidR="00117D68" w:rsidRDefault="00117D68" w:rsidP="00514E1A">
      <w:pPr>
        <w:jc w:val="both"/>
        <w:rPr>
          <w:rFonts w:ascii="Times New Roman" w:hAnsi="Times New Roman" w:cs="Times New Roman"/>
          <w:color w:val="000000" w:themeColor="text1"/>
          <w:sz w:val="20"/>
          <w:szCs w:val="20"/>
        </w:rPr>
      </w:pPr>
    </w:p>
    <w:p w14:paraId="79960A5E" w14:textId="54A54F38" w:rsidR="002E3199" w:rsidRPr="002B0075" w:rsidRDefault="002E3199" w:rsidP="00514E1A">
      <w:pPr>
        <w:jc w:val="both"/>
        <w:rPr>
          <w:rFonts w:ascii="Times New Roman" w:hAnsi="Times New Roman" w:cs="Times New Roman" w:hint="eastAsia"/>
          <w:color w:val="000000" w:themeColor="text1"/>
          <w:sz w:val="20"/>
          <w:szCs w:val="20"/>
        </w:rPr>
      </w:pPr>
      <w:r>
        <w:rPr>
          <w:rFonts w:ascii="Times New Roman" w:hAnsi="Times New Roman" w:cs="Times New Roman" w:hint="eastAsia"/>
          <w:color w:val="000000" w:themeColor="text1"/>
          <w:sz w:val="20"/>
          <w:szCs w:val="20"/>
        </w:rPr>
        <w:t>D</w:t>
      </w:r>
      <w:r>
        <w:rPr>
          <w:rFonts w:ascii="Times New Roman" w:hAnsi="Times New Roman" w:cs="Times New Roman"/>
          <w:color w:val="000000" w:themeColor="text1"/>
          <w:sz w:val="20"/>
          <w:szCs w:val="20"/>
        </w:rPr>
        <w:t xml:space="preserve">r </w:t>
      </w:r>
      <w:proofErr w:type="spellStart"/>
      <w:r>
        <w:rPr>
          <w:rFonts w:ascii="Times New Roman" w:hAnsi="Times New Roman" w:cs="Times New Roman"/>
          <w:color w:val="000000" w:themeColor="text1"/>
          <w:sz w:val="20"/>
          <w:szCs w:val="20"/>
        </w:rPr>
        <w:t>Xuechen</w:t>
      </w:r>
      <w:proofErr w:type="spellEnd"/>
      <w:r>
        <w:rPr>
          <w:rFonts w:ascii="Times New Roman" w:hAnsi="Times New Roman" w:cs="Times New Roman"/>
          <w:color w:val="000000" w:themeColor="text1"/>
          <w:sz w:val="20"/>
          <w:szCs w:val="20"/>
        </w:rPr>
        <w:t xml:space="preserve"> Chen, Faculty of Politics and International Relations, </w:t>
      </w:r>
      <w:proofErr w:type="spellStart"/>
      <w:r>
        <w:rPr>
          <w:rFonts w:ascii="Times New Roman" w:hAnsi="Times New Roman" w:cs="Times New Roman"/>
          <w:color w:val="000000" w:themeColor="text1"/>
          <w:sz w:val="20"/>
          <w:szCs w:val="20"/>
        </w:rPr>
        <w:t>Northeastern</w:t>
      </w:r>
      <w:proofErr w:type="spellEnd"/>
      <w:r>
        <w:rPr>
          <w:rFonts w:ascii="Times New Roman" w:hAnsi="Times New Roman" w:cs="Times New Roman"/>
          <w:color w:val="000000" w:themeColor="text1"/>
          <w:sz w:val="20"/>
          <w:szCs w:val="20"/>
        </w:rPr>
        <w:t xml:space="preserve"> University London</w:t>
      </w:r>
    </w:p>
    <w:p w14:paraId="596D696E" w14:textId="6DACB259" w:rsidR="008162AC" w:rsidRPr="002B0075" w:rsidRDefault="008162AC" w:rsidP="00514E1A">
      <w:pPr>
        <w:jc w:val="both"/>
        <w:rPr>
          <w:rFonts w:ascii="Times New Roman" w:hAnsi="Times New Roman" w:cs="Times New Roman"/>
          <w:b/>
          <w:bCs/>
          <w:color w:val="000000" w:themeColor="text1"/>
          <w:sz w:val="20"/>
          <w:szCs w:val="20"/>
        </w:rPr>
      </w:pPr>
    </w:p>
    <w:p w14:paraId="1542E26B" w14:textId="2A3E9E4D" w:rsidR="00A972DA" w:rsidRPr="002B0075" w:rsidRDefault="00A972DA" w:rsidP="00514E1A">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Abstract</w:t>
      </w:r>
    </w:p>
    <w:p w14:paraId="3F4BB714" w14:textId="785009A0" w:rsidR="00EF6DAC" w:rsidRPr="002B0075" w:rsidRDefault="00EF6DAC"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The concept of Normative Power Europe (NPE) has sparked widespread debate over the EU’s external relations and its role in world politics.</w:t>
      </w:r>
      <w:r w:rsidR="00D515D4" w:rsidRPr="002B0075">
        <w:rPr>
          <w:rFonts w:ascii="Times New Roman" w:hAnsi="Times New Roman" w:cs="Times New Roman"/>
          <w:color w:val="000000" w:themeColor="text1"/>
          <w:sz w:val="20"/>
          <w:szCs w:val="20"/>
        </w:rPr>
        <w:t xml:space="preserve"> </w:t>
      </w:r>
      <w:r w:rsidR="00D515D4" w:rsidRPr="002B0075">
        <w:rPr>
          <w:rFonts w:ascii="Times New Roman" w:hAnsi="Times New Roman" w:cs="Times New Roman"/>
          <w:color w:val="000000" w:themeColor="text1"/>
          <w:sz w:val="20"/>
          <w:szCs w:val="20"/>
          <w:lang w:val="en-US"/>
        </w:rPr>
        <w:t xml:space="preserve">Whist </w:t>
      </w:r>
      <w:r w:rsidRPr="002B0075">
        <w:rPr>
          <w:rFonts w:ascii="Times New Roman" w:hAnsi="Times New Roman" w:cs="Times New Roman" w:hint="eastAsia"/>
          <w:color w:val="000000" w:themeColor="text1"/>
          <w:sz w:val="20"/>
          <w:szCs w:val="20"/>
        </w:rPr>
        <w:t>t</w:t>
      </w:r>
      <w:r w:rsidRPr="002B0075">
        <w:rPr>
          <w:rFonts w:ascii="Times New Roman" w:hAnsi="Times New Roman" w:cs="Times New Roman"/>
          <w:color w:val="000000" w:themeColor="text1"/>
          <w:sz w:val="20"/>
          <w:szCs w:val="20"/>
        </w:rPr>
        <w:t>he EU studies community has engaged with the NPE literature and studied EU norm-entrepreneurship at theoretical and empirical levels</w:t>
      </w:r>
      <w:r w:rsidR="00D515D4" w:rsidRPr="002B0075">
        <w:rPr>
          <w:rFonts w:ascii="Times New Roman" w:hAnsi="Times New Roman" w:cs="Times New Roman"/>
          <w:color w:val="000000" w:themeColor="text1"/>
          <w:sz w:val="20"/>
          <w:szCs w:val="20"/>
        </w:rPr>
        <w:t>, the NPE literature suffers</w:t>
      </w:r>
      <w:r w:rsidRPr="002B0075">
        <w:rPr>
          <w:rFonts w:ascii="Times New Roman" w:hAnsi="Times New Roman" w:cs="Times New Roman"/>
          <w:color w:val="000000" w:themeColor="text1"/>
          <w:sz w:val="20"/>
          <w:szCs w:val="20"/>
        </w:rPr>
        <w:t xml:space="preserve"> from two </w:t>
      </w:r>
      <w:r w:rsidR="009C6465" w:rsidRPr="002B0075">
        <w:rPr>
          <w:rFonts w:ascii="Times New Roman" w:hAnsi="Times New Roman" w:cs="Times New Roman"/>
          <w:color w:val="000000" w:themeColor="text1"/>
          <w:sz w:val="20"/>
          <w:szCs w:val="20"/>
          <w:lang w:val="en-US"/>
        </w:rPr>
        <w:t>limitations</w:t>
      </w:r>
      <w:r w:rsidRPr="002B0075">
        <w:rPr>
          <w:rFonts w:ascii="Times New Roman" w:hAnsi="Times New Roman" w:cs="Times New Roman" w:hint="eastAsia"/>
          <w:color w:val="000000" w:themeColor="text1"/>
          <w:sz w:val="20"/>
          <w:szCs w:val="20"/>
        </w:rPr>
        <w:t>:</w:t>
      </w:r>
      <w:r w:rsidRPr="002B0075">
        <w:rPr>
          <w:rFonts w:ascii="Times New Roman" w:hAnsi="Times New Roman" w:cs="Times New Roman"/>
          <w:color w:val="000000" w:themeColor="text1"/>
          <w:sz w:val="20"/>
          <w:szCs w:val="20"/>
        </w:rPr>
        <w:t xml:space="preserve"> first, it </w:t>
      </w:r>
      <w:r w:rsidR="009C6465" w:rsidRPr="002B0075">
        <w:rPr>
          <w:rFonts w:ascii="Times New Roman" w:hAnsi="Times New Roman" w:cs="Times New Roman"/>
          <w:color w:val="000000" w:themeColor="text1"/>
          <w:sz w:val="20"/>
          <w:szCs w:val="20"/>
        </w:rPr>
        <w:t>does not fully</w:t>
      </w:r>
      <w:r w:rsidR="00D515D4"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 xml:space="preserve">uncover the </w:t>
      </w:r>
      <w:r w:rsidR="006413D8" w:rsidRPr="002B0075">
        <w:rPr>
          <w:rFonts w:ascii="Times New Roman" w:hAnsi="Times New Roman" w:cs="Times New Roman"/>
          <w:color w:val="000000" w:themeColor="text1"/>
          <w:sz w:val="20"/>
          <w:szCs w:val="20"/>
        </w:rPr>
        <w:t>complexity of</w:t>
      </w:r>
      <w:r w:rsidRPr="002B0075">
        <w:rPr>
          <w:rFonts w:ascii="Times New Roman" w:hAnsi="Times New Roman" w:cs="Times New Roman"/>
          <w:color w:val="000000" w:themeColor="text1"/>
          <w:sz w:val="20"/>
          <w:szCs w:val="20"/>
        </w:rPr>
        <w:t xml:space="preserve"> EU diffusion </w:t>
      </w:r>
      <w:r w:rsidR="00A450B8" w:rsidRPr="002B0075">
        <w:rPr>
          <w:rFonts w:ascii="Times New Roman" w:hAnsi="Times New Roman" w:cs="Times New Roman" w:hint="eastAsia"/>
          <w:color w:val="000000" w:themeColor="text1"/>
          <w:sz w:val="20"/>
          <w:szCs w:val="20"/>
        </w:rPr>
        <w:t>items</w:t>
      </w:r>
      <w:r w:rsidR="006413D8" w:rsidRPr="002B0075">
        <w:rPr>
          <w:rFonts w:ascii="Times New Roman" w:hAnsi="Times New Roman" w:cs="Times New Roman"/>
          <w:color w:val="000000" w:themeColor="text1"/>
          <w:sz w:val="20"/>
          <w:szCs w:val="20"/>
        </w:rPr>
        <w:t xml:space="preserve"> with various levels of specificity</w:t>
      </w:r>
      <w:r w:rsidRPr="002B0075">
        <w:rPr>
          <w:rFonts w:ascii="Times New Roman" w:hAnsi="Times New Roman" w:cs="Times New Roman"/>
          <w:color w:val="000000" w:themeColor="text1"/>
          <w:sz w:val="20"/>
          <w:szCs w:val="20"/>
        </w:rPr>
        <w:t xml:space="preserve">; second, </w:t>
      </w:r>
      <w:r w:rsidR="00D515D4" w:rsidRPr="002B0075">
        <w:rPr>
          <w:rFonts w:ascii="Times New Roman" w:hAnsi="Times New Roman" w:cs="Times New Roman"/>
          <w:color w:val="000000" w:themeColor="text1"/>
          <w:sz w:val="20"/>
          <w:szCs w:val="20"/>
        </w:rPr>
        <w:t>the effectiveness of EU norm diffusion remains underexplored. To remedy these limitations, this article aims to provide a more nuanced understanding of the EU’s projection of normative power by drawing on analytical tools from diffusion literature. By doing so, this research argues that the EU’s projection of normative power in relation to other international actors can be conceptualised as a process of diffusion EU norm-clusters in various policy areas. It also reconceptualises the impact of the EU’s normative power as varying diffusion outcomes. By undertaking an empirical case study of the EU-ASEAN security cooperation, this research adopts the analytical framework to unpack the EU’s projection of normative power and diffusion of security-related norm-cluster in relation to ASEAN.</w:t>
      </w:r>
    </w:p>
    <w:p w14:paraId="6DC12885" w14:textId="77777777" w:rsidR="00EF6DAC" w:rsidRPr="002B0075" w:rsidRDefault="00EF6DAC" w:rsidP="00514E1A">
      <w:pPr>
        <w:jc w:val="both"/>
        <w:rPr>
          <w:rFonts w:ascii="Times New Roman" w:hAnsi="Times New Roman" w:cs="Times New Roman"/>
          <w:b/>
          <w:bCs/>
          <w:color w:val="000000" w:themeColor="text1"/>
          <w:sz w:val="20"/>
          <w:szCs w:val="20"/>
        </w:rPr>
      </w:pPr>
    </w:p>
    <w:p w14:paraId="345975DA" w14:textId="2935387F" w:rsidR="00601FD2" w:rsidRPr="002B0075" w:rsidRDefault="00601FD2" w:rsidP="00514E1A">
      <w:pPr>
        <w:jc w:val="both"/>
        <w:rPr>
          <w:rFonts w:ascii="Times New Roman" w:hAnsi="Times New Roman" w:cs="Times New Roman"/>
          <w:b/>
          <w:bCs/>
          <w:color w:val="000000" w:themeColor="text1"/>
          <w:sz w:val="20"/>
          <w:szCs w:val="20"/>
          <w:lang w:val="en-US"/>
        </w:rPr>
      </w:pPr>
      <w:r w:rsidRPr="002B0075">
        <w:rPr>
          <w:rFonts w:ascii="Times New Roman" w:hAnsi="Times New Roman" w:cs="Times New Roman"/>
          <w:b/>
          <w:bCs/>
          <w:color w:val="000000" w:themeColor="text1"/>
          <w:sz w:val="20"/>
          <w:szCs w:val="20"/>
        </w:rPr>
        <w:t>Keywords</w:t>
      </w:r>
      <w:r w:rsidR="0078778E" w:rsidRPr="002B0075">
        <w:rPr>
          <w:rFonts w:ascii="Times New Roman" w:hAnsi="Times New Roman" w:cs="Times New Roman"/>
          <w:b/>
          <w:bCs/>
          <w:color w:val="000000" w:themeColor="text1"/>
          <w:sz w:val="20"/>
          <w:szCs w:val="20"/>
        </w:rPr>
        <w:t>: Normative Power Europe, EU, ASEAN, Security, Norm-cluster, Diffusion</w:t>
      </w:r>
    </w:p>
    <w:p w14:paraId="0210D786" w14:textId="77777777" w:rsidR="008162AC" w:rsidRPr="002B0075" w:rsidRDefault="008162AC" w:rsidP="00514E1A">
      <w:pPr>
        <w:jc w:val="both"/>
        <w:rPr>
          <w:rFonts w:ascii="Times New Roman" w:hAnsi="Times New Roman" w:cs="Times New Roman"/>
          <w:color w:val="000000" w:themeColor="text1"/>
          <w:sz w:val="20"/>
          <w:szCs w:val="20"/>
        </w:rPr>
      </w:pPr>
    </w:p>
    <w:p w14:paraId="61FD7E76" w14:textId="1306247E" w:rsidR="004A6F37" w:rsidRPr="002B0075" w:rsidRDefault="000164D5" w:rsidP="004428FA">
      <w:pPr>
        <w:pStyle w:val="aa"/>
        <w:numPr>
          <w:ilvl w:val="0"/>
          <w:numId w:val="15"/>
        </w:numPr>
        <w:ind w:firstLineChars="0"/>
        <w:jc w:val="both"/>
        <w:rPr>
          <w:rFonts w:cs="Times New Roman"/>
          <w:b/>
          <w:bCs/>
          <w:color w:val="000000" w:themeColor="text1"/>
          <w:sz w:val="20"/>
          <w:szCs w:val="20"/>
        </w:rPr>
      </w:pPr>
      <w:r w:rsidRPr="002B0075">
        <w:rPr>
          <w:rFonts w:cs="Times New Roman"/>
          <w:b/>
          <w:bCs/>
          <w:color w:val="000000" w:themeColor="text1"/>
          <w:sz w:val="20"/>
          <w:szCs w:val="20"/>
        </w:rPr>
        <w:t>Introduction</w:t>
      </w:r>
    </w:p>
    <w:p w14:paraId="54E955D3" w14:textId="77777777" w:rsidR="004A6F37" w:rsidRPr="002B0075" w:rsidRDefault="004A6F37" w:rsidP="00514E1A">
      <w:pPr>
        <w:jc w:val="both"/>
        <w:rPr>
          <w:rFonts w:ascii="Times New Roman" w:hAnsi="Times New Roman" w:cs="Times New Roman"/>
          <w:color w:val="000000" w:themeColor="text1"/>
          <w:sz w:val="20"/>
          <w:szCs w:val="20"/>
        </w:rPr>
      </w:pPr>
    </w:p>
    <w:p w14:paraId="29245265" w14:textId="774938C9" w:rsidR="006B06B8"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Normative Power Europe (NPE), conceived by Ian Manners in 2002, sparked widespread debate among scholars of EU external relations and the EU’s global role</w:t>
      </w:r>
      <w:r w:rsidR="00CC0E2D" w:rsidRPr="002B0075">
        <w:rPr>
          <w:rFonts w:ascii="Times New Roman" w:hAnsi="Times New Roman" w:cs="Times New Roman"/>
          <w:color w:val="000000" w:themeColor="text1"/>
          <w:sz w:val="20"/>
          <w:szCs w:val="20"/>
        </w:rPr>
        <w:t xml:space="preserve"> (</w:t>
      </w:r>
      <w:proofErr w:type="spellStart"/>
      <w:r w:rsidR="00CC0E2D" w:rsidRPr="002B0075">
        <w:rPr>
          <w:rFonts w:ascii="Times New Roman" w:hAnsi="Times New Roman" w:cs="Times New Roman"/>
          <w:color w:val="000000" w:themeColor="text1"/>
          <w:sz w:val="20"/>
          <w:szCs w:val="20"/>
        </w:rPr>
        <w:t>Bicchi</w:t>
      </w:r>
      <w:proofErr w:type="spellEnd"/>
      <w:r w:rsidR="00CC0E2D" w:rsidRPr="002B0075">
        <w:rPr>
          <w:rFonts w:ascii="Times New Roman" w:hAnsi="Times New Roman" w:cs="Times New Roman"/>
          <w:color w:val="000000" w:themeColor="text1"/>
          <w:sz w:val="20"/>
          <w:szCs w:val="20"/>
        </w:rPr>
        <w:t xml:space="preserve"> 2006; Birchfield 2013</w:t>
      </w:r>
      <w:r w:rsidR="00E8605E" w:rsidRPr="002B0075">
        <w:rPr>
          <w:rFonts w:ascii="Times New Roman" w:hAnsi="Times New Roman" w:cs="Times New Roman"/>
          <w:color w:val="000000" w:themeColor="text1"/>
          <w:sz w:val="20"/>
          <w:szCs w:val="20"/>
        </w:rPr>
        <w:t xml:space="preserve">; De </w:t>
      </w:r>
      <w:proofErr w:type="spellStart"/>
      <w:r w:rsidR="00E8605E" w:rsidRPr="002B0075">
        <w:rPr>
          <w:rFonts w:ascii="Times New Roman" w:hAnsi="Times New Roman" w:cs="Times New Roman"/>
          <w:color w:val="000000" w:themeColor="text1"/>
          <w:sz w:val="20"/>
          <w:szCs w:val="20"/>
        </w:rPr>
        <w:t>Zutter</w:t>
      </w:r>
      <w:proofErr w:type="spellEnd"/>
      <w:r w:rsidR="00E8605E" w:rsidRPr="002B0075">
        <w:rPr>
          <w:rFonts w:ascii="Times New Roman" w:hAnsi="Times New Roman" w:cs="Times New Roman"/>
          <w:color w:val="000000" w:themeColor="text1"/>
          <w:sz w:val="20"/>
          <w:szCs w:val="20"/>
        </w:rPr>
        <w:t xml:space="preserve"> 2010; Manners 2002</w:t>
      </w:r>
      <w:r w:rsidR="00CC0E2D"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For nearly two decades, the EU studies community has engaged with the NPE literature and studied EU norm-entrepreneurship at theoretical and empirical levels (</w:t>
      </w:r>
      <w:proofErr w:type="spellStart"/>
      <w:r w:rsidR="00CC0E2D" w:rsidRPr="002B0075">
        <w:rPr>
          <w:rFonts w:ascii="Times New Roman" w:hAnsi="Times New Roman" w:cs="Times New Roman"/>
          <w:color w:val="000000" w:themeColor="text1"/>
          <w:sz w:val="20"/>
          <w:szCs w:val="20"/>
        </w:rPr>
        <w:t>Sicurelli</w:t>
      </w:r>
      <w:proofErr w:type="spellEnd"/>
      <w:r w:rsidR="00CC0E2D" w:rsidRPr="002B0075">
        <w:rPr>
          <w:rFonts w:ascii="Times New Roman" w:hAnsi="Times New Roman" w:cs="Times New Roman"/>
          <w:color w:val="000000" w:themeColor="text1"/>
          <w:sz w:val="20"/>
          <w:szCs w:val="20"/>
        </w:rPr>
        <w:t xml:space="preserve"> 2020; </w:t>
      </w:r>
      <w:proofErr w:type="spellStart"/>
      <w:r w:rsidR="00CC0E2D" w:rsidRPr="002B0075">
        <w:rPr>
          <w:rFonts w:ascii="Times New Roman" w:hAnsi="Times New Roman" w:cs="Times New Roman"/>
          <w:color w:val="000000" w:themeColor="text1"/>
          <w:sz w:val="20"/>
          <w:szCs w:val="20"/>
        </w:rPr>
        <w:t>Wagnsson</w:t>
      </w:r>
      <w:proofErr w:type="spellEnd"/>
      <w:r w:rsidR="00CC0E2D" w:rsidRPr="002B0075">
        <w:rPr>
          <w:rFonts w:ascii="Times New Roman" w:hAnsi="Times New Roman" w:cs="Times New Roman"/>
          <w:color w:val="000000" w:themeColor="text1"/>
          <w:sz w:val="20"/>
          <w:szCs w:val="20"/>
        </w:rPr>
        <w:t xml:space="preserve"> and Hellman 2018; </w:t>
      </w:r>
      <w:r w:rsidRPr="002B0075">
        <w:rPr>
          <w:rFonts w:ascii="Times New Roman" w:hAnsi="Times New Roman" w:cs="Times New Roman"/>
          <w:color w:val="000000" w:themeColor="text1"/>
          <w:sz w:val="20"/>
          <w:szCs w:val="20"/>
        </w:rPr>
        <w:t xml:space="preserve">Whitman, 2011). Nevertheless, the existing literature on </w:t>
      </w:r>
      <w:r w:rsidR="00CC0E2D" w:rsidRPr="002B0075">
        <w:rPr>
          <w:rFonts w:ascii="Times New Roman" w:hAnsi="Times New Roman" w:cs="Times New Roman"/>
          <w:color w:val="000000" w:themeColor="text1"/>
          <w:sz w:val="20"/>
          <w:szCs w:val="20"/>
        </w:rPr>
        <w:t xml:space="preserve">the EU’s normative power </w:t>
      </w:r>
      <w:r w:rsidRPr="002B0075">
        <w:rPr>
          <w:rFonts w:ascii="Times New Roman" w:hAnsi="Times New Roman" w:cs="Times New Roman"/>
          <w:color w:val="000000" w:themeColor="text1"/>
          <w:sz w:val="20"/>
          <w:szCs w:val="20"/>
        </w:rPr>
        <w:t xml:space="preserve">in global politics struggles to uncover the </w:t>
      </w:r>
      <w:r w:rsidR="00CC2857" w:rsidRPr="002B0075">
        <w:rPr>
          <w:rFonts w:ascii="Times New Roman" w:hAnsi="Times New Roman" w:cs="Times New Roman"/>
          <w:color w:val="000000" w:themeColor="text1"/>
          <w:sz w:val="20"/>
          <w:szCs w:val="20"/>
        </w:rPr>
        <w:t>complexity</w:t>
      </w:r>
      <w:r w:rsidRPr="002B0075">
        <w:rPr>
          <w:rFonts w:ascii="Times New Roman" w:hAnsi="Times New Roman" w:cs="Times New Roman"/>
          <w:color w:val="000000" w:themeColor="text1"/>
          <w:sz w:val="20"/>
          <w:szCs w:val="20"/>
        </w:rPr>
        <w:t xml:space="preserve"> of </w:t>
      </w:r>
      <w:r w:rsidR="00CC0E2D" w:rsidRPr="002B0075">
        <w:rPr>
          <w:rFonts w:ascii="Times New Roman" w:hAnsi="Times New Roman" w:cs="Times New Roman"/>
          <w:color w:val="000000" w:themeColor="text1"/>
          <w:sz w:val="20"/>
          <w:szCs w:val="20"/>
        </w:rPr>
        <w:t xml:space="preserve">EU diffusion </w:t>
      </w:r>
      <w:r w:rsidR="00FF25E8" w:rsidRPr="002B0075">
        <w:rPr>
          <w:rFonts w:ascii="Times New Roman" w:hAnsi="Times New Roman" w:cs="Times New Roman"/>
          <w:color w:val="000000" w:themeColor="text1"/>
          <w:sz w:val="20"/>
          <w:szCs w:val="20"/>
          <w:lang w:val="en-US"/>
        </w:rPr>
        <w:t>items</w:t>
      </w:r>
      <w:r w:rsidR="00CC0E2D" w:rsidRPr="002B0075">
        <w:rPr>
          <w:rFonts w:ascii="Times New Roman" w:hAnsi="Times New Roman" w:cs="Times New Roman" w:hint="eastAsia"/>
          <w:color w:val="000000" w:themeColor="text1"/>
          <w:sz w:val="20"/>
          <w:szCs w:val="20"/>
        </w:rPr>
        <w:t xml:space="preserve"> </w:t>
      </w:r>
      <w:r w:rsidR="00CC0E2D" w:rsidRPr="002B0075">
        <w:rPr>
          <w:rFonts w:ascii="Times New Roman" w:hAnsi="Times New Roman" w:cs="Times New Roman"/>
          <w:color w:val="000000" w:themeColor="text1"/>
          <w:sz w:val="20"/>
          <w:szCs w:val="20"/>
        </w:rPr>
        <w:t>across different policy areas</w:t>
      </w:r>
      <w:r w:rsidRPr="002B0075">
        <w:rPr>
          <w:rFonts w:ascii="Times New Roman" w:hAnsi="Times New Roman" w:cs="Times New Roman"/>
          <w:color w:val="000000" w:themeColor="text1"/>
          <w:sz w:val="20"/>
          <w:szCs w:val="20"/>
        </w:rPr>
        <w:t xml:space="preserve"> and </w:t>
      </w:r>
      <w:r w:rsidR="00CC0E2D" w:rsidRPr="002B0075">
        <w:rPr>
          <w:rFonts w:ascii="Times New Roman" w:hAnsi="Times New Roman" w:cs="Times New Roman"/>
          <w:color w:val="000000" w:themeColor="text1"/>
          <w:sz w:val="20"/>
          <w:szCs w:val="20"/>
        </w:rPr>
        <w:t>the effects of the Union’s projection of</w:t>
      </w:r>
      <w:r w:rsidRPr="002B0075">
        <w:rPr>
          <w:rFonts w:ascii="Times New Roman" w:hAnsi="Times New Roman" w:cs="Times New Roman"/>
          <w:color w:val="000000" w:themeColor="text1"/>
          <w:sz w:val="20"/>
          <w:szCs w:val="20"/>
        </w:rPr>
        <w:t xml:space="preserve"> normative power in relation to third parties. </w:t>
      </w:r>
      <w:r w:rsidR="00FF25E8" w:rsidRPr="002B0075">
        <w:rPr>
          <w:rFonts w:ascii="Times New Roman" w:hAnsi="Times New Roman" w:cs="Times New Roman"/>
          <w:color w:val="000000" w:themeColor="text1"/>
          <w:sz w:val="20"/>
          <w:szCs w:val="20"/>
        </w:rPr>
        <w:t>Specifically, the conventional NPE literature primarily focused on the EU’s promotion of a single norm (or a single category of norms) in relation to third parties.</w:t>
      </w:r>
      <w:r w:rsidR="00FF25E8" w:rsidRPr="002B0075">
        <w:rPr>
          <w:rStyle w:val="a5"/>
          <w:rFonts w:ascii="Times New Roman" w:hAnsi="Times New Roman" w:cs="Times New Roman"/>
          <w:color w:val="000000" w:themeColor="text1"/>
          <w:sz w:val="20"/>
          <w:szCs w:val="20"/>
        </w:rPr>
        <w:footnoteReference w:id="1"/>
      </w:r>
      <w:r w:rsidR="00FF25E8"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 xml:space="preserve">This is mainly because the current research on NPE </w:t>
      </w:r>
      <w:r w:rsidR="003C08A3" w:rsidRPr="002B0075">
        <w:rPr>
          <w:rFonts w:ascii="Times New Roman" w:hAnsi="Times New Roman" w:cs="Times New Roman"/>
          <w:color w:val="000000" w:themeColor="text1"/>
          <w:sz w:val="20"/>
          <w:szCs w:val="20"/>
        </w:rPr>
        <w:t>has not developed</w:t>
      </w:r>
      <w:r w:rsidRPr="002B0075">
        <w:rPr>
          <w:rFonts w:ascii="Times New Roman" w:hAnsi="Times New Roman" w:cs="Times New Roman"/>
          <w:color w:val="000000" w:themeColor="text1"/>
          <w:sz w:val="20"/>
          <w:szCs w:val="20"/>
        </w:rPr>
        <w:t xml:space="preserve"> sufficient analytical tools to grasp the complexity of the EU’s diffusion items and the </w:t>
      </w:r>
      <w:r w:rsidR="003C08A3" w:rsidRPr="002B0075">
        <w:rPr>
          <w:rFonts w:ascii="Times New Roman" w:hAnsi="Times New Roman" w:cs="Times New Roman"/>
          <w:color w:val="000000" w:themeColor="text1"/>
          <w:sz w:val="20"/>
          <w:szCs w:val="20"/>
        </w:rPr>
        <w:t>outcomes</w:t>
      </w:r>
      <w:r w:rsidRPr="002B0075">
        <w:rPr>
          <w:rFonts w:ascii="Times New Roman" w:hAnsi="Times New Roman" w:cs="Times New Roman"/>
          <w:color w:val="000000" w:themeColor="text1"/>
          <w:sz w:val="20"/>
          <w:szCs w:val="20"/>
        </w:rPr>
        <w:t xml:space="preserve"> of diffusion process. </w:t>
      </w:r>
      <w:r w:rsidR="003C08A3" w:rsidRPr="002B0075">
        <w:rPr>
          <w:rFonts w:ascii="Times New Roman" w:hAnsi="Times New Roman" w:cs="Times New Roman"/>
          <w:color w:val="000000" w:themeColor="text1"/>
          <w:sz w:val="20"/>
          <w:szCs w:val="20"/>
        </w:rPr>
        <w:t xml:space="preserve">To address this shortcoming, this article draws from diffusion theory – </w:t>
      </w:r>
      <w:r w:rsidRPr="002B0075">
        <w:rPr>
          <w:rFonts w:ascii="Times New Roman" w:hAnsi="Times New Roman" w:cs="Times New Roman"/>
          <w:color w:val="000000" w:themeColor="text1"/>
          <w:sz w:val="20"/>
          <w:szCs w:val="20"/>
        </w:rPr>
        <w:t>a growing body of literature exploring how and why international norms and policies spread across the globe</w:t>
      </w:r>
      <w:r w:rsidR="009F415E" w:rsidRPr="002B0075">
        <w:rPr>
          <w:rFonts w:ascii="Times New Roman" w:hAnsi="Times New Roman" w:cs="Times New Roman"/>
          <w:color w:val="000000" w:themeColor="text1"/>
          <w:sz w:val="20"/>
          <w:szCs w:val="20"/>
        </w:rPr>
        <w:t xml:space="preserve"> (</w:t>
      </w:r>
      <w:proofErr w:type="spellStart"/>
      <w:r w:rsidR="00500C9D" w:rsidRPr="002B0075">
        <w:rPr>
          <w:rFonts w:ascii="Times New Roman" w:hAnsi="Times New Roman" w:cs="Times New Roman"/>
          <w:color w:val="000000" w:themeColor="text1"/>
          <w:sz w:val="20"/>
          <w:szCs w:val="20"/>
        </w:rPr>
        <w:t>Delcour</w:t>
      </w:r>
      <w:proofErr w:type="spellEnd"/>
      <w:r w:rsidR="00500C9D" w:rsidRPr="002B0075">
        <w:rPr>
          <w:rFonts w:ascii="Times New Roman" w:hAnsi="Times New Roman" w:cs="Times New Roman"/>
          <w:color w:val="000000" w:themeColor="text1"/>
          <w:sz w:val="20"/>
          <w:szCs w:val="20"/>
        </w:rPr>
        <w:t xml:space="preserve">, L. and </w:t>
      </w:r>
      <w:proofErr w:type="spellStart"/>
      <w:r w:rsidR="00500C9D" w:rsidRPr="002B0075">
        <w:rPr>
          <w:rFonts w:ascii="Times New Roman" w:hAnsi="Times New Roman" w:cs="Times New Roman"/>
          <w:color w:val="000000" w:themeColor="text1"/>
          <w:sz w:val="20"/>
          <w:szCs w:val="20"/>
        </w:rPr>
        <w:t>Tulmets</w:t>
      </w:r>
      <w:proofErr w:type="spellEnd"/>
      <w:r w:rsidR="00500C9D" w:rsidRPr="002B0075">
        <w:rPr>
          <w:rFonts w:ascii="Times New Roman" w:hAnsi="Times New Roman" w:cs="Times New Roman"/>
          <w:color w:val="000000" w:themeColor="text1"/>
          <w:sz w:val="20"/>
          <w:szCs w:val="20"/>
        </w:rPr>
        <w:t xml:space="preserve"> 2019</w:t>
      </w:r>
      <w:r w:rsidR="009F415E" w:rsidRPr="002B0075">
        <w:rPr>
          <w:rFonts w:ascii="Times New Roman" w:hAnsi="Times New Roman" w:cs="Times New Roman"/>
          <w:color w:val="000000" w:themeColor="text1"/>
          <w:sz w:val="20"/>
          <w:szCs w:val="20"/>
        </w:rPr>
        <w:t>)</w:t>
      </w:r>
      <w:r w:rsidR="003C08A3"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w:t>
      </w:r>
      <w:r w:rsidR="003C08A3" w:rsidRPr="002B0075">
        <w:rPr>
          <w:rFonts w:ascii="Times New Roman" w:hAnsi="Times New Roman" w:cs="Times New Roman"/>
          <w:color w:val="000000" w:themeColor="text1"/>
          <w:sz w:val="20"/>
          <w:szCs w:val="20"/>
        </w:rPr>
        <w:t xml:space="preserve"> and develops</w:t>
      </w:r>
      <w:r w:rsidRPr="002B0075">
        <w:rPr>
          <w:rFonts w:ascii="Times New Roman" w:hAnsi="Times New Roman" w:cs="Times New Roman"/>
          <w:color w:val="000000" w:themeColor="text1"/>
          <w:sz w:val="20"/>
          <w:szCs w:val="20"/>
        </w:rPr>
        <w:t xml:space="preserve"> a</w:t>
      </w:r>
      <w:r w:rsidR="00F000EA" w:rsidRPr="002B0075">
        <w:rPr>
          <w:rFonts w:ascii="Times New Roman" w:hAnsi="Times New Roman" w:cs="Times New Roman"/>
          <w:color w:val="000000" w:themeColor="text1"/>
          <w:sz w:val="20"/>
          <w:szCs w:val="20"/>
        </w:rPr>
        <w:t xml:space="preserve">n analytical </w:t>
      </w:r>
      <w:r w:rsidRPr="002B0075">
        <w:rPr>
          <w:rFonts w:ascii="Times New Roman" w:hAnsi="Times New Roman" w:cs="Times New Roman"/>
          <w:color w:val="000000" w:themeColor="text1"/>
          <w:sz w:val="20"/>
          <w:szCs w:val="20"/>
        </w:rPr>
        <w:t xml:space="preserve">framework offering a more nuanced understanding of the EU’s projection of normative power </w:t>
      </w:r>
      <w:r w:rsidR="009F415E" w:rsidRPr="002B0075">
        <w:rPr>
          <w:rFonts w:ascii="Times New Roman" w:hAnsi="Times New Roman" w:cs="Times New Roman"/>
          <w:color w:val="000000" w:themeColor="text1"/>
          <w:sz w:val="20"/>
          <w:szCs w:val="20"/>
        </w:rPr>
        <w:t>in international relations</w:t>
      </w:r>
      <w:r w:rsidR="00FF25E8" w:rsidRPr="002B0075">
        <w:rPr>
          <w:rFonts w:ascii="Times New Roman" w:hAnsi="Times New Roman" w:cs="Times New Roman"/>
          <w:color w:val="000000" w:themeColor="text1"/>
          <w:sz w:val="20"/>
          <w:szCs w:val="20"/>
        </w:rPr>
        <w:t xml:space="preserve"> with a particular focus on the EU’s diffusion items</w:t>
      </w:r>
      <w:r w:rsidR="001F44F8" w:rsidRPr="002B0075">
        <w:rPr>
          <w:rFonts w:ascii="Times New Roman" w:hAnsi="Times New Roman" w:cs="Times New Roman"/>
          <w:color w:val="000000" w:themeColor="text1"/>
          <w:sz w:val="20"/>
          <w:szCs w:val="20"/>
        </w:rPr>
        <w:t xml:space="preserve"> with different levels of specificity</w:t>
      </w:r>
      <w:r w:rsidR="00FF25E8" w:rsidRPr="002B0075">
        <w:rPr>
          <w:rFonts w:ascii="Times New Roman" w:hAnsi="Times New Roman" w:cs="Times New Roman"/>
          <w:color w:val="000000" w:themeColor="text1"/>
          <w:sz w:val="20"/>
          <w:szCs w:val="20"/>
        </w:rPr>
        <w:t xml:space="preserve"> and the effectiveness of diffusion outcome</w:t>
      </w:r>
      <w:r w:rsidRPr="002B0075">
        <w:rPr>
          <w:rFonts w:ascii="Times New Roman" w:hAnsi="Times New Roman" w:cs="Times New Roman"/>
          <w:color w:val="000000" w:themeColor="text1"/>
          <w:sz w:val="20"/>
          <w:szCs w:val="20"/>
        </w:rPr>
        <w:t xml:space="preserve">. </w:t>
      </w:r>
    </w:p>
    <w:p w14:paraId="639D70CC" w14:textId="77777777" w:rsidR="006B06B8" w:rsidRPr="002B0075" w:rsidRDefault="006B06B8" w:rsidP="00514E1A">
      <w:pPr>
        <w:jc w:val="both"/>
        <w:rPr>
          <w:rFonts w:ascii="Times New Roman" w:hAnsi="Times New Roman" w:cs="Times New Roman"/>
          <w:color w:val="000000" w:themeColor="text1"/>
          <w:sz w:val="20"/>
          <w:szCs w:val="20"/>
        </w:rPr>
      </w:pPr>
    </w:p>
    <w:p w14:paraId="0282A6C0" w14:textId="0D19C7F6" w:rsidR="00C91311" w:rsidRPr="002B0075" w:rsidRDefault="006B06B8" w:rsidP="00514E1A">
      <w:pPr>
        <w:jc w:val="both"/>
        <w:rPr>
          <w:rFonts w:ascii="Times New Roman" w:hAnsi="Times New Roman" w:cs="Times New Roman"/>
          <w:color w:val="000000" w:themeColor="text1"/>
          <w:sz w:val="20"/>
          <w:szCs w:val="20"/>
          <w:lang w:val="en-US"/>
        </w:rPr>
      </w:pPr>
      <w:r w:rsidRPr="002B0075">
        <w:rPr>
          <w:rFonts w:ascii="Times New Roman" w:hAnsi="Times New Roman" w:cs="Times New Roman"/>
          <w:color w:val="000000" w:themeColor="text1"/>
          <w:sz w:val="20"/>
          <w:szCs w:val="20"/>
        </w:rPr>
        <w:t>I</w:t>
      </w:r>
      <w:r w:rsidR="003C08A3" w:rsidRPr="002B0075">
        <w:rPr>
          <w:rFonts w:ascii="Times New Roman" w:hAnsi="Times New Roman" w:cs="Times New Roman"/>
          <w:color w:val="000000" w:themeColor="text1"/>
          <w:sz w:val="20"/>
          <w:szCs w:val="20"/>
        </w:rPr>
        <w:t>n building on analytical tools from recent diffusion literature, this article conceptuali</w:t>
      </w:r>
      <w:r w:rsidR="00841098" w:rsidRPr="002B0075">
        <w:rPr>
          <w:rFonts w:ascii="Times New Roman" w:hAnsi="Times New Roman" w:cs="Times New Roman"/>
          <w:color w:val="000000" w:themeColor="text1"/>
          <w:sz w:val="20"/>
          <w:szCs w:val="20"/>
        </w:rPr>
        <w:t>s</w:t>
      </w:r>
      <w:r w:rsidR="003C08A3" w:rsidRPr="002B0075">
        <w:rPr>
          <w:rFonts w:ascii="Times New Roman" w:hAnsi="Times New Roman" w:cs="Times New Roman"/>
          <w:color w:val="000000" w:themeColor="text1"/>
          <w:sz w:val="20"/>
          <w:szCs w:val="20"/>
        </w:rPr>
        <w:t xml:space="preserve">es the EU’s projection of normative power as a process of diffusing </w:t>
      </w:r>
      <w:r w:rsidR="00A7766C" w:rsidRPr="002B0075">
        <w:rPr>
          <w:rFonts w:ascii="Times New Roman" w:hAnsi="Times New Roman" w:cs="Times New Roman"/>
          <w:color w:val="000000" w:themeColor="text1"/>
          <w:sz w:val="20"/>
          <w:szCs w:val="20"/>
        </w:rPr>
        <w:t>EU</w:t>
      </w:r>
      <w:r w:rsidR="009F415E" w:rsidRPr="002B0075">
        <w:rPr>
          <w:rFonts w:ascii="Times New Roman" w:hAnsi="Times New Roman" w:cs="Times New Roman"/>
          <w:color w:val="000000" w:themeColor="text1"/>
          <w:sz w:val="20"/>
          <w:szCs w:val="20"/>
        </w:rPr>
        <w:t xml:space="preserve"> </w:t>
      </w:r>
      <w:r w:rsidR="003C08A3" w:rsidRPr="002B0075">
        <w:rPr>
          <w:rFonts w:ascii="Times New Roman" w:hAnsi="Times New Roman" w:cs="Times New Roman"/>
          <w:color w:val="000000" w:themeColor="text1"/>
          <w:sz w:val="20"/>
          <w:szCs w:val="20"/>
        </w:rPr>
        <w:t>‘norm-clusters’</w:t>
      </w:r>
      <w:r w:rsidR="00A520E3" w:rsidRPr="002B0075">
        <w:rPr>
          <w:rFonts w:ascii="Times New Roman" w:hAnsi="Times New Roman" w:cs="Times New Roman"/>
          <w:color w:val="000000" w:themeColor="text1"/>
          <w:sz w:val="20"/>
          <w:szCs w:val="20"/>
        </w:rPr>
        <w:t xml:space="preserve"> (Winston 2018) – a looser </w:t>
      </w:r>
      <w:r w:rsidR="00A520E3" w:rsidRPr="002B0075">
        <w:rPr>
          <w:rFonts w:ascii="Times New Roman" w:hAnsi="Times New Roman" w:cs="Times New Roman"/>
          <w:color w:val="000000" w:themeColor="text1"/>
          <w:sz w:val="20"/>
          <w:szCs w:val="20"/>
        </w:rPr>
        <w:lastRenderedPageBreak/>
        <w:t>collection of interlocking norm components with varying degrees of specificity – i</w:t>
      </w:r>
      <w:r w:rsidR="003C08A3" w:rsidRPr="002B0075">
        <w:rPr>
          <w:rFonts w:ascii="Times New Roman" w:hAnsi="Times New Roman" w:cs="Times New Roman"/>
          <w:color w:val="000000" w:themeColor="text1"/>
          <w:sz w:val="20"/>
          <w:szCs w:val="20"/>
        </w:rPr>
        <w:t>n</w:t>
      </w:r>
      <w:r w:rsidR="009F415E" w:rsidRPr="002B0075">
        <w:rPr>
          <w:rFonts w:ascii="Times New Roman" w:hAnsi="Times New Roman" w:cs="Times New Roman"/>
          <w:color w:val="000000" w:themeColor="text1"/>
          <w:sz w:val="20"/>
          <w:szCs w:val="20"/>
        </w:rPr>
        <w:t xml:space="preserve"> </w:t>
      </w:r>
      <w:r w:rsidR="003C08A3" w:rsidRPr="002B0075">
        <w:rPr>
          <w:rFonts w:ascii="Times New Roman" w:hAnsi="Times New Roman" w:cs="Times New Roman"/>
          <w:color w:val="000000" w:themeColor="text1"/>
          <w:sz w:val="20"/>
          <w:szCs w:val="20"/>
        </w:rPr>
        <w:t>specific policy area</w:t>
      </w:r>
      <w:r w:rsidR="00A7766C" w:rsidRPr="002B0075">
        <w:rPr>
          <w:rFonts w:ascii="Times New Roman" w:hAnsi="Times New Roman" w:cs="Times New Roman"/>
          <w:color w:val="000000" w:themeColor="text1"/>
          <w:sz w:val="20"/>
          <w:szCs w:val="20"/>
        </w:rPr>
        <w:t>s</w:t>
      </w:r>
      <w:r w:rsidR="003C08A3" w:rsidRPr="002B0075">
        <w:rPr>
          <w:rFonts w:ascii="Times New Roman" w:hAnsi="Times New Roman" w:cs="Times New Roman"/>
          <w:color w:val="000000" w:themeColor="text1"/>
          <w:sz w:val="20"/>
          <w:szCs w:val="20"/>
        </w:rPr>
        <w:t xml:space="preserve"> in relation to </w:t>
      </w:r>
      <w:r w:rsidR="00841098" w:rsidRPr="002B0075">
        <w:rPr>
          <w:rFonts w:ascii="Times New Roman" w:hAnsi="Times New Roman" w:cs="Times New Roman"/>
          <w:color w:val="000000" w:themeColor="text1"/>
          <w:sz w:val="20"/>
          <w:szCs w:val="20"/>
        </w:rPr>
        <w:t>third parties</w:t>
      </w:r>
      <w:r w:rsidR="00372D2C" w:rsidRPr="002B0075">
        <w:rPr>
          <w:rFonts w:ascii="Times New Roman" w:hAnsi="Times New Roman" w:cs="Times New Roman"/>
          <w:color w:val="000000" w:themeColor="text1"/>
          <w:sz w:val="20"/>
          <w:szCs w:val="20"/>
        </w:rPr>
        <w:t xml:space="preserve"> in international politics</w:t>
      </w:r>
      <w:r w:rsidR="003C08A3" w:rsidRPr="002B0075">
        <w:rPr>
          <w:rFonts w:ascii="Times New Roman" w:hAnsi="Times New Roman" w:cs="Times New Roman"/>
          <w:color w:val="000000" w:themeColor="text1"/>
          <w:sz w:val="20"/>
          <w:szCs w:val="20"/>
        </w:rPr>
        <w:t>.</w:t>
      </w:r>
      <w:r w:rsidR="00FF25E8" w:rsidRPr="002B0075">
        <w:rPr>
          <w:rFonts w:ascii="Times New Roman" w:hAnsi="Times New Roman" w:cs="Times New Roman"/>
          <w:color w:val="000000" w:themeColor="text1"/>
          <w:sz w:val="20"/>
          <w:szCs w:val="20"/>
        </w:rPr>
        <w:t xml:space="preserve"> By viewing the EU’s diffusion </w:t>
      </w:r>
      <w:r w:rsidR="00811649" w:rsidRPr="002B0075">
        <w:rPr>
          <w:rFonts w:ascii="Times New Roman" w:hAnsi="Times New Roman" w:cs="Times New Roman"/>
          <w:color w:val="000000" w:themeColor="text1"/>
          <w:sz w:val="20"/>
          <w:szCs w:val="20"/>
        </w:rPr>
        <w:t>items</w:t>
      </w:r>
      <w:r w:rsidR="00FF25E8" w:rsidRPr="002B0075">
        <w:rPr>
          <w:rFonts w:ascii="Times New Roman" w:hAnsi="Times New Roman" w:cs="Times New Roman"/>
          <w:color w:val="000000" w:themeColor="text1"/>
          <w:sz w:val="20"/>
          <w:szCs w:val="20"/>
        </w:rPr>
        <w:t xml:space="preserve"> as ‘norm-clusters’ rather than single norms, this study aims to provide a more nuanced understanding of the substance of EU diffusion items.</w:t>
      </w:r>
      <w:r w:rsidR="003C08A3" w:rsidRPr="002B0075">
        <w:rPr>
          <w:rFonts w:ascii="Times New Roman" w:hAnsi="Times New Roman" w:cs="Times New Roman"/>
          <w:color w:val="000000" w:themeColor="text1"/>
          <w:sz w:val="20"/>
          <w:szCs w:val="20"/>
        </w:rPr>
        <w:t xml:space="preserve"> </w:t>
      </w:r>
      <w:r w:rsidR="00372D2C" w:rsidRPr="002B0075">
        <w:rPr>
          <w:rFonts w:ascii="Times New Roman" w:hAnsi="Times New Roman" w:cs="Times New Roman"/>
          <w:color w:val="000000" w:themeColor="text1"/>
          <w:sz w:val="20"/>
          <w:szCs w:val="20"/>
        </w:rPr>
        <w:t>It also reconceptuali</w:t>
      </w:r>
      <w:r w:rsidR="00841098" w:rsidRPr="002B0075">
        <w:rPr>
          <w:rFonts w:ascii="Times New Roman" w:hAnsi="Times New Roman" w:cs="Times New Roman"/>
          <w:color w:val="000000" w:themeColor="text1"/>
          <w:sz w:val="20"/>
          <w:szCs w:val="20"/>
        </w:rPr>
        <w:t>s</w:t>
      </w:r>
      <w:r w:rsidR="00372D2C" w:rsidRPr="002B0075">
        <w:rPr>
          <w:rFonts w:ascii="Times New Roman" w:hAnsi="Times New Roman" w:cs="Times New Roman"/>
          <w:color w:val="000000" w:themeColor="text1"/>
          <w:sz w:val="20"/>
          <w:szCs w:val="20"/>
        </w:rPr>
        <w:t>es the impact of NPE as varying diffusion outcomes</w:t>
      </w:r>
      <w:r w:rsidR="00500C9D" w:rsidRPr="002B0075">
        <w:rPr>
          <w:rFonts w:ascii="Times New Roman" w:hAnsi="Times New Roman" w:cs="Times New Roman"/>
          <w:color w:val="000000" w:themeColor="text1"/>
          <w:sz w:val="20"/>
          <w:szCs w:val="20"/>
        </w:rPr>
        <w:t xml:space="preserve">, ranging from </w:t>
      </w:r>
      <w:r w:rsidR="00372D2C" w:rsidRPr="002B0075">
        <w:rPr>
          <w:rFonts w:ascii="Times New Roman" w:hAnsi="Times New Roman" w:cs="Times New Roman"/>
          <w:color w:val="000000" w:themeColor="text1"/>
          <w:sz w:val="20"/>
          <w:szCs w:val="20"/>
        </w:rPr>
        <w:t>full adoption, selective or partial adoption, to rejection.</w:t>
      </w:r>
      <w:r w:rsidR="00500C9D" w:rsidRPr="002B0075">
        <w:rPr>
          <w:rFonts w:ascii="Times New Roman" w:hAnsi="Times New Roman" w:cs="Times New Roman"/>
          <w:color w:val="000000" w:themeColor="text1"/>
          <w:sz w:val="20"/>
          <w:szCs w:val="20"/>
        </w:rPr>
        <w:t xml:space="preserve"> The degree of normative impact can further be evaluated by assessing whether EU diffusion items have been translated into the recipient’s domestic discursive frames, legal frameworks, and policy implementations (</w:t>
      </w:r>
      <w:proofErr w:type="spellStart"/>
      <w:r w:rsidR="00500C9D" w:rsidRPr="002B0075">
        <w:rPr>
          <w:rFonts w:ascii="Times New Roman" w:hAnsi="Times New Roman" w:cs="Times New Roman"/>
          <w:color w:val="000000" w:themeColor="text1"/>
          <w:sz w:val="20"/>
          <w:szCs w:val="20"/>
        </w:rPr>
        <w:t>Risse</w:t>
      </w:r>
      <w:proofErr w:type="spellEnd"/>
      <w:r w:rsidR="00500C9D" w:rsidRPr="002B0075">
        <w:rPr>
          <w:rFonts w:ascii="Times New Roman" w:hAnsi="Times New Roman" w:cs="Times New Roman"/>
          <w:color w:val="000000" w:themeColor="text1"/>
          <w:sz w:val="20"/>
          <w:szCs w:val="20"/>
        </w:rPr>
        <w:t xml:space="preserve"> 2016; Zimmermann 2016).</w:t>
      </w:r>
      <w:r w:rsidR="002B614E" w:rsidRPr="002B0075">
        <w:rPr>
          <w:rFonts w:ascii="Times New Roman" w:hAnsi="Times New Roman" w:cs="Times New Roman"/>
          <w:color w:val="000000" w:themeColor="text1"/>
          <w:sz w:val="20"/>
          <w:szCs w:val="20"/>
        </w:rPr>
        <w:t xml:space="preserve"> </w:t>
      </w:r>
      <w:r w:rsidR="00372D2C" w:rsidRPr="002B0075">
        <w:rPr>
          <w:rFonts w:ascii="Times New Roman" w:hAnsi="Times New Roman" w:cs="Times New Roman"/>
          <w:color w:val="000000" w:themeColor="text1"/>
          <w:sz w:val="20"/>
          <w:szCs w:val="20"/>
        </w:rPr>
        <w:t xml:space="preserve">Drawing on an empirical case study of EU-ASEAN security cooperation, </w:t>
      </w:r>
      <w:r w:rsidR="009F415E" w:rsidRPr="002B0075">
        <w:rPr>
          <w:rFonts w:ascii="Times New Roman" w:hAnsi="Times New Roman" w:cs="Times New Roman"/>
          <w:color w:val="000000" w:themeColor="text1"/>
          <w:sz w:val="20"/>
          <w:szCs w:val="20"/>
        </w:rPr>
        <w:t>this article operationali</w:t>
      </w:r>
      <w:r w:rsidR="00A15824" w:rsidRPr="002B0075">
        <w:rPr>
          <w:rFonts w:ascii="Times New Roman" w:hAnsi="Times New Roman" w:cs="Times New Roman"/>
          <w:color w:val="000000" w:themeColor="text1"/>
          <w:sz w:val="20"/>
          <w:szCs w:val="20"/>
        </w:rPr>
        <w:t>s</w:t>
      </w:r>
      <w:r w:rsidR="009F415E" w:rsidRPr="002B0075">
        <w:rPr>
          <w:rFonts w:ascii="Times New Roman" w:hAnsi="Times New Roman" w:cs="Times New Roman"/>
          <w:color w:val="000000" w:themeColor="text1"/>
          <w:sz w:val="20"/>
          <w:szCs w:val="20"/>
        </w:rPr>
        <w:t xml:space="preserve">es the analytical framework to illustrate the EU’s projection of normative power in the security domain – a policy area that remains underexplored in the NPE scholarship. </w:t>
      </w:r>
      <w:r w:rsidR="00A520E3" w:rsidRPr="002B0075">
        <w:rPr>
          <w:rFonts w:ascii="Times New Roman" w:hAnsi="Times New Roman" w:cs="Times New Roman"/>
          <w:color w:val="000000" w:themeColor="text1"/>
          <w:sz w:val="20"/>
          <w:szCs w:val="20"/>
        </w:rPr>
        <w:t>By undertaking an empirical research on EU-ASEAN relations, t</w:t>
      </w:r>
      <w:r w:rsidR="004A6F37" w:rsidRPr="002B0075">
        <w:rPr>
          <w:rFonts w:ascii="Times New Roman" w:hAnsi="Times New Roman" w:cs="Times New Roman"/>
          <w:color w:val="000000" w:themeColor="text1"/>
          <w:sz w:val="20"/>
          <w:szCs w:val="20"/>
        </w:rPr>
        <w:t>his research argues that the EU’s efforts to</w:t>
      </w:r>
      <w:r w:rsidR="009F415E" w:rsidRPr="002B0075">
        <w:rPr>
          <w:rFonts w:ascii="Times New Roman" w:hAnsi="Times New Roman" w:cs="Times New Roman"/>
          <w:color w:val="000000" w:themeColor="text1"/>
          <w:sz w:val="20"/>
          <w:szCs w:val="20"/>
        </w:rPr>
        <w:t xml:space="preserve"> project its normative power and to</w:t>
      </w:r>
      <w:r w:rsidR="004A6F37" w:rsidRPr="002B0075">
        <w:rPr>
          <w:rFonts w:ascii="Times New Roman" w:hAnsi="Times New Roman" w:cs="Times New Roman"/>
          <w:color w:val="000000" w:themeColor="text1"/>
          <w:sz w:val="20"/>
          <w:szCs w:val="20"/>
        </w:rPr>
        <w:t xml:space="preserve"> increase its </w:t>
      </w:r>
      <w:r w:rsidR="009F415E" w:rsidRPr="002B0075">
        <w:rPr>
          <w:rFonts w:ascii="Times New Roman" w:hAnsi="Times New Roman" w:cs="Times New Roman"/>
          <w:color w:val="000000" w:themeColor="text1"/>
          <w:sz w:val="20"/>
          <w:szCs w:val="20"/>
        </w:rPr>
        <w:t>ideational</w:t>
      </w:r>
      <w:r w:rsidR="004A6F37" w:rsidRPr="002B0075">
        <w:rPr>
          <w:rFonts w:ascii="Times New Roman" w:hAnsi="Times New Roman" w:cs="Times New Roman"/>
          <w:color w:val="000000" w:themeColor="text1"/>
          <w:sz w:val="20"/>
          <w:szCs w:val="20"/>
        </w:rPr>
        <w:t xml:space="preserve"> influence in security field in relation to ASEAN can be fruitfully understood as a process of </w:t>
      </w:r>
      <w:r w:rsidR="009F415E" w:rsidRPr="002B0075">
        <w:rPr>
          <w:rFonts w:ascii="Times New Roman" w:hAnsi="Times New Roman" w:cs="Times New Roman"/>
          <w:color w:val="000000" w:themeColor="text1"/>
          <w:sz w:val="20"/>
          <w:szCs w:val="20"/>
        </w:rPr>
        <w:t xml:space="preserve">norm-cluster </w:t>
      </w:r>
      <w:r w:rsidR="004A6F37" w:rsidRPr="002B0075">
        <w:rPr>
          <w:rFonts w:ascii="Times New Roman" w:hAnsi="Times New Roman" w:cs="Times New Roman"/>
          <w:color w:val="000000" w:themeColor="text1"/>
          <w:sz w:val="20"/>
          <w:szCs w:val="20"/>
        </w:rPr>
        <w:t>diffusion</w:t>
      </w:r>
      <w:r w:rsidR="009F415E" w:rsidRPr="002B0075">
        <w:rPr>
          <w:rFonts w:ascii="Times New Roman" w:hAnsi="Times New Roman" w:cs="Times New Roman"/>
          <w:color w:val="000000" w:themeColor="text1"/>
          <w:sz w:val="20"/>
          <w:szCs w:val="20"/>
        </w:rPr>
        <w:t xml:space="preserve">, which entails the Union’s promotion of a </w:t>
      </w:r>
      <w:r w:rsidR="00A520E3" w:rsidRPr="002B0075">
        <w:rPr>
          <w:rFonts w:ascii="Times New Roman" w:hAnsi="Times New Roman" w:cs="Times New Roman"/>
          <w:color w:val="000000" w:themeColor="text1"/>
          <w:sz w:val="20"/>
          <w:szCs w:val="20"/>
        </w:rPr>
        <w:t xml:space="preserve">distinct combination of values and behaviours in response to some specific security problems in ASEAN. </w:t>
      </w:r>
      <w:r w:rsidRPr="002B0075">
        <w:rPr>
          <w:rFonts w:ascii="Times New Roman" w:hAnsi="Times New Roman" w:cs="Times New Roman"/>
          <w:color w:val="000000" w:themeColor="text1"/>
          <w:sz w:val="20"/>
          <w:szCs w:val="20"/>
        </w:rPr>
        <w:t>This study further identifies three fundamental EU security norms in EU–ASEAN security interactions: sustainable peace (SP), soft security regionalism (SR) and the rule of law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These fundamental </w:t>
      </w:r>
      <w:r w:rsidR="0057326C" w:rsidRPr="002B0075">
        <w:rPr>
          <w:rFonts w:ascii="Times New Roman" w:hAnsi="Times New Roman" w:cs="Times New Roman"/>
          <w:color w:val="000000" w:themeColor="text1"/>
          <w:sz w:val="20"/>
          <w:szCs w:val="20"/>
        </w:rPr>
        <w:t xml:space="preserve">EU </w:t>
      </w:r>
      <w:r w:rsidRPr="002B0075">
        <w:rPr>
          <w:rFonts w:ascii="Times New Roman" w:hAnsi="Times New Roman" w:cs="Times New Roman"/>
          <w:color w:val="000000" w:themeColor="text1"/>
          <w:sz w:val="20"/>
          <w:szCs w:val="20"/>
        </w:rPr>
        <w:t>norms have been translated into specific norm components such as mid-level norms (</w:t>
      </w:r>
      <w:r w:rsidR="00BE0AED" w:rsidRPr="002B0075">
        <w:rPr>
          <w:rFonts w:ascii="Times New Roman" w:hAnsi="Times New Roman" w:cs="Times New Roman"/>
          <w:color w:val="000000" w:themeColor="text1"/>
          <w:sz w:val="20"/>
          <w:szCs w:val="20"/>
        </w:rPr>
        <w:t>e.g.,</w:t>
      </w:r>
      <w:r w:rsidRPr="002B0075">
        <w:rPr>
          <w:rFonts w:ascii="Times New Roman" w:hAnsi="Times New Roman" w:cs="Times New Roman"/>
          <w:color w:val="000000" w:themeColor="text1"/>
          <w:sz w:val="20"/>
          <w:szCs w:val="20"/>
        </w:rPr>
        <w:t xml:space="preserve"> comprehensive approach to security) and concrete policy settings (</w:t>
      </w:r>
      <w:r w:rsidR="008C3680" w:rsidRPr="002B0075">
        <w:rPr>
          <w:rFonts w:ascii="Times New Roman" w:hAnsi="Times New Roman" w:cs="Times New Roman"/>
          <w:color w:val="000000" w:themeColor="text1"/>
          <w:sz w:val="20"/>
          <w:szCs w:val="20"/>
        </w:rPr>
        <w:t>e.g.,</w:t>
      </w:r>
      <w:r w:rsidRPr="002B0075">
        <w:rPr>
          <w:rFonts w:ascii="Times New Roman" w:hAnsi="Times New Roman" w:cs="Times New Roman"/>
          <w:color w:val="000000" w:themeColor="text1"/>
          <w:sz w:val="20"/>
          <w:szCs w:val="20"/>
        </w:rPr>
        <w:t xml:space="preserve"> border security management, CBRN mitigation policy, counterterrorism) through the process of EU–ASEAN security engagement. It is further argued that such </w:t>
      </w:r>
      <w:r w:rsidR="00A520E3" w:rsidRPr="002B0075">
        <w:rPr>
          <w:rFonts w:ascii="Times New Roman" w:hAnsi="Times New Roman" w:cs="Times New Roman"/>
          <w:color w:val="000000" w:themeColor="text1"/>
          <w:sz w:val="20"/>
          <w:szCs w:val="20"/>
        </w:rPr>
        <w:t xml:space="preserve">diffusion process has resulted in ASEAN’s </w:t>
      </w:r>
      <w:r w:rsidR="00954D35" w:rsidRPr="002B0075">
        <w:rPr>
          <w:rFonts w:ascii="Times New Roman" w:hAnsi="Times New Roman" w:cs="Times New Roman"/>
          <w:color w:val="000000" w:themeColor="text1"/>
          <w:sz w:val="20"/>
          <w:szCs w:val="20"/>
        </w:rPr>
        <w:t>partial</w:t>
      </w:r>
      <w:r w:rsidR="00A520E3" w:rsidRPr="002B0075">
        <w:rPr>
          <w:rFonts w:ascii="Times New Roman" w:hAnsi="Times New Roman" w:cs="Times New Roman"/>
          <w:color w:val="000000" w:themeColor="text1"/>
          <w:sz w:val="20"/>
          <w:szCs w:val="20"/>
        </w:rPr>
        <w:t xml:space="preserve"> adoption of certain components</w:t>
      </w:r>
      <w:r w:rsidRPr="002B0075">
        <w:rPr>
          <w:rFonts w:ascii="Times New Roman" w:hAnsi="Times New Roman" w:cs="Times New Roman"/>
          <w:color w:val="000000" w:themeColor="text1"/>
          <w:sz w:val="20"/>
          <w:szCs w:val="20"/>
        </w:rPr>
        <w:t xml:space="preserve"> with higher degree of specificity</w:t>
      </w:r>
      <w:r w:rsidR="00A520E3" w:rsidRPr="002B0075">
        <w:rPr>
          <w:rFonts w:ascii="Times New Roman" w:hAnsi="Times New Roman" w:cs="Times New Roman"/>
          <w:color w:val="000000" w:themeColor="text1"/>
          <w:sz w:val="20"/>
          <w:szCs w:val="20"/>
        </w:rPr>
        <w:t xml:space="preserve"> from the EU’s security norm-cluster.</w:t>
      </w:r>
      <w:r w:rsidRPr="002B0075">
        <w:rPr>
          <w:rFonts w:ascii="Times New Roman" w:hAnsi="Times New Roman" w:cs="Times New Roman"/>
          <w:color w:val="000000" w:themeColor="text1"/>
          <w:sz w:val="20"/>
          <w:szCs w:val="20"/>
        </w:rPr>
        <w:t xml:space="preserve"> </w:t>
      </w:r>
      <w:r w:rsidR="0057326C" w:rsidRPr="002B0075">
        <w:rPr>
          <w:rFonts w:ascii="Times New Roman" w:hAnsi="Times New Roman" w:cs="Times New Roman"/>
          <w:color w:val="000000" w:themeColor="text1"/>
          <w:sz w:val="20"/>
          <w:szCs w:val="20"/>
          <w:lang w:val="en-US"/>
        </w:rPr>
        <w:t>This study also departs from the conventional NPE research in the sense that from the perspective of diffusion literature, norm diffusion should be understood as a two-way process. In other words, ASEAN should not be regarded as a passive recipient downloading the EU’s norms and policy-settings. Instead, ASEAN stakeholders play a significant role in shaping this diffusion process by actively adopting the mechanisms of lesson-drawing.</w:t>
      </w:r>
      <w:r w:rsidR="0057326C" w:rsidRPr="002B0075">
        <w:rPr>
          <w:rFonts w:ascii="Times New Roman" w:hAnsi="Times New Roman" w:cs="Times New Roman" w:hint="eastAsia"/>
          <w:color w:val="000000" w:themeColor="text1"/>
          <w:sz w:val="20"/>
          <w:szCs w:val="20"/>
          <w:lang w:val="en-US"/>
        </w:rPr>
        <w:t xml:space="preserve"> </w:t>
      </w:r>
    </w:p>
    <w:p w14:paraId="65FD07BD" w14:textId="77777777" w:rsidR="00C91311" w:rsidRPr="002B0075" w:rsidRDefault="00C91311" w:rsidP="00514E1A">
      <w:pPr>
        <w:jc w:val="both"/>
        <w:rPr>
          <w:rFonts w:ascii="Times New Roman" w:hAnsi="Times New Roman" w:cs="Times New Roman"/>
          <w:color w:val="000000" w:themeColor="text1"/>
          <w:sz w:val="20"/>
          <w:szCs w:val="20"/>
          <w:lang w:val="en-US"/>
        </w:rPr>
      </w:pPr>
    </w:p>
    <w:p w14:paraId="1873BE7F" w14:textId="73C2CF3D" w:rsidR="00A7766C" w:rsidRPr="002B0075" w:rsidRDefault="00C91311" w:rsidP="00514E1A">
      <w:pPr>
        <w:jc w:val="both"/>
        <w:rPr>
          <w:rFonts w:ascii="Times New Roman" w:hAnsi="Times New Roman" w:cs="Times New Roman"/>
          <w:color w:val="000000" w:themeColor="text1"/>
          <w:sz w:val="20"/>
          <w:szCs w:val="20"/>
          <w:lang w:val="en-US"/>
        </w:rPr>
      </w:pPr>
      <w:r w:rsidRPr="002B0075">
        <w:rPr>
          <w:rFonts w:ascii="Times New Roman" w:hAnsi="Times New Roman" w:cs="Times New Roman"/>
          <w:color w:val="000000" w:themeColor="text1"/>
          <w:sz w:val="20"/>
          <w:szCs w:val="20"/>
          <w:lang w:val="en-US"/>
        </w:rPr>
        <w:t>Drawing on</w:t>
      </w:r>
      <w:r w:rsidR="004A5A58" w:rsidRPr="002B0075">
        <w:rPr>
          <w:rFonts w:ascii="Times New Roman" w:hAnsi="Times New Roman" w:cs="Times New Roman"/>
          <w:color w:val="000000" w:themeColor="text1"/>
          <w:sz w:val="20"/>
          <w:szCs w:val="20"/>
          <w:lang w:val="en-US"/>
        </w:rPr>
        <w:t xml:space="preserve"> the</w:t>
      </w:r>
      <w:r w:rsidRPr="002B0075">
        <w:rPr>
          <w:rFonts w:ascii="Times New Roman" w:hAnsi="Times New Roman" w:cs="Times New Roman"/>
          <w:color w:val="000000" w:themeColor="text1"/>
          <w:sz w:val="20"/>
          <w:szCs w:val="20"/>
          <w:lang w:val="en-US"/>
        </w:rPr>
        <w:t xml:space="preserve"> diffusion literature</w:t>
      </w:r>
      <w:r w:rsidR="00A104DF" w:rsidRPr="002B0075">
        <w:rPr>
          <w:rFonts w:ascii="Times New Roman" w:hAnsi="Times New Roman" w:cs="Times New Roman"/>
          <w:color w:val="000000" w:themeColor="text1"/>
          <w:sz w:val="20"/>
          <w:szCs w:val="20"/>
          <w:lang w:val="en-US"/>
        </w:rPr>
        <w:t xml:space="preserve"> (Klinger-</w:t>
      </w:r>
      <w:proofErr w:type="spellStart"/>
      <w:r w:rsidR="00A104DF" w:rsidRPr="002B0075">
        <w:rPr>
          <w:rFonts w:ascii="Times New Roman" w:hAnsi="Times New Roman" w:cs="Times New Roman"/>
          <w:color w:val="000000" w:themeColor="text1"/>
          <w:sz w:val="20"/>
          <w:szCs w:val="20"/>
          <w:lang w:val="en-US"/>
        </w:rPr>
        <w:t>Vidra</w:t>
      </w:r>
      <w:proofErr w:type="spellEnd"/>
      <w:r w:rsidR="00A104DF" w:rsidRPr="002B0075">
        <w:rPr>
          <w:rFonts w:ascii="Times New Roman" w:hAnsi="Times New Roman" w:cs="Times New Roman"/>
          <w:color w:val="000000" w:themeColor="text1"/>
          <w:sz w:val="20"/>
          <w:szCs w:val="20"/>
          <w:lang w:val="en-US"/>
        </w:rPr>
        <w:t xml:space="preserve"> and Schleifer 2014; Wiener 2009)</w:t>
      </w:r>
      <w:r w:rsidRPr="002B0075">
        <w:rPr>
          <w:rFonts w:ascii="Times New Roman" w:hAnsi="Times New Roman" w:cs="Times New Roman"/>
          <w:color w:val="000000" w:themeColor="text1"/>
          <w:sz w:val="20"/>
          <w:szCs w:val="20"/>
          <w:lang w:val="en-US"/>
        </w:rPr>
        <w:t xml:space="preserve">, this study tests the following hypothesis: the effectiveness of the EU’s diffusion is closely linked to the level of specificity of EU diffusion items. Specifically, the low degree of specificity is likely to result less effective diffusion outcomes, whereas a high degree of specificity is likely to generate more effective diffusion outcomes. </w:t>
      </w:r>
      <w:r w:rsidR="00A7766C" w:rsidRPr="002B0075">
        <w:rPr>
          <w:rFonts w:ascii="Times New Roman" w:hAnsi="Times New Roman" w:cs="Times New Roman"/>
          <w:color w:val="000000" w:themeColor="text1"/>
          <w:sz w:val="20"/>
          <w:szCs w:val="20"/>
        </w:rPr>
        <w:t xml:space="preserve">Methodologically, this article draws on qualitative content analysis based on </w:t>
      </w:r>
      <w:r w:rsidR="00E74AA1" w:rsidRPr="002B0075">
        <w:rPr>
          <w:rFonts w:ascii="Times New Roman" w:hAnsi="Times New Roman" w:cs="Times New Roman"/>
          <w:color w:val="000000" w:themeColor="text1"/>
          <w:sz w:val="20"/>
          <w:szCs w:val="20"/>
        </w:rPr>
        <w:t>16</w:t>
      </w:r>
      <w:r w:rsidR="00A15824" w:rsidRPr="002B0075">
        <w:rPr>
          <w:rFonts w:ascii="Times New Roman" w:hAnsi="Times New Roman" w:cs="Times New Roman"/>
          <w:color w:val="000000" w:themeColor="text1"/>
          <w:sz w:val="20"/>
          <w:szCs w:val="20"/>
        </w:rPr>
        <w:t xml:space="preserve"> </w:t>
      </w:r>
      <w:r w:rsidR="004C29B7" w:rsidRPr="002B0075">
        <w:rPr>
          <w:rFonts w:ascii="Times New Roman" w:hAnsi="Times New Roman" w:cs="Times New Roman"/>
          <w:color w:val="000000" w:themeColor="text1"/>
          <w:sz w:val="20"/>
          <w:szCs w:val="20"/>
        </w:rPr>
        <w:t>author</w:t>
      </w:r>
      <w:r w:rsidR="00A7766C" w:rsidRPr="002B0075">
        <w:rPr>
          <w:rFonts w:ascii="Times New Roman" w:hAnsi="Times New Roman" w:cs="Times New Roman"/>
          <w:color w:val="000000" w:themeColor="text1"/>
          <w:sz w:val="20"/>
          <w:szCs w:val="20"/>
        </w:rPr>
        <w:t xml:space="preserve"> interviews</w:t>
      </w:r>
      <w:r w:rsidR="004C29B7" w:rsidRPr="002B0075">
        <w:rPr>
          <w:rFonts w:ascii="Times New Roman" w:hAnsi="Times New Roman" w:cs="Times New Roman"/>
          <w:color w:val="000000" w:themeColor="text1"/>
          <w:sz w:val="20"/>
          <w:szCs w:val="20"/>
        </w:rPr>
        <w:t xml:space="preserve"> with EU and ASEAN officials and experts </w:t>
      </w:r>
      <w:r w:rsidR="005666D7" w:rsidRPr="002B0075">
        <w:rPr>
          <w:rFonts w:ascii="Times New Roman" w:hAnsi="Times New Roman" w:cs="Times New Roman"/>
          <w:color w:val="000000" w:themeColor="text1"/>
          <w:sz w:val="20"/>
          <w:szCs w:val="20"/>
        </w:rPr>
        <w:t xml:space="preserve">who have closely involved in EU-ASEAN security relations </w:t>
      </w:r>
      <w:r w:rsidR="004C29B7" w:rsidRPr="002B0075">
        <w:rPr>
          <w:rFonts w:ascii="Times New Roman" w:hAnsi="Times New Roman" w:cs="Times New Roman"/>
          <w:color w:val="000000" w:themeColor="text1"/>
          <w:sz w:val="20"/>
          <w:szCs w:val="20"/>
        </w:rPr>
        <w:t>between 2017 and 2020,</w:t>
      </w:r>
      <w:r w:rsidR="00A7766C" w:rsidRPr="002B0075">
        <w:rPr>
          <w:rFonts w:ascii="Times New Roman" w:hAnsi="Times New Roman" w:cs="Times New Roman"/>
          <w:color w:val="000000" w:themeColor="text1"/>
          <w:sz w:val="20"/>
          <w:szCs w:val="20"/>
        </w:rPr>
        <w:t xml:space="preserve"> and a wide range of primary materials including EU and ASEAN official documents, statements and media reports. </w:t>
      </w:r>
    </w:p>
    <w:p w14:paraId="6D2F0782" w14:textId="403FF113" w:rsidR="006B06B8" w:rsidRPr="002B0075" w:rsidRDefault="006B06B8" w:rsidP="00514E1A">
      <w:pPr>
        <w:jc w:val="both"/>
        <w:rPr>
          <w:rFonts w:ascii="Times New Roman" w:hAnsi="Times New Roman" w:cs="Times New Roman"/>
          <w:color w:val="000000" w:themeColor="text1"/>
          <w:sz w:val="20"/>
          <w:szCs w:val="20"/>
        </w:rPr>
      </w:pPr>
    </w:p>
    <w:p w14:paraId="701040A3" w14:textId="67C84E18" w:rsidR="006B06B8" w:rsidRPr="002B0075" w:rsidRDefault="00E23A31"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In what follows, this article will, </w:t>
      </w:r>
      <w:proofErr w:type="gramStart"/>
      <w:r w:rsidRPr="002B0075">
        <w:rPr>
          <w:rFonts w:ascii="Times New Roman" w:hAnsi="Times New Roman" w:cs="Times New Roman"/>
          <w:color w:val="000000" w:themeColor="text1"/>
          <w:sz w:val="20"/>
          <w:szCs w:val="20"/>
        </w:rPr>
        <w:t>first of all</w:t>
      </w:r>
      <w:proofErr w:type="gramEnd"/>
      <w:r w:rsidRPr="002B0075">
        <w:rPr>
          <w:rFonts w:ascii="Times New Roman" w:hAnsi="Times New Roman" w:cs="Times New Roman"/>
          <w:color w:val="000000" w:themeColor="text1"/>
          <w:sz w:val="20"/>
          <w:szCs w:val="20"/>
        </w:rPr>
        <w:t xml:space="preserve">, provide a brief overview of the NPE literature while discussing its </w:t>
      </w:r>
      <w:r w:rsidR="00F26DC6" w:rsidRPr="002B0075">
        <w:rPr>
          <w:rFonts w:ascii="Times New Roman" w:hAnsi="Times New Roman" w:cs="Times New Roman"/>
          <w:color w:val="000000" w:themeColor="text1"/>
          <w:sz w:val="20"/>
          <w:szCs w:val="20"/>
          <w:lang w:val="en-US"/>
        </w:rPr>
        <w:t>limitations</w:t>
      </w:r>
      <w:r w:rsidRPr="002B0075">
        <w:rPr>
          <w:rFonts w:ascii="Times New Roman" w:hAnsi="Times New Roman" w:cs="Times New Roman" w:hint="eastAsia"/>
          <w:color w:val="000000" w:themeColor="text1"/>
          <w:sz w:val="20"/>
          <w:szCs w:val="20"/>
        </w:rPr>
        <w:t>.</w:t>
      </w:r>
      <w:r w:rsidRPr="002B0075">
        <w:rPr>
          <w:rFonts w:ascii="Times New Roman" w:hAnsi="Times New Roman" w:cs="Times New Roman"/>
          <w:color w:val="000000" w:themeColor="text1"/>
          <w:sz w:val="20"/>
          <w:szCs w:val="20"/>
        </w:rPr>
        <w:t xml:space="preserve"> To address the identified gap</w:t>
      </w:r>
      <w:r w:rsidR="00C65432" w:rsidRPr="002B0075">
        <w:rPr>
          <w:rFonts w:ascii="Times New Roman" w:hAnsi="Times New Roman" w:cs="Times New Roman"/>
          <w:color w:val="000000" w:themeColor="text1"/>
          <w:sz w:val="20"/>
          <w:szCs w:val="20"/>
        </w:rPr>
        <w:t xml:space="preserve"> of literature</w:t>
      </w:r>
      <w:r w:rsidRPr="002B0075">
        <w:rPr>
          <w:rFonts w:ascii="Times New Roman" w:hAnsi="Times New Roman" w:cs="Times New Roman"/>
          <w:color w:val="000000" w:themeColor="text1"/>
          <w:sz w:val="20"/>
          <w:szCs w:val="20"/>
        </w:rPr>
        <w:t>, the second section seeks to outline an analytical framework for illustrating the EU’s normative power from a diffusion theory perspective.</w:t>
      </w:r>
      <w:r w:rsidR="0057326C" w:rsidRPr="002B0075">
        <w:rPr>
          <w:rFonts w:ascii="Times New Roman" w:hAnsi="Times New Roman" w:cs="Times New Roman"/>
          <w:color w:val="000000" w:themeColor="text1"/>
          <w:sz w:val="20"/>
          <w:szCs w:val="20"/>
        </w:rPr>
        <w:t xml:space="preserve"> Furthermore, this section sets out the hypothesis which will be tested in the empirical case study of EU-ASEAN security relations.</w:t>
      </w:r>
      <w:r w:rsidRPr="002B0075">
        <w:rPr>
          <w:rFonts w:ascii="Times New Roman" w:hAnsi="Times New Roman" w:cs="Times New Roman"/>
          <w:color w:val="000000" w:themeColor="text1"/>
          <w:sz w:val="20"/>
          <w:szCs w:val="20"/>
        </w:rPr>
        <w:t xml:space="preserve"> In the third section, this article will operationali</w:t>
      </w:r>
      <w:r w:rsidR="00A15824"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e this analytical framework </w:t>
      </w:r>
      <w:r w:rsidR="0057326C" w:rsidRPr="002B0075">
        <w:rPr>
          <w:rFonts w:ascii="Times New Roman" w:hAnsi="Times New Roman" w:cs="Times New Roman"/>
          <w:color w:val="000000" w:themeColor="text1"/>
          <w:sz w:val="20"/>
          <w:szCs w:val="20"/>
        </w:rPr>
        <w:t>in the case study as well as test the hypothesis against evidence from the</w:t>
      </w:r>
      <w:r w:rsidRPr="002B0075">
        <w:rPr>
          <w:rFonts w:ascii="Times New Roman" w:hAnsi="Times New Roman" w:cs="Times New Roman"/>
          <w:color w:val="000000" w:themeColor="text1"/>
          <w:sz w:val="20"/>
          <w:szCs w:val="20"/>
        </w:rPr>
        <w:t xml:space="preserve"> EU-ASEAN security cooperation.</w:t>
      </w:r>
      <w:r w:rsidR="001E23CA" w:rsidRPr="002B0075">
        <w:rPr>
          <w:rFonts w:ascii="Times New Roman" w:hAnsi="Times New Roman" w:cs="Times New Roman"/>
          <w:color w:val="000000" w:themeColor="text1"/>
          <w:sz w:val="20"/>
          <w:szCs w:val="20"/>
        </w:rPr>
        <w:t xml:space="preserve"> The final section concludes the research</w:t>
      </w:r>
      <w:r w:rsidR="00A15824" w:rsidRPr="002B0075">
        <w:rPr>
          <w:rFonts w:ascii="Times New Roman" w:hAnsi="Times New Roman" w:cs="Times New Roman"/>
          <w:color w:val="000000" w:themeColor="text1"/>
          <w:sz w:val="20"/>
          <w:szCs w:val="20"/>
        </w:rPr>
        <w:t xml:space="preserve"> findings</w:t>
      </w:r>
      <w:r w:rsidR="001E23CA" w:rsidRPr="002B0075">
        <w:rPr>
          <w:rFonts w:ascii="Times New Roman" w:hAnsi="Times New Roman" w:cs="Times New Roman"/>
          <w:color w:val="000000" w:themeColor="text1"/>
          <w:sz w:val="20"/>
          <w:szCs w:val="20"/>
        </w:rPr>
        <w:t>.</w:t>
      </w:r>
    </w:p>
    <w:p w14:paraId="64C1EE33" w14:textId="74E0CB1E" w:rsidR="004A6F37" w:rsidRPr="002B0075" w:rsidRDefault="004A6F37" w:rsidP="00514E1A">
      <w:pPr>
        <w:jc w:val="both"/>
        <w:rPr>
          <w:rFonts w:ascii="Times New Roman" w:hAnsi="Times New Roman" w:cs="Times New Roman"/>
          <w:color w:val="000000" w:themeColor="text1"/>
          <w:sz w:val="20"/>
          <w:szCs w:val="20"/>
        </w:rPr>
      </w:pPr>
    </w:p>
    <w:p w14:paraId="7EDBFF87" w14:textId="134CA20C" w:rsidR="004A6F37" w:rsidRPr="002B0075" w:rsidRDefault="004A6F37" w:rsidP="004428FA">
      <w:pPr>
        <w:pStyle w:val="aa"/>
        <w:numPr>
          <w:ilvl w:val="0"/>
          <w:numId w:val="15"/>
        </w:numPr>
        <w:ind w:firstLineChars="0"/>
        <w:jc w:val="both"/>
        <w:rPr>
          <w:rFonts w:cs="Times New Roman"/>
          <w:b/>
          <w:bCs/>
          <w:color w:val="000000" w:themeColor="text1"/>
          <w:sz w:val="20"/>
          <w:szCs w:val="20"/>
        </w:rPr>
      </w:pPr>
      <w:r w:rsidRPr="002B0075">
        <w:rPr>
          <w:rFonts w:cs="Times New Roman"/>
          <w:b/>
          <w:bCs/>
          <w:color w:val="000000" w:themeColor="text1"/>
          <w:sz w:val="20"/>
          <w:szCs w:val="20"/>
        </w:rPr>
        <w:t xml:space="preserve">Understanding the EU’s Normative Power Europe through the lens of diffusion theory </w:t>
      </w:r>
    </w:p>
    <w:p w14:paraId="58E6D88D" w14:textId="77777777" w:rsidR="004A6F37" w:rsidRPr="002B0075" w:rsidRDefault="004A6F37" w:rsidP="00514E1A">
      <w:pPr>
        <w:jc w:val="both"/>
        <w:rPr>
          <w:rFonts w:ascii="Times New Roman" w:hAnsi="Times New Roman" w:cs="Times New Roman"/>
          <w:color w:val="000000" w:themeColor="text1"/>
          <w:sz w:val="20"/>
          <w:szCs w:val="20"/>
        </w:rPr>
      </w:pPr>
    </w:p>
    <w:p w14:paraId="2037893F" w14:textId="26B4E7E9" w:rsidR="00F45B26" w:rsidRPr="002B0075" w:rsidRDefault="004A6F37" w:rsidP="00514E1A">
      <w:pPr>
        <w:jc w:val="both"/>
        <w:rPr>
          <w:rFonts w:ascii="Times New Roman" w:hAnsi="Times New Roman" w:cs="Times New Roman"/>
          <w:color w:val="000000" w:themeColor="text1"/>
          <w:sz w:val="20"/>
          <w:szCs w:val="20"/>
          <w:lang w:val="en-US"/>
        </w:rPr>
      </w:pPr>
      <w:r w:rsidRPr="002B0075">
        <w:rPr>
          <w:rFonts w:ascii="Times New Roman" w:hAnsi="Times New Roman" w:cs="Times New Roman"/>
          <w:color w:val="000000" w:themeColor="text1"/>
          <w:sz w:val="20"/>
          <w:szCs w:val="20"/>
        </w:rPr>
        <w:t xml:space="preserve">NPE has received tremendous attention in EU studies over the past two decades. </w:t>
      </w:r>
      <w:r w:rsidR="00F45B26" w:rsidRPr="002B0075">
        <w:rPr>
          <w:rFonts w:ascii="Times New Roman" w:hAnsi="Times New Roman" w:cs="Times New Roman"/>
          <w:color w:val="000000" w:themeColor="text1"/>
          <w:sz w:val="20"/>
          <w:szCs w:val="20"/>
        </w:rPr>
        <w:t>By differentiating NPE from the previous conceptuali</w:t>
      </w:r>
      <w:r w:rsidR="00EA517B" w:rsidRPr="002B0075">
        <w:rPr>
          <w:rFonts w:ascii="Times New Roman" w:hAnsi="Times New Roman" w:cs="Times New Roman"/>
          <w:color w:val="000000" w:themeColor="text1"/>
          <w:sz w:val="20"/>
          <w:szCs w:val="20"/>
        </w:rPr>
        <w:t>s</w:t>
      </w:r>
      <w:r w:rsidR="00F45B26" w:rsidRPr="002B0075">
        <w:rPr>
          <w:rFonts w:ascii="Times New Roman" w:hAnsi="Times New Roman" w:cs="Times New Roman"/>
          <w:color w:val="000000" w:themeColor="text1"/>
          <w:sz w:val="20"/>
          <w:szCs w:val="20"/>
        </w:rPr>
        <w:t>ations of military power (Bull 1982) and civilian power (</w:t>
      </w:r>
      <w:proofErr w:type="spellStart"/>
      <w:r w:rsidR="00F45B26" w:rsidRPr="002B0075">
        <w:rPr>
          <w:rFonts w:ascii="Times New Roman" w:hAnsi="Times New Roman" w:cs="Times New Roman"/>
          <w:color w:val="000000" w:themeColor="text1"/>
          <w:sz w:val="20"/>
          <w:szCs w:val="20"/>
        </w:rPr>
        <w:t>Duch</w:t>
      </w:r>
      <w:r w:rsidR="006B635B" w:rsidRPr="002B0075">
        <w:rPr>
          <w:rFonts w:ascii="Times New Roman" w:hAnsi="Times New Roman" w:cs="Times New Roman"/>
          <w:color w:val="000000" w:themeColor="text1"/>
          <w:sz w:val="20"/>
          <w:szCs w:val="20"/>
        </w:rPr>
        <w:t>ê</w:t>
      </w:r>
      <w:r w:rsidR="00F45B26" w:rsidRPr="002B0075">
        <w:rPr>
          <w:rFonts w:ascii="Times New Roman" w:hAnsi="Times New Roman" w:cs="Times New Roman"/>
          <w:color w:val="000000" w:themeColor="text1"/>
          <w:sz w:val="20"/>
          <w:szCs w:val="20"/>
        </w:rPr>
        <w:t>ne</w:t>
      </w:r>
      <w:proofErr w:type="spellEnd"/>
      <w:r w:rsidR="00F45B26" w:rsidRPr="002B0075">
        <w:rPr>
          <w:rFonts w:ascii="Times New Roman" w:hAnsi="Times New Roman" w:cs="Times New Roman"/>
          <w:color w:val="000000" w:themeColor="text1"/>
          <w:sz w:val="20"/>
          <w:szCs w:val="20"/>
        </w:rPr>
        <w:t xml:space="preserve"> 1972), Manners highlighted the uniqueness of the EU’s nature and identity and suggested focusing on visions, ideations, norms and values as the substantive foundation of EU </w:t>
      </w:r>
      <w:r w:rsidR="00EA517B" w:rsidRPr="002B0075">
        <w:rPr>
          <w:rFonts w:ascii="Times New Roman" w:hAnsi="Times New Roman" w:cs="Times New Roman"/>
          <w:color w:val="000000" w:themeColor="text1"/>
          <w:sz w:val="20"/>
          <w:szCs w:val="20"/>
        </w:rPr>
        <w:t>foreign policy</w:t>
      </w:r>
      <w:r w:rsidR="00F45B26" w:rsidRPr="002B0075">
        <w:rPr>
          <w:rFonts w:ascii="Times New Roman" w:hAnsi="Times New Roman" w:cs="Times New Roman"/>
          <w:color w:val="000000" w:themeColor="text1"/>
          <w:sz w:val="20"/>
          <w:szCs w:val="20"/>
        </w:rPr>
        <w:t xml:space="preserve"> (Manners 2002; Whitman 2011). The central premise of </w:t>
      </w:r>
      <w:proofErr w:type="spellStart"/>
      <w:r w:rsidR="00F45B26" w:rsidRPr="002B0075">
        <w:rPr>
          <w:rFonts w:ascii="Times New Roman" w:hAnsi="Times New Roman" w:cs="Times New Roman"/>
          <w:color w:val="000000" w:themeColor="text1"/>
          <w:sz w:val="20"/>
          <w:szCs w:val="20"/>
        </w:rPr>
        <w:t>Manners’s</w:t>
      </w:r>
      <w:proofErr w:type="spellEnd"/>
      <w:r w:rsidR="00F45B26" w:rsidRPr="002B0075">
        <w:rPr>
          <w:rFonts w:ascii="Times New Roman" w:hAnsi="Times New Roman" w:cs="Times New Roman"/>
          <w:color w:val="000000" w:themeColor="text1"/>
          <w:sz w:val="20"/>
          <w:szCs w:val="20"/>
        </w:rPr>
        <w:t xml:space="preserve"> concept of NPE is that the EU distinguishes itself from other international actors through its ‘normative power of an ideational nature characterized by common principles and a willingness to disregard Westphalian conventions’ (Manners 2002: 239). He believes the EU’s unique normative power derives from three sources: historical context, hybrid polity and political-legal constitution (ibid. 240–1; Whitman 2011). In the post-Cold War period, the combination of these features, helped bring the shared values of member states into a common framework and facilitated commitment to shared norms and principles at both national and supranational levels. These principles and values constitute the EU as a </w:t>
      </w:r>
      <w:r w:rsidR="00F45B26" w:rsidRPr="002B0075">
        <w:rPr>
          <w:rFonts w:ascii="Times New Roman" w:hAnsi="Times New Roman" w:cs="Times New Roman"/>
          <w:i/>
          <w:iCs/>
          <w:color w:val="000000" w:themeColor="text1"/>
          <w:sz w:val="20"/>
          <w:szCs w:val="20"/>
        </w:rPr>
        <w:t>sui generis</w:t>
      </w:r>
      <w:r w:rsidR="00F45B26" w:rsidRPr="002B0075">
        <w:rPr>
          <w:rFonts w:ascii="Times New Roman" w:hAnsi="Times New Roman" w:cs="Times New Roman"/>
          <w:color w:val="000000" w:themeColor="text1"/>
          <w:sz w:val="20"/>
          <w:szCs w:val="20"/>
        </w:rPr>
        <w:t xml:space="preserve"> political entity in policy areas where the EU places a set of universal norms (</w:t>
      </w:r>
      <w:r w:rsidR="000164D5" w:rsidRPr="002B0075">
        <w:rPr>
          <w:rFonts w:ascii="Times New Roman" w:hAnsi="Times New Roman" w:cs="Times New Roman"/>
          <w:color w:val="000000" w:themeColor="text1"/>
          <w:sz w:val="20"/>
          <w:szCs w:val="20"/>
        </w:rPr>
        <w:t>e.g.,</w:t>
      </w:r>
      <w:r w:rsidR="00F45B26" w:rsidRPr="002B0075">
        <w:rPr>
          <w:rFonts w:ascii="Times New Roman" w:hAnsi="Times New Roman" w:cs="Times New Roman"/>
          <w:color w:val="000000" w:themeColor="text1"/>
          <w:sz w:val="20"/>
          <w:szCs w:val="20"/>
        </w:rPr>
        <w:t xml:space="preserve"> peace, liberty, democracy, the rule of law and respect for human rights) at the centre of its relations with the rest of the world (Manners</w:t>
      </w:r>
      <w:r w:rsidR="00E74AA1" w:rsidRPr="002B0075">
        <w:rPr>
          <w:rFonts w:ascii="Times New Roman" w:hAnsi="Times New Roman" w:cs="Times New Roman"/>
          <w:color w:val="000000" w:themeColor="text1"/>
          <w:sz w:val="20"/>
          <w:szCs w:val="20"/>
        </w:rPr>
        <w:t>,</w:t>
      </w:r>
      <w:r w:rsidR="00F45B26" w:rsidRPr="002B0075">
        <w:rPr>
          <w:rFonts w:ascii="Times New Roman" w:hAnsi="Times New Roman" w:cs="Times New Roman"/>
          <w:color w:val="000000" w:themeColor="text1"/>
          <w:sz w:val="20"/>
          <w:szCs w:val="20"/>
        </w:rPr>
        <w:t xml:space="preserve"> 2002; Whitman</w:t>
      </w:r>
      <w:r w:rsidR="00E74AA1" w:rsidRPr="002B0075">
        <w:rPr>
          <w:rFonts w:ascii="Times New Roman" w:hAnsi="Times New Roman" w:cs="Times New Roman"/>
          <w:color w:val="000000" w:themeColor="text1"/>
          <w:sz w:val="20"/>
          <w:szCs w:val="20"/>
        </w:rPr>
        <w:t>,</w:t>
      </w:r>
      <w:r w:rsidR="00F45B26" w:rsidRPr="002B0075">
        <w:rPr>
          <w:rFonts w:ascii="Times New Roman" w:hAnsi="Times New Roman" w:cs="Times New Roman"/>
          <w:color w:val="000000" w:themeColor="text1"/>
          <w:sz w:val="20"/>
          <w:szCs w:val="20"/>
        </w:rPr>
        <w:t xml:space="preserve"> 2011).</w:t>
      </w:r>
      <w:r w:rsidR="00313C00" w:rsidRPr="002B0075">
        <w:rPr>
          <w:rFonts w:ascii="Times New Roman" w:hAnsi="Times New Roman" w:cs="Times New Roman"/>
          <w:color w:val="000000" w:themeColor="text1"/>
          <w:sz w:val="20"/>
          <w:szCs w:val="20"/>
        </w:rPr>
        <w:t xml:space="preserve"> </w:t>
      </w:r>
    </w:p>
    <w:p w14:paraId="18FAF665" w14:textId="77777777" w:rsidR="00F45B26" w:rsidRPr="002B0075" w:rsidRDefault="00F45B26" w:rsidP="00514E1A">
      <w:pPr>
        <w:jc w:val="both"/>
        <w:rPr>
          <w:rFonts w:ascii="Times New Roman" w:hAnsi="Times New Roman" w:cs="Times New Roman"/>
          <w:color w:val="000000" w:themeColor="text1"/>
          <w:sz w:val="20"/>
          <w:szCs w:val="20"/>
        </w:rPr>
      </w:pPr>
    </w:p>
    <w:p w14:paraId="2B0E7277" w14:textId="70145E93" w:rsidR="004A6F37" w:rsidRPr="002B0075" w:rsidRDefault="002241A6"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Since </w:t>
      </w:r>
      <w:proofErr w:type="spellStart"/>
      <w:r w:rsidRPr="002B0075">
        <w:rPr>
          <w:rFonts w:ascii="Times New Roman" w:hAnsi="Times New Roman" w:cs="Times New Roman"/>
          <w:color w:val="000000" w:themeColor="text1"/>
          <w:sz w:val="20"/>
          <w:szCs w:val="20"/>
        </w:rPr>
        <w:t>Manners’s</w:t>
      </w:r>
      <w:proofErr w:type="spellEnd"/>
      <w:r w:rsidRPr="002B0075">
        <w:rPr>
          <w:rFonts w:ascii="Times New Roman" w:hAnsi="Times New Roman" w:cs="Times New Roman"/>
          <w:color w:val="000000" w:themeColor="text1"/>
          <w:sz w:val="20"/>
          <w:szCs w:val="20"/>
        </w:rPr>
        <w:t xml:space="preserve"> original article, a</w:t>
      </w:r>
      <w:r w:rsidR="004A6F37" w:rsidRPr="002B0075">
        <w:rPr>
          <w:rFonts w:ascii="Times New Roman" w:hAnsi="Times New Roman" w:cs="Times New Roman"/>
          <w:color w:val="000000" w:themeColor="text1"/>
          <w:sz w:val="20"/>
          <w:szCs w:val="20"/>
        </w:rPr>
        <w:t xml:space="preserve"> large number of scholars have adopted the concept of NPE to stimulate critical reflection on the EU’s ideational power in world politics. Whereas some scholars focused primarily on conceptual and theoretical discussions on the definition of normative power (e.g. </w:t>
      </w:r>
      <w:r w:rsidR="00A8537B" w:rsidRPr="002B0075">
        <w:rPr>
          <w:rFonts w:ascii="Times New Roman" w:hAnsi="Times New Roman" w:cs="Times New Roman"/>
          <w:color w:val="000000" w:themeColor="text1"/>
          <w:sz w:val="20"/>
          <w:szCs w:val="20"/>
        </w:rPr>
        <w:t xml:space="preserve">Birchfield 2013; </w:t>
      </w:r>
      <w:r w:rsidR="004A6F37" w:rsidRPr="002B0075">
        <w:rPr>
          <w:rFonts w:ascii="Times New Roman" w:hAnsi="Times New Roman" w:cs="Times New Roman"/>
          <w:color w:val="000000" w:themeColor="text1"/>
          <w:sz w:val="20"/>
          <w:szCs w:val="20"/>
        </w:rPr>
        <w:t xml:space="preserve">Diez, 2005; Forsberg, 2011; Hyde-Price, 2006; Parker and Rosamond, 2013), others used the concept to inform empirical investigations of how the EU promotes its principles, such as human rights (Lerch and </w:t>
      </w:r>
      <w:proofErr w:type="spellStart"/>
      <w:r w:rsidR="004A6F37" w:rsidRPr="002B0075">
        <w:rPr>
          <w:rFonts w:ascii="Times New Roman" w:hAnsi="Times New Roman" w:cs="Times New Roman"/>
          <w:color w:val="000000" w:themeColor="text1"/>
          <w:sz w:val="20"/>
          <w:szCs w:val="20"/>
        </w:rPr>
        <w:t>Schwellnus</w:t>
      </w:r>
      <w:proofErr w:type="spellEnd"/>
      <w:r w:rsidR="004A6F37" w:rsidRPr="002B0075">
        <w:rPr>
          <w:rFonts w:ascii="Times New Roman" w:hAnsi="Times New Roman" w:cs="Times New Roman"/>
          <w:color w:val="000000" w:themeColor="text1"/>
          <w:sz w:val="20"/>
          <w:szCs w:val="20"/>
        </w:rPr>
        <w:t>, 2006), democracy (Pace, 2009), labour rights (</w:t>
      </w:r>
      <w:proofErr w:type="spellStart"/>
      <w:r w:rsidR="004A6F37" w:rsidRPr="002B0075">
        <w:rPr>
          <w:rFonts w:ascii="Times New Roman" w:hAnsi="Times New Roman" w:cs="Times New Roman"/>
          <w:color w:val="000000" w:themeColor="text1"/>
          <w:sz w:val="20"/>
          <w:szCs w:val="20"/>
        </w:rPr>
        <w:t>Orbie</w:t>
      </w:r>
      <w:proofErr w:type="spellEnd"/>
      <w:r w:rsidR="004A6F37" w:rsidRPr="002B0075">
        <w:rPr>
          <w:rFonts w:ascii="Times New Roman" w:hAnsi="Times New Roman" w:cs="Times New Roman"/>
          <w:color w:val="000000" w:themeColor="text1"/>
          <w:sz w:val="20"/>
          <w:szCs w:val="20"/>
        </w:rPr>
        <w:t>, 2011), or more specific norms or policy items such as R2P (Newman and Stefan, 2019), biofuels regulation (</w:t>
      </w:r>
      <w:proofErr w:type="spellStart"/>
      <w:r w:rsidR="004A6F37" w:rsidRPr="002B0075">
        <w:rPr>
          <w:rFonts w:ascii="Times New Roman" w:hAnsi="Times New Roman" w:cs="Times New Roman"/>
          <w:color w:val="000000" w:themeColor="text1"/>
          <w:sz w:val="20"/>
          <w:szCs w:val="20"/>
        </w:rPr>
        <w:t>Afionis</w:t>
      </w:r>
      <w:proofErr w:type="spellEnd"/>
      <w:r w:rsidR="004A6F37" w:rsidRPr="002B0075">
        <w:rPr>
          <w:rFonts w:ascii="Times New Roman" w:hAnsi="Times New Roman" w:cs="Times New Roman"/>
          <w:color w:val="000000" w:themeColor="text1"/>
          <w:sz w:val="20"/>
          <w:szCs w:val="20"/>
        </w:rPr>
        <w:t xml:space="preserve"> and Stringer, 2012) and regionalism (Lenz, 2013).</w:t>
      </w:r>
      <w:r w:rsidR="00313C00" w:rsidRPr="002B0075">
        <w:rPr>
          <w:rFonts w:ascii="Times New Roman" w:hAnsi="Times New Roman" w:cs="Times New Roman"/>
          <w:color w:val="000000" w:themeColor="text1"/>
          <w:sz w:val="20"/>
          <w:szCs w:val="20"/>
        </w:rPr>
        <w:t xml:space="preserve"> </w:t>
      </w:r>
    </w:p>
    <w:p w14:paraId="6449FF84" w14:textId="77777777" w:rsidR="004A6F37" w:rsidRPr="002B0075" w:rsidRDefault="004A6F37" w:rsidP="00514E1A">
      <w:pPr>
        <w:jc w:val="both"/>
        <w:rPr>
          <w:rFonts w:ascii="Times New Roman" w:hAnsi="Times New Roman" w:cs="Times New Roman"/>
          <w:color w:val="000000" w:themeColor="text1"/>
          <w:sz w:val="20"/>
          <w:szCs w:val="20"/>
        </w:rPr>
      </w:pPr>
    </w:p>
    <w:p w14:paraId="19767CBF" w14:textId="13954E26" w:rsidR="00FF25E8"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This body of literature provides valuable conceptual and analytical tools for understanding the EU’s international identity and its role as a significant norm-promoter in global politics (Whitman, 2011); however, there exist </w:t>
      </w:r>
      <w:r w:rsidR="002241A6" w:rsidRPr="002B0075">
        <w:rPr>
          <w:rFonts w:ascii="Times New Roman" w:hAnsi="Times New Roman" w:cs="Times New Roman"/>
          <w:color w:val="000000" w:themeColor="text1"/>
          <w:sz w:val="20"/>
          <w:szCs w:val="20"/>
        </w:rPr>
        <w:t>two</w:t>
      </w:r>
      <w:r w:rsidR="0002118A"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limitations. First, although the NPE literature establishes a tripartite framework which identifies principles</w:t>
      </w:r>
      <w:r w:rsidR="006B3270" w:rsidRPr="002B0075">
        <w:rPr>
          <w:rFonts w:ascii="Times New Roman" w:hAnsi="Times New Roman" w:cs="Times New Roman"/>
          <w:color w:val="000000" w:themeColor="text1"/>
          <w:sz w:val="20"/>
          <w:szCs w:val="20"/>
        </w:rPr>
        <w:t xml:space="preserve"> (the principles that the EU promotes)</w:t>
      </w:r>
      <w:r w:rsidRPr="002B0075">
        <w:rPr>
          <w:rFonts w:ascii="Times New Roman" w:hAnsi="Times New Roman" w:cs="Times New Roman"/>
          <w:color w:val="000000" w:themeColor="text1"/>
          <w:sz w:val="20"/>
          <w:szCs w:val="20"/>
        </w:rPr>
        <w:t xml:space="preserve">, </w:t>
      </w:r>
      <w:r w:rsidR="006B3270" w:rsidRPr="002B0075">
        <w:rPr>
          <w:rFonts w:ascii="Times New Roman" w:hAnsi="Times New Roman" w:cs="Times New Roman"/>
          <w:color w:val="000000" w:themeColor="text1"/>
          <w:sz w:val="20"/>
          <w:szCs w:val="20"/>
        </w:rPr>
        <w:t>actions (the actions that the EU takes in order to promote its principles)</w:t>
      </w:r>
      <w:r w:rsidRPr="002B0075">
        <w:rPr>
          <w:rFonts w:ascii="Times New Roman" w:hAnsi="Times New Roman" w:cs="Times New Roman"/>
          <w:color w:val="000000" w:themeColor="text1"/>
          <w:sz w:val="20"/>
          <w:szCs w:val="20"/>
        </w:rPr>
        <w:t xml:space="preserve"> and impact</w:t>
      </w:r>
      <w:r w:rsidR="006B3270" w:rsidRPr="002B0075">
        <w:rPr>
          <w:rFonts w:ascii="Times New Roman" w:hAnsi="Times New Roman" w:cs="Times New Roman"/>
          <w:color w:val="000000" w:themeColor="text1"/>
          <w:sz w:val="20"/>
          <w:szCs w:val="20"/>
        </w:rPr>
        <w:t xml:space="preserve"> (the impact of such promotion)</w:t>
      </w:r>
      <w:r w:rsidRPr="002B0075">
        <w:rPr>
          <w:rFonts w:ascii="Times New Roman" w:hAnsi="Times New Roman" w:cs="Times New Roman"/>
          <w:color w:val="000000" w:themeColor="text1"/>
          <w:sz w:val="20"/>
          <w:szCs w:val="20"/>
        </w:rPr>
        <w:t xml:space="preserve"> (Manners, 2008; </w:t>
      </w:r>
      <w:proofErr w:type="spellStart"/>
      <w:r w:rsidR="002241A6" w:rsidRPr="002B0075">
        <w:rPr>
          <w:rFonts w:ascii="Times New Roman" w:hAnsi="Times New Roman" w:cs="Times New Roman"/>
          <w:color w:val="000000" w:themeColor="text1"/>
          <w:sz w:val="20"/>
          <w:szCs w:val="20"/>
        </w:rPr>
        <w:t>Tocci</w:t>
      </w:r>
      <w:proofErr w:type="spellEnd"/>
      <w:r w:rsidR="007B40EB" w:rsidRPr="002B0075">
        <w:rPr>
          <w:rFonts w:ascii="Times New Roman" w:hAnsi="Times New Roman" w:cs="Times New Roman"/>
          <w:color w:val="000000" w:themeColor="text1"/>
          <w:sz w:val="20"/>
          <w:szCs w:val="20"/>
        </w:rPr>
        <w:t>,</w:t>
      </w:r>
      <w:r w:rsidR="002241A6" w:rsidRPr="002B0075">
        <w:rPr>
          <w:rFonts w:ascii="Times New Roman" w:hAnsi="Times New Roman" w:cs="Times New Roman"/>
          <w:color w:val="000000" w:themeColor="text1"/>
          <w:sz w:val="20"/>
          <w:szCs w:val="20"/>
        </w:rPr>
        <w:t xml:space="preserve"> 2008; </w:t>
      </w:r>
      <w:r w:rsidRPr="002B0075">
        <w:rPr>
          <w:rFonts w:ascii="Times New Roman" w:hAnsi="Times New Roman" w:cs="Times New Roman"/>
          <w:color w:val="000000" w:themeColor="text1"/>
          <w:sz w:val="20"/>
          <w:szCs w:val="20"/>
        </w:rPr>
        <w:t xml:space="preserve">Whitman, 2011) as key factors defining the EU’s normative power, it </w:t>
      </w:r>
      <w:r w:rsidR="0002118A" w:rsidRPr="002B0075">
        <w:rPr>
          <w:rFonts w:ascii="Times New Roman" w:hAnsi="Times New Roman" w:cs="Times New Roman"/>
          <w:color w:val="000000" w:themeColor="text1"/>
          <w:sz w:val="20"/>
          <w:szCs w:val="20"/>
        </w:rPr>
        <w:t>does not fully uncover</w:t>
      </w:r>
      <w:r w:rsidRPr="002B0075">
        <w:rPr>
          <w:rFonts w:ascii="Times New Roman" w:hAnsi="Times New Roman" w:cs="Times New Roman"/>
          <w:color w:val="000000" w:themeColor="text1"/>
          <w:sz w:val="20"/>
          <w:szCs w:val="20"/>
        </w:rPr>
        <w:t xml:space="preserve"> the complexity</w:t>
      </w:r>
      <w:r w:rsidR="002241A6" w:rsidRPr="002B0075">
        <w:rPr>
          <w:rFonts w:ascii="Times New Roman" w:hAnsi="Times New Roman" w:cs="Times New Roman"/>
          <w:color w:val="000000" w:themeColor="text1"/>
          <w:sz w:val="20"/>
          <w:szCs w:val="20"/>
        </w:rPr>
        <w:t xml:space="preserve"> and diversity</w:t>
      </w:r>
      <w:r w:rsidRPr="002B0075">
        <w:rPr>
          <w:rFonts w:ascii="Times New Roman" w:hAnsi="Times New Roman" w:cs="Times New Roman"/>
          <w:color w:val="000000" w:themeColor="text1"/>
          <w:sz w:val="20"/>
          <w:szCs w:val="20"/>
        </w:rPr>
        <w:t xml:space="preserve"> of EU diffusion </w:t>
      </w:r>
      <w:r w:rsidR="00FF25E8" w:rsidRPr="002B0075">
        <w:rPr>
          <w:rFonts w:ascii="Times New Roman" w:hAnsi="Times New Roman" w:cs="Times New Roman" w:hint="eastAsia"/>
          <w:color w:val="000000" w:themeColor="text1"/>
          <w:sz w:val="20"/>
          <w:szCs w:val="20"/>
        </w:rPr>
        <w:t>items</w:t>
      </w:r>
      <w:r w:rsidRPr="002B0075">
        <w:rPr>
          <w:rFonts w:ascii="Times New Roman" w:hAnsi="Times New Roman" w:cs="Times New Roman"/>
          <w:color w:val="000000" w:themeColor="text1"/>
          <w:sz w:val="20"/>
          <w:szCs w:val="20"/>
        </w:rPr>
        <w:t xml:space="preserve">. </w:t>
      </w:r>
      <w:r w:rsidR="002241A6" w:rsidRPr="002B0075">
        <w:rPr>
          <w:rFonts w:ascii="Times New Roman" w:hAnsi="Times New Roman" w:cs="Times New Roman"/>
          <w:color w:val="000000" w:themeColor="text1"/>
          <w:sz w:val="20"/>
          <w:szCs w:val="20"/>
        </w:rPr>
        <w:t xml:space="preserve">Specifically, </w:t>
      </w:r>
      <w:r w:rsidR="0002118A" w:rsidRPr="002B0075">
        <w:rPr>
          <w:rFonts w:ascii="Times New Roman" w:hAnsi="Times New Roman" w:cs="Times New Roman"/>
          <w:color w:val="000000" w:themeColor="text1"/>
          <w:sz w:val="20"/>
          <w:szCs w:val="20"/>
        </w:rPr>
        <w:t>the majority of</w:t>
      </w:r>
      <w:r w:rsidRPr="002B0075">
        <w:rPr>
          <w:rFonts w:ascii="Times New Roman" w:hAnsi="Times New Roman" w:cs="Times New Roman"/>
          <w:color w:val="000000" w:themeColor="text1"/>
          <w:sz w:val="20"/>
          <w:szCs w:val="20"/>
        </w:rPr>
        <w:t xml:space="preserve"> NPE literature focus</w:t>
      </w:r>
      <w:r w:rsidR="00C91311" w:rsidRPr="002B0075">
        <w:rPr>
          <w:rFonts w:ascii="Times New Roman" w:hAnsi="Times New Roman" w:cs="Times New Roman"/>
          <w:color w:val="000000" w:themeColor="text1"/>
          <w:sz w:val="20"/>
          <w:szCs w:val="20"/>
        </w:rPr>
        <w:t>es primarily</w:t>
      </w:r>
      <w:r w:rsidRPr="002B0075">
        <w:rPr>
          <w:rFonts w:ascii="Times New Roman" w:hAnsi="Times New Roman" w:cs="Times New Roman"/>
          <w:color w:val="000000" w:themeColor="text1"/>
          <w:sz w:val="20"/>
          <w:szCs w:val="20"/>
        </w:rPr>
        <w:t xml:space="preserve"> on EU promotion of a single norm (or set of single norms), </w:t>
      </w:r>
      <w:r w:rsidR="0002118A" w:rsidRPr="002B0075">
        <w:rPr>
          <w:rFonts w:ascii="Times New Roman" w:hAnsi="Times New Roman" w:cs="Times New Roman"/>
          <w:color w:val="000000" w:themeColor="text1"/>
          <w:sz w:val="20"/>
          <w:szCs w:val="20"/>
        </w:rPr>
        <w:t>instead of</w:t>
      </w:r>
      <w:r w:rsidRPr="002B0075">
        <w:rPr>
          <w:rFonts w:ascii="Times New Roman" w:hAnsi="Times New Roman" w:cs="Times New Roman"/>
          <w:color w:val="000000" w:themeColor="text1"/>
          <w:sz w:val="20"/>
          <w:szCs w:val="20"/>
        </w:rPr>
        <w:t xml:space="preserve"> </w:t>
      </w:r>
      <w:r w:rsidR="0002118A" w:rsidRPr="002B0075">
        <w:rPr>
          <w:rFonts w:ascii="Times New Roman" w:hAnsi="Times New Roman" w:cs="Times New Roman"/>
          <w:color w:val="000000" w:themeColor="text1"/>
          <w:sz w:val="20"/>
          <w:szCs w:val="20"/>
        </w:rPr>
        <w:t>unpacking</w:t>
      </w:r>
      <w:r w:rsidRPr="002B0075">
        <w:rPr>
          <w:rFonts w:ascii="Times New Roman" w:hAnsi="Times New Roman" w:cs="Times New Roman"/>
          <w:color w:val="000000" w:themeColor="text1"/>
          <w:sz w:val="20"/>
          <w:szCs w:val="20"/>
        </w:rPr>
        <w:t xml:space="preserve"> the multidimensional nature of norms (Wiener 2009). </w:t>
      </w:r>
      <w:r w:rsidR="002241A6" w:rsidRPr="002B0075">
        <w:rPr>
          <w:rFonts w:ascii="Times New Roman" w:hAnsi="Times New Roman" w:cs="Times New Roman"/>
          <w:color w:val="000000" w:themeColor="text1"/>
          <w:sz w:val="20"/>
          <w:szCs w:val="20"/>
        </w:rPr>
        <w:t>Besides</w:t>
      </w:r>
      <w:r w:rsidRPr="002B0075">
        <w:rPr>
          <w:rFonts w:ascii="Times New Roman" w:hAnsi="Times New Roman" w:cs="Times New Roman"/>
          <w:color w:val="000000" w:themeColor="text1"/>
          <w:sz w:val="20"/>
          <w:szCs w:val="20"/>
        </w:rPr>
        <w:t xml:space="preserve">, </w:t>
      </w:r>
      <w:r w:rsidR="002241A6" w:rsidRPr="002B0075">
        <w:rPr>
          <w:rFonts w:ascii="Times New Roman" w:hAnsi="Times New Roman" w:cs="Times New Roman"/>
          <w:color w:val="000000" w:themeColor="text1"/>
          <w:sz w:val="20"/>
          <w:szCs w:val="20"/>
        </w:rPr>
        <w:t xml:space="preserve">it is also noteworthy that </w:t>
      </w:r>
      <w:r w:rsidRPr="002B0075">
        <w:rPr>
          <w:rFonts w:ascii="Times New Roman" w:hAnsi="Times New Roman" w:cs="Times New Roman"/>
          <w:color w:val="000000" w:themeColor="text1"/>
          <w:sz w:val="20"/>
          <w:szCs w:val="20"/>
        </w:rPr>
        <w:t>most existing studies focus on the EU’s externali</w:t>
      </w:r>
      <w:r w:rsidR="00F458DD"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ation of socio-political norms (</w:t>
      </w:r>
      <w:r w:rsidR="00A8537B" w:rsidRPr="002B0075">
        <w:rPr>
          <w:rFonts w:ascii="Times New Roman" w:hAnsi="Times New Roman" w:cs="Times New Roman"/>
          <w:color w:val="000000" w:themeColor="text1"/>
          <w:sz w:val="20"/>
          <w:szCs w:val="20"/>
        </w:rPr>
        <w:t>e.g.,</w:t>
      </w:r>
      <w:r w:rsidRPr="002B0075">
        <w:rPr>
          <w:rFonts w:ascii="Times New Roman" w:hAnsi="Times New Roman" w:cs="Times New Roman"/>
          <w:color w:val="000000" w:themeColor="text1"/>
          <w:sz w:val="20"/>
          <w:szCs w:val="20"/>
        </w:rPr>
        <w:t xml:space="preserve"> democracy, human rights</w:t>
      </w:r>
      <w:r w:rsidR="006B3270" w:rsidRPr="002B0075">
        <w:rPr>
          <w:rFonts w:ascii="Times New Roman" w:hAnsi="Times New Roman" w:cs="Times New Roman"/>
          <w:color w:val="000000" w:themeColor="text1"/>
          <w:sz w:val="20"/>
          <w:szCs w:val="20"/>
        </w:rPr>
        <w:t>, good governance</w:t>
      </w:r>
      <w:r w:rsidRPr="002B0075">
        <w:rPr>
          <w:rFonts w:ascii="Times New Roman" w:hAnsi="Times New Roman" w:cs="Times New Roman"/>
          <w:color w:val="000000" w:themeColor="text1"/>
          <w:sz w:val="20"/>
          <w:szCs w:val="20"/>
        </w:rPr>
        <w:t>)</w:t>
      </w:r>
      <w:r w:rsidR="003E087C"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pay</w:t>
      </w:r>
      <w:r w:rsidR="003E087C" w:rsidRPr="002B0075">
        <w:rPr>
          <w:rFonts w:ascii="Times New Roman" w:hAnsi="Times New Roman" w:cs="Times New Roman"/>
          <w:color w:val="000000" w:themeColor="text1"/>
          <w:sz w:val="20"/>
          <w:szCs w:val="20"/>
        </w:rPr>
        <w:t>ing</w:t>
      </w:r>
      <w:r w:rsidR="00F458DD" w:rsidRPr="002B0075">
        <w:rPr>
          <w:rFonts w:ascii="Times New Roman" w:hAnsi="Times New Roman" w:cs="Times New Roman"/>
          <w:color w:val="000000" w:themeColor="text1"/>
          <w:sz w:val="20"/>
          <w:szCs w:val="20"/>
        </w:rPr>
        <w:t xml:space="preserve"> relatively</w:t>
      </w:r>
      <w:r w:rsidRPr="002B0075">
        <w:rPr>
          <w:rFonts w:ascii="Times New Roman" w:hAnsi="Times New Roman" w:cs="Times New Roman"/>
          <w:color w:val="000000" w:themeColor="text1"/>
          <w:sz w:val="20"/>
          <w:szCs w:val="20"/>
        </w:rPr>
        <w:t xml:space="preserve"> limited attention to the EU’s security</w:t>
      </w:r>
      <w:r w:rsidR="002241A6" w:rsidRPr="002B0075">
        <w:rPr>
          <w:rFonts w:ascii="Times New Roman" w:hAnsi="Times New Roman" w:cs="Times New Roman"/>
          <w:color w:val="000000" w:themeColor="text1"/>
          <w:sz w:val="20"/>
          <w:szCs w:val="20"/>
        </w:rPr>
        <w:t>-related</w:t>
      </w:r>
      <w:r w:rsidRPr="002B0075">
        <w:rPr>
          <w:rFonts w:ascii="Times New Roman" w:hAnsi="Times New Roman" w:cs="Times New Roman"/>
          <w:color w:val="000000" w:themeColor="text1"/>
          <w:sz w:val="20"/>
          <w:szCs w:val="20"/>
        </w:rPr>
        <w:t xml:space="preserve"> norms. </w:t>
      </w:r>
      <w:r w:rsidR="002241A6" w:rsidRPr="002B0075">
        <w:rPr>
          <w:rFonts w:ascii="Times New Roman" w:hAnsi="Times New Roman" w:cs="Times New Roman"/>
          <w:color w:val="000000" w:themeColor="text1"/>
          <w:sz w:val="20"/>
          <w:szCs w:val="20"/>
        </w:rPr>
        <w:t>Second, the existing NPE framework falls short in terms of assessing the effectiveness of EU norm diffusion</w:t>
      </w:r>
      <w:r w:rsidR="00C91311" w:rsidRPr="002B0075">
        <w:rPr>
          <w:rFonts w:ascii="Times New Roman" w:hAnsi="Times New Roman" w:cs="Times New Roman"/>
          <w:color w:val="000000" w:themeColor="text1"/>
          <w:sz w:val="20"/>
          <w:szCs w:val="20"/>
        </w:rPr>
        <w:t xml:space="preserve"> in empirical cases</w:t>
      </w:r>
      <w:r w:rsidR="00823646" w:rsidRPr="002B0075">
        <w:rPr>
          <w:rFonts w:ascii="Times New Roman" w:hAnsi="Times New Roman" w:cs="Times New Roman"/>
          <w:color w:val="000000" w:themeColor="text1"/>
          <w:sz w:val="20"/>
          <w:szCs w:val="20"/>
        </w:rPr>
        <w:t xml:space="preserve"> (</w:t>
      </w:r>
      <w:proofErr w:type="spellStart"/>
      <w:r w:rsidR="00823646" w:rsidRPr="002B0075">
        <w:rPr>
          <w:rFonts w:ascii="Times New Roman" w:hAnsi="Times New Roman" w:cs="Times New Roman"/>
          <w:color w:val="000000" w:themeColor="text1"/>
          <w:sz w:val="20"/>
          <w:szCs w:val="20"/>
        </w:rPr>
        <w:t>Sjursen</w:t>
      </w:r>
      <w:proofErr w:type="spellEnd"/>
      <w:r w:rsidR="00823646" w:rsidRPr="002B0075">
        <w:rPr>
          <w:rFonts w:ascii="Times New Roman" w:hAnsi="Times New Roman" w:cs="Times New Roman"/>
          <w:color w:val="000000" w:themeColor="text1"/>
          <w:sz w:val="20"/>
          <w:szCs w:val="20"/>
        </w:rPr>
        <w:t xml:space="preserve"> 2005)</w:t>
      </w:r>
      <w:r w:rsidR="002241A6" w:rsidRPr="002B0075">
        <w:rPr>
          <w:rFonts w:ascii="Times New Roman" w:hAnsi="Times New Roman" w:cs="Times New Roman"/>
          <w:color w:val="000000" w:themeColor="text1"/>
          <w:sz w:val="20"/>
          <w:szCs w:val="20"/>
        </w:rPr>
        <w:t>.</w:t>
      </w:r>
      <w:r w:rsidR="006B3270" w:rsidRPr="002B0075">
        <w:rPr>
          <w:rFonts w:ascii="Times New Roman" w:hAnsi="Times New Roman" w:cs="Times New Roman"/>
          <w:color w:val="000000" w:themeColor="text1"/>
          <w:sz w:val="20"/>
          <w:szCs w:val="20"/>
        </w:rPr>
        <w:t xml:space="preserve"> This is largely because the EU’s normative impact has been ill-defined in the </w:t>
      </w:r>
      <w:r w:rsidR="002473A6" w:rsidRPr="002B0075">
        <w:rPr>
          <w:rFonts w:ascii="Times New Roman" w:hAnsi="Times New Roman" w:cs="Times New Roman"/>
          <w:color w:val="000000" w:themeColor="text1"/>
          <w:sz w:val="20"/>
          <w:szCs w:val="20"/>
        </w:rPr>
        <w:t>conventional</w:t>
      </w:r>
      <w:r w:rsidR="006B3270" w:rsidRPr="002B0075">
        <w:rPr>
          <w:rFonts w:ascii="Times New Roman" w:hAnsi="Times New Roman" w:cs="Times New Roman"/>
          <w:color w:val="000000" w:themeColor="text1"/>
          <w:sz w:val="20"/>
          <w:szCs w:val="20"/>
        </w:rPr>
        <w:t xml:space="preserve"> NPE literature</w:t>
      </w:r>
      <w:r w:rsidR="00613B87" w:rsidRPr="002B0075">
        <w:rPr>
          <w:rFonts w:ascii="Times New Roman" w:hAnsi="Times New Roman" w:cs="Times New Roman"/>
          <w:color w:val="000000" w:themeColor="text1"/>
          <w:sz w:val="20"/>
          <w:szCs w:val="20"/>
        </w:rPr>
        <w:t xml:space="preserve"> (Forsberg, 2011)</w:t>
      </w:r>
      <w:r w:rsidR="006B3270" w:rsidRPr="002B0075">
        <w:rPr>
          <w:rFonts w:ascii="Times New Roman" w:hAnsi="Times New Roman" w:cs="Times New Roman"/>
          <w:color w:val="000000" w:themeColor="text1"/>
          <w:sz w:val="20"/>
          <w:szCs w:val="20"/>
        </w:rPr>
        <w:t>.</w:t>
      </w:r>
      <w:r w:rsidR="00493B1C" w:rsidRPr="002B0075">
        <w:rPr>
          <w:rFonts w:ascii="Times New Roman" w:hAnsi="Times New Roman" w:cs="Times New Roman"/>
          <w:color w:val="000000" w:themeColor="text1"/>
          <w:sz w:val="20"/>
          <w:szCs w:val="20"/>
        </w:rPr>
        <w:t xml:space="preserve"> </w:t>
      </w:r>
      <w:r w:rsidR="006B3270" w:rsidRPr="002B0075">
        <w:rPr>
          <w:rFonts w:ascii="Times New Roman" w:hAnsi="Times New Roman" w:cs="Times New Roman"/>
          <w:color w:val="000000" w:themeColor="text1"/>
          <w:sz w:val="20"/>
          <w:szCs w:val="20"/>
        </w:rPr>
        <w:t xml:space="preserve">Moreover, there is a lack of concrete indicators that can be adopted in empirical research to evaluate the </w:t>
      </w:r>
      <w:r w:rsidR="00493B1C" w:rsidRPr="002B0075">
        <w:rPr>
          <w:rFonts w:ascii="Times New Roman" w:hAnsi="Times New Roman" w:cs="Times New Roman"/>
          <w:color w:val="000000" w:themeColor="text1"/>
          <w:sz w:val="20"/>
          <w:szCs w:val="20"/>
        </w:rPr>
        <w:t xml:space="preserve">actual </w:t>
      </w:r>
      <w:r w:rsidR="006B3270" w:rsidRPr="002B0075">
        <w:rPr>
          <w:rFonts w:ascii="Times New Roman" w:hAnsi="Times New Roman" w:cs="Times New Roman"/>
          <w:color w:val="000000" w:themeColor="text1"/>
          <w:sz w:val="20"/>
          <w:szCs w:val="20"/>
        </w:rPr>
        <w:t xml:space="preserve">effects of the EU’s normative impact </w:t>
      </w:r>
      <w:r w:rsidR="00493B1C" w:rsidRPr="002B0075">
        <w:rPr>
          <w:rFonts w:ascii="Times New Roman" w:hAnsi="Times New Roman" w:cs="Times New Roman"/>
          <w:color w:val="000000" w:themeColor="text1"/>
          <w:sz w:val="20"/>
          <w:szCs w:val="20"/>
        </w:rPr>
        <w:t>across different policy areas</w:t>
      </w:r>
      <w:r w:rsidRPr="002B0075">
        <w:rPr>
          <w:rFonts w:ascii="Times New Roman" w:hAnsi="Times New Roman" w:cs="Times New Roman"/>
          <w:color w:val="000000" w:themeColor="text1"/>
          <w:sz w:val="20"/>
          <w:szCs w:val="20"/>
        </w:rPr>
        <w:t>.</w:t>
      </w:r>
      <w:r w:rsidR="00913127" w:rsidRPr="002B0075">
        <w:rPr>
          <w:rFonts w:ascii="Times New Roman" w:hAnsi="Times New Roman" w:cs="Times New Roman" w:hint="eastAsia"/>
          <w:color w:val="000000" w:themeColor="text1"/>
          <w:sz w:val="20"/>
          <w:szCs w:val="20"/>
        </w:rPr>
        <w:t xml:space="preserve"> </w:t>
      </w:r>
    </w:p>
    <w:p w14:paraId="16F8B592" w14:textId="7E4FA0B7" w:rsidR="00FF25E8" w:rsidRPr="002B0075" w:rsidRDefault="00FF25E8" w:rsidP="00514E1A">
      <w:pPr>
        <w:jc w:val="both"/>
        <w:rPr>
          <w:rFonts w:ascii="Times New Roman" w:hAnsi="Times New Roman" w:cs="Times New Roman"/>
          <w:color w:val="000000" w:themeColor="text1"/>
          <w:sz w:val="20"/>
          <w:szCs w:val="20"/>
        </w:rPr>
      </w:pPr>
    </w:p>
    <w:p w14:paraId="6A1F7235" w14:textId="1D9E76DC" w:rsidR="00FF25E8" w:rsidRPr="002B0075" w:rsidRDefault="00FF25E8" w:rsidP="00514E1A">
      <w:pPr>
        <w:jc w:val="both"/>
        <w:rPr>
          <w:rFonts w:ascii="Times New Roman" w:hAnsi="Times New Roman" w:cs="Times New Roman"/>
          <w:color w:val="000000" w:themeColor="text1"/>
          <w:sz w:val="20"/>
          <w:szCs w:val="20"/>
          <w:lang w:val="en-US"/>
        </w:rPr>
      </w:pPr>
      <w:r w:rsidRPr="002B0075">
        <w:rPr>
          <w:rFonts w:ascii="Times New Roman" w:hAnsi="Times New Roman" w:cs="Times New Roman"/>
          <w:color w:val="000000" w:themeColor="text1"/>
          <w:sz w:val="20"/>
          <w:szCs w:val="20"/>
          <w:lang w:val="en-US"/>
        </w:rPr>
        <w:t>Apart</w:t>
      </w:r>
      <w:r w:rsidRPr="002B0075">
        <w:rPr>
          <w:rFonts w:ascii="Times New Roman" w:hAnsi="Times New Roman" w:cs="Times New Roman" w:hint="eastAsia"/>
          <w:color w:val="000000" w:themeColor="text1"/>
          <w:sz w:val="20"/>
          <w:szCs w:val="20"/>
          <w:lang w:val="en-US"/>
        </w:rPr>
        <w:t xml:space="preserve"> </w:t>
      </w:r>
      <w:r w:rsidRPr="002B0075">
        <w:rPr>
          <w:rFonts w:ascii="Times New Roman" w:hAnsi="Times New Roman" w:cs="Times New Roman"/>
          <w:color w:val="000000" w:themeColor="text1"/>
          <w:sz w:val="20"/>
          <w:szCs w:val="20"/>
          <w:lang w:val="en-US"/>
        </w:rPr>
        <w:t xml:space="preserve">from the NPE literature, there is another group of scholars who has explicitly examined the EU’s norm and policy diffusion. This scholarly camp has developed a considerable volume of theoretically </w:t>
      </w:r>
      <w:r w:rsidRPr="002B0075">
        <w:rPr>
          <w:rFonts w:ascii="Times New Roman" w:hAnsi="Times New Roman" w:cs="Times New Roman"/>
          <w:color w:val="000000" w:themeColor="text1"/>
          <w:sz w:val="20"/>
          <w:szCs w:val="20"/>
          <w:lang w:val="en-US"/>
        </w:rPr>
        <w:lastRenderedPageBreak/>
        <w:t xml:space="preserve">informed and empirically exhaustive literature investigating into the EU’s external influence in the context of enlargement and the Union’s </w:t>
      </w:r>
      <w:proofErr w:type="spellStart"/>
      <w:r w:rsidRPr="002B0075">
        <w:rPr>
          <w:rFonts w:ascii="Times New Roman" w:hAnsi="Times New Roman" w:cs="Times New Roman"/>
          <w:color w:val="000000" w:themeColor="text1"/>
          <w:sz w:val="20"/>
          <w:szCs w:val="20"/>
          <w:lang w:val="en-US"/>
        </w:rPr>
        <w:t>neighbourhood</w:t>
      </w:r>
      <w:proofErr w:type="spellEnd"/>
      <w:r w:rsidRPr="002B0075">
        <w:rPr>
          <w:rFonts w:ascii="Times New Roman" w:hAnsi="Times New Roman" w:cs="Times New Roman"/>
          <w:color w:val="000000" w:themeColor="text1"/>
          <w:sz w:val="20"/>
          <w:szCs w:val="20"/>
          <w:lang w:val="en-US"/>
        </w:rPr>
        <w:t xml:space="preserve"> policy under the label of ‘Europeanisation’ (see for example Buller and Gamble 2002; </w:t>
      </w:r>
      <w:hyperlink r:id="rId8" w:history="1">
        <w:r w:rsidRPr="002B0075">
          <w:rPr>
            <w:rFonts w:ascii="Times New Roman" w:hAnsi="Times New Roman" w:cs="Times New Roman"/>
            <w:color w:val="000000" w:themeColor="text1"/>
            <w:sz w:val="20"/>
            <w:szCs w:val="20"/>
            <w:lang w:val="en-US"/>
          </w:rPr>
          <w:t>Börzel</w:t>
        </w:r>
      </w:hyperlink>
      <w:r w:rsidRPr="002B0075">
        <w:rPr>
          <w:rFonts w:ascii="Times New Roman" w:hAnsi="Times New Roman" w:cs="Times New Roman"/>
          <w:color w:val="000000" w:themeColor="text1"/>
          <w:sz w:val="20"/>
          <w:szCs w:val="20"/>
          <w:lang w:val="en-US"/>
        </w:rPr>
        <w:t xml:space="preserve"> and </w:t>
      </w:r>
      <w:proofErr w:type="spellStart"/>
      <w:r w:rsidRPr="002B0075">
        <w:rPr>
          <w:rFonts w:ascii="Times New Roman" w:hAnsi="Times New Roman" w:cs="Times New Roman"/>
          <w:color w:val="000000" w:themeColor="text1"/>
          <w:sz w:val="20"/>
          <w:szCs w:val="20"/>
          <w:lang w:val="en-US"/>
        </w:rPr>
        <w:t>Risse</w:t>
      </w:r>
      <w:proofErr w:type="spellEnd"/>
      <w:r w:rsidRPr="002B0075">
        <w:rPr>
          <w:rFonts w:ascii="Times New Roman" w:hAnsi="Times New Roman" w:cs="Times New Roman"/>
          <w:color w:val="000000" w:themeColor="text1"/>
          <w:sz w:val="20"/>
          <w:szCs w:val="20"/>
          <w:lang w:val="en-US"/>
        </w:rPr>
        <w:t xml:space="preserve"> 2012; Wallace 2000). A key line of inquiry in this scholarly literature is about how the EU has leveraged its impact on policy and institutional evolution of its </w:t>
      </w:r>
      <w:proofErr w:type="spellStart"/>
      <w:r w:rsidRPr="002B0075">
        <w:rPr>
          <w:rFonts w:ascii="Times New Roman" w:hAnsi="Times New Roman" w:cs="Times New Roman"/>
          <w:color w:val="000000" w:themeColor="text1"/>
          <w:sz w:val="20"/>
          <w:szCs w:val="20"/>
          <w:lang w:val="en-US"/>
        </w:rPr>
        <w:t>neighbouring</w:t>
      </w:r>
      <w:proofErr w:type="spellEnd"/>
      <w:r w:rsidRPr="002B0075">
        <w:rPr>
          <w:rFonts w:ascii="Times New Roman" w:hAnsi="Times New Roman" w:cs="Times New Roman"/>
          <w:color w:val="000000" w:themeColor="text1"/>
          <w:sz w:val="20"/>
          <w:szCs w:val="20"/>
          <w:lang w:val="en-US"/>
        </w:rPr>
        <w:t xml:space="preserve"> and enlargement countries in various policy areas (see for example </w:t>
      </w:r>
      <w:proofErr w:type="spellStart"/>
      <w:r w:rsidRPr="002B0075">
        <w:rPr>
          <w:rFonts w:ascii="Times New Roman" w:hAnsi="Times New Roman" w:cs="Times New Roman"/>
          <w:color w:val="000000" w:themeColor="text1"/>
          <w:sz w:val="20"/>
          <w:szCs w:val="20"/>
          <w:lang w:val="en-US"/>
        </w:rPr>
        <w:t>Schimmelfennig</w:t>
      </w:r>
      <w:proofErr w:type="spellEnd"/>
      <w:r w:rsidRPr="002B0075">
        <w:rPr>
          <w:rFonts w:ascii="Times New Roman" w:hAnsi="Times New Roman" w:cs="Times New Roman"/>
          <w:color w:val="000000" w:themeColor="text1"/>
          <w:sz w:val="20"/>
          <w:szCs w:val="20"/>
          <w:lang w:val="en-US"/>
        </w:rPr>
        <w:t xml:space="preserve"> and </w:t>
      </w:r>
      <w:proofErr w:type="spellStart"/>
      <w:r w:rsidRPr="002B0075">
        <w:rPr>
          <w:rFonts w:ascii="Times New Roman" w:hAnsi="Times New Roman" w:cs="Times New Roman"/>
          <w:color w:val="000000" w:themeColor="text1"/>
          <w:sz w:val="20"/>
          <w:szCs w:val="20"/>
          <w:lang w:val="en-US"/>
        </w:rPr>
        <w:t>Sedelmeier</w:t>
      </w:r>
      <w:proofErr w:type="spellEnd"/>
      <w:r w:rsidRPr="002B0075">
        <w:rPr>
          <w:rFonts w:ascii="Times New Roman" w:hAnsi="Times New Roman" w:cs="Times New Roman"/>
          <w:color w:val="000000" w:themeColor="text1"/>
          <w:sz w:val="20"/>
          <w:szCs w:val="20"/>
          <w:lang w:val="en-US"/>
        </w:rPr>
        <w:t xml:space="preserve"> 200</w:t>
      </w:r>
      <w:r w:rsidR="000A4524" w:rsidRPr="002B0075">
        <w:rPr>
          <w:rFonts w:ascii="Times New Roman" w:hAnsi="Times New Roman" w:cs="Times New Roman"/>
          <w:color w:val="000000" w:themeColor="text1"/>
          <w:sz w:val="20"/>
          <w:szCs w:val="20"/>
          <w:lang w:val="en-US"/>
        </w:rPr>
        <w:t>5</w:t>
      </w:r>
      <w:r w:rsidRPr="002B0075">
        <w:rPr>
          <w:rFonts w:ascii="Times New Roman" w:hAnsi="Times New Roman" w:cs="Times New Roman"/>
          <w:color w:val="000000" w:themeColor="text1"/>
          <w:sz w:val="20"/>
          <w:szCs w:val="20"/>
          <w:lang w:val="en-US"/>
        </w:rPr>
        <w:t xml:space="preserve">). Apart from </w:t>
      </w:r>
      <w:proofErr w:type="spellStart"/>
      <w:r w:rsidRPr="002B0075">
        <w:rPr>
          <w:rFonts w:ascii="Times New Roman" w:hAnsi="Times New Roman" w:cs="Times New Roman"/>
          <w:color w:val="000000" w:themeColor="text1"/>
          <w:sz w:val="20"/>
          <w:szCs w:val="20"/>
          <w:lang w:val="en-US"/>
        </w:rPr>
        <w:t>analysing</w:t>
      </w:r>
      <w:proofErr w:type="spellEnd"/>
      <w:r w:rsidRPr="002B0075">
        <w:rPr>
          <w:rFonts w:ascii="Times New Roman" w:hAnsi="Times New Roman" w:cs="Times New Roman"/>
          <w:color w:val="000000" w:themeColor="text1"/>
          <w:sz w:val="20"/>
          <w:szCs w:val="20"/>
          <w:lang w:val="en-US"/>
        </w:rPr>
        <w:t xml:space="preserve"> the EU’s impact, the debate also examined the mechanisms through which the EU leverages its influence including material and ideational ones. While these discussions are relevant for this research, it is noteworthy that the relationship between the EU and its candidate or </w:t>
      </w:r>
      <w:proofErr w:type="spellStart"/>
      <w:r w:rsidRPr="002B0075">
        <w:rPr>
          <w:rFonts w:ascii="Times New Roman" w:hAnsi="Times New Roman" w:cs="Times New Roman"/>
          <w:color w:val="000000" w:themeColor="text1"/>
          <w:sz w:val="20"/>
          <w:szCs w:val="20"/>
          <w:lang w:val="en-US"/>
        </w:rPr>
        <w:t>neighbouring</w:t>
      </w:r>
      <w:proofErr w:type="spellEnd"/>
      <w:r w:rsidRPr="002B0075">
        <w:rPr>
          <w:rFonts w:ascii="Times New Roman" w:hAnsi="Times New Roman" w:cs="Times New Roman"/>
          <w:color w:val="000000" w:themeColor="text1"/>
          <w:sz w:val="20"/>
          <w:szCs w:val="20"/>
          <w:lang w:val="en-US"/>
        </w:rPr>
        <w:t xml:space="preserve"> countries differs from the relationship between the EU and other far away regions such as ASEAN. For instance, Europeanisation process often entails the mechanism of legal imposition which is characterized by the ‘shadow of hierarchy’, which allows the EU to legally impose its institutions and policies on its candidate states (</w:t>
      </w:r>
      <w:proofErr w:type="spellStart"/>
      <w:r w:rsidRPr="002B0075">
        <w:rPr>
          <w:rFonts w:ascii="Times New Roman" w:hAnsi="Times New Roman" w:cs="Times New Roman"/>
          <w:color w:val="000000" w:themeColor="text1"/>
          <w:sz w:val="20"/>
          <w:szCs w:val="20"/>
          <w:lang w:val="en-US"/>
        </w:rPr>
        <w:fldChar w:fldCharType="begin"/>
      </w:r>
      <w:r w:rsidRPr="002B0075">
        <w:rPr>
          <w:rFonts w:ascii="Times New Roman" w:hAnsi="Times New Roman" w:cs="Times New Roman"/>
          <w:color w:val="000000" w:themeColor="text1"/>
          <w:sz w:val="20"/>
          <w:szCs w:val="20"/>
          <w:lang w:val="en-US"/>
        </w:rPr>
        <w:instrText xml:space="preserve"> HYPERLINK "https://scholar.google.com/citations?user=Gu2E6HkAAAAJ&amp;hl=en&amp;oi=sra" </w:instrText>
      </w:r>
      <w:r w:rsidRPr="002B0075">
        <w:rPr>
          <w:rFonts w:ascii="Times New Roman" w:hAnsi="Times New Roman" w:cs="Times New Roman"/>
          <w:color w:val="000000" w:themeColor="text1"/>
          <w:sz w:val="20"/>
          <w:szCs w:val="20"/>
          <w:lang w:val="en-US"/>
        </w:rPr>
      </w:r>
      <w:r w:rsidRPr="002B0075">
        <w:rPr>
          <w:rFonts w:ascii="Times New Roman" w:hAnsi="Times New Roman" w:cs="Times New Roman"/>
          <w:color w:val="000000" w:themeColor="text1"/>
          <w:sz w:val="20"/>
          <w:szCs w:val="20"/>
          <w:lang w:val="en-US"/>
        </w:rPr>
        <w:fldChar w:fldCharType="separate"/>
      </w:r>
      <w:r w:rsidRPr="002B0075">
        <w:rPr>
          <w:rFonts w:ascii="Times New Roman" w:hAnsi="Times New Roman" w:cs="Times New Roman"/>
          <w:color w:val="000000" w:themeColor="text1"/>
          <w:sz w:val="20"/>
          <w:szCs w:val="20"/>
          <w:lang w:val="en-US"/>
        </w:rPr>
        <w:t>Börzel</w:t>
      </w:r>
      <w:proofErr w:type="spellEnd"/>
      <w:r w:rsidRPr="002B0075">
        <w:rPr>
          <w:rFonts w:ascii="Times New Roman" w:hAnsi="Times New Roman" w:cs="Times New Roman"/>
          <w:color w:val="000000" w:themeColor="text1"/>
          <w:sz w:val="20"/>
          <w:szCs w:val="20"/>
          <w:lang w:val="en-US"/>
        </w:rPr>
        <w:fldChar w:fldCharType="end"/>
      </w:r>
      <w:r w:rsidRPr="002B0075">
        <w:rPr>
          <w:rFonts w:ascii="Times New Roman" w:hAnsi="Times New Roman" w:cs="Times New Roman"/>
          <w:color w:val="000000" w:themeColor="text1"/>
          <w:sz w:val="20"/>
          <w:szCs w:val="20"/>
          <w:lang w:val="en-US"/>
        </w:rPr>
        <w:t xml:space="preserve"> and </w:t>
      </w:r>
      <w:proofErr w:type="spellStart"/>
      <w:r w:rsidRPr="002B0075">
        <w:rPr>
          <w:rFonts w:ascii="Times New Roman" w:hAnsi="Times New Roman" w:cs="Times New Roman"/>
          <w:color w:val="000000" w:themeColor="text1"/>
          <w:sz w:val="20"/>
          <w:szCs w:val="20"/>
          <w:lang w:val="en-US"/>
        </w:rPr>
        <w:t>Risse</w:t>
      </w:r>
      <w:proofErr w:type="spellEnd"/>
      <w:r w:rsidRPr="002B0075">
        <w:rPr>
          <w:rFonts w:ascii="Times New Roman" w:hAnsi="Times New Roman" w:cs="Times New Roman"/>
          <w:color w:val="000000" w:themeColor="text1"/>
          <w:sz w:val="20"/>
          <w:szCs w:val="20"/>
          <w:lang w:val="en-US"/>
        </w:rPr>
        <w:t xml:space="preserve"> 2012: 2). However, these dynamics are largely absent in the context analyzed in this research because the potential for accession to the EU is absent in the case of ASEAN. Furthermore, although Europeanisation literature also discussed other causal mechanisms of EU policy diffusion, such as positive incentives, socialization, and learning, it has been acknowledged that these approaches have been </w:t>
      </w:r>
      <w:proofErr w:type="spellStart"/>
      <w:r w:rsidRPr="002B0075">
        <w:rPr>
          <w:rFonts w:ascii="Times New Roman" w:hAnsi="Times New Roman" w:cs="Times New Roman"/>
          <w:color w:val="000000" w:themeColor="text1"/>
          <w:sz w:val="20"/>
          <w:szCs w:val="20"/>
          <w:lang w:val="en-US"/>
        </w:rPr>
        <w:t>analysed</w:t>
      </w:r>
      <w:proofErr w:type="spellEnd"/>
      <w:r w:rsidRPr="002B0075">
        <w:rPr>
          <w:rFonts w:ascii="Times New Roman" w:hAnsi="Times New Roman" w:cs="Times New Roman"/>
          <w:color w:val="000000" w:themeColor="text1"/>
          <w:sz w:val="20"/>
          <w:szCs w:val="20"/>
          <w:lang w:val="en-US"/>
        </w:rPr>
        <w:t xml:space="preserve"> from a top-down perspective, which tends to prejudge the EU as the main source of domestic change (Bulmer and Burch 2005). As </w:t>
      </w:r>
      <w:hyperlink r:id="rId9" w:history="1">
        <w:r w:rsidRPr="002B0075">
          <w:rPr>
            <w:rFonts w:ascii="Times New Roman" w:hAnsi="Times New Roman" w:cs="Times New Roman"/>
            <w:color w:val="000000" w:themeColor="text1"/>
            <w:sz w:val="20"/>
            <w:szCs w:val="20"/>
            <w:lang w:val="en-US"/>
          </w:rPr>
          <w:t>Börzel</w:t>
        </w:r>
      </w:hyperlink>
      <w:r w:rsidRPr="002B0075">
        <w:rPr>
          <w:rFonts w:ascii="Times New Roman" w:hAnsi="Times New Roman" w:cs="Times New Roman"/>
          <w:color w:val="000000" w:themeColor="text1"/>
          <w:sz w:val="20"/>
          <w:szCs w:val="20"/>
          <w:lang w:val="en-US"/>
        </w:rPr>
        <w:t xml:space="preserve"> and </w:t>
      </w:r>
      <w:proofErr w:type="spellStart"/>
      <w:r w:rsidRPr="002B0075">
        <w:rPr>
          <w:rFonts w:ascii="Times New Roman" w:hAnsi="Times New Roman" w:cs="Times New Roman"/>
          <w:color w:val="000000" w:themeColor="text1"/>
          <w:sz w:val="20"/>
          <w:szCs w:val="20"/>
          <w:lang w:val="en-US"/>
        </w:rPr>
        <w:t>Risse</w:t>
      </w:r>
      <w:proofErr w:type="spellEnd"/>
      <w:r w:rsidRPr="002B0075">
        <w:rPr>
          <w:rFonts w:ascii="Times New Roman" w:hAnsi="Times New Roman" w:cs="Times New Roman"/>
          <w:color w:val="000000" w:themeColor="text1"/>
          <w:sz w:val="20"/>
          <w:szCs w:val="20"/>
          <w:lang w:val="en-US"/>
        </w:rPr>
        <w:t xml:space="preserve"> (2012: 2) rightly pointed out, the further we shift away from the EU and its immediate </w:t>
      </w:r>
      <w:proofErr w:type="spellStart"/>
      <w:r w:rsidRPr="002B0075">
        <w:rPr>
          <w:rFonts w:ascii="Times New Roman" w:hAnsi="Times New Roman" w:cs="Times New Roman"/>
          <w:color w:val="000000" w:themeColor="text1"/>
          <w:sz w:val="20"/>
          <w:szCs w:val="20"/>
          <w:lang w:val="en-US"/>
        </w:rPr>
        <w:t>neighbouring</w:t>
      </w:r>
      <w:proofErr w:type="spellEnd"/>
      <w:r w:rsidRPr="002B0075">
        <w:rPr>
          <w:rFonts w:ascii="Times New Roman" w:hAnsi="Times New Roman" w:cs="Times New Roman"/>
          <w:color w:val="000000" w:themeColor="text1"/>
          <w:sz w:val="20"/>
          <w:szCs w:val="20"/>
          <w:lang w:val="en-US"/>
        </w:rPr>
        <w:t xml:space="preserve"> regions, the less it makes sense to </w:t>
      </w:r>
      <w:proofErr w:type="spellStart"/>
      <w:r w:rsidRPr="002B0075">
        <w:rPr>
          <w:rFonts w:ascii="Times New Roman" w:hAnsi="Times New Roman" w:cs="Times New Roman"/>
          <w:color w:val="000000" w:themeColor="text1"/>
          <w:sz w:val="20"/>
          <w:szCs w:val="20"/>
          <w:lang w:val="en-US"/>
        </w:rPr>
        <w:t>analyse</w:t>
      </w:r>
      <w:proofErr w:type="spellEnd"/>
      <w:r w:rsidRPr="002B0075">
        <w:rPr>
          <w:rFonts w:ascii="Times New Roman" w:hAnsi="Times New Roman" w:cs="Times New Roman"/>
          <w:color w:val="000000" w:themeColor="text1"/>
          <w:sz w:val="20"/>
          <w:szCs w:val="20"/>
          <w:lang w:val="en-US"/>
        </w:rPr>
        <w:t xml:space="preserve"> the diffusion of EU policies and institutions through the lens of Europeanisation.</w:t>
      </w:r>
    </w:p>
    <w:p w14:paraId="4E668E65" w14:textId="77777777" w:rsidR="00FF25E8" w:rsidRPr="002B0075" w:rsidRDefault="00FF25E8" w:rsidP="00514E1A">
      <w:pPr>
        <w:jc w:val="both"/>
        <w:rPr>
          <w:rFonts w:ascii="Times New Roman" w:hAnsi="Times New Roman" w:cs="Times New Roman"/>
          <w:color w:val="000000" w:themeColor="text1"/>
          <w:sz w:val="20"/>
          <w:szCs w:val="20"/>
          <w:lang w:val="en-US"/>
        </w:rPr>
      </w:pPr>
    </w:p>
    <w:p w14:paraId="5B51E806" w14:textId="77777777" w:rsidR="000A2CA2" w:rsidRPr="002B0075" w:rsidRDefault="0064161B" w:rsidP="00514E1A">
      <w:pPr>
        <w:jc w:val="both"/>
        <w:rPr>
          <w:rFonts w:ascii="Times New Roman" w:hAnsi="Times New Roman" w:cs="Times New Roman"/>
          <w:color w:val="000000" w:themeColor="text1"/>
          <w:sz w:val="20"/>
          <w:szCs w:val="20"/>
          <w:lang w:val="en-US"/>
        </w:rPr>
      </w:pPr>
      <w:r w:rsidRPr="002B0075">
        <w:rPr>
          <w:rFonts w:ascii="Times New Roman" w:hAnsi="Times New Roman" w:cs="Times New Roman"/>
          <w:color w:val="000000" w:themeColor="text1"/>
          <w:sz w:val="20"/>
          <w:szCs w:val="20"/>
          <w:lang w:val="en-US"/>
        </w:rPr>
        <w:t>To</w:t>
      </w:r>
      <w:r w:rsidR="004A6F37" w:rsidRPr="002B0075">
        <w:rPr>
          <w:rFonts w:ascii="Times New Roman" w:hAnsi="Times New Roman" w:cs="Times New Roman"/>
          <w:color w:val="000000" w:themeColor="text1"/>
          <w:sz w:val="20"/>
          <w:szCs w:val="20"/>
          <w:lang w:val="en-US"/>
        </w:rPr>
        <w:t xml:space="preserve"> address the</w:t>
      </w:r>
      <w:r w:rsidR="0002388A" w:rsidRPr="002B0075">
        <w:rPr>
          <w:rFonts w:ascii="Times New Roman" w:hAnsi="Times New Roman" w:cs="Times New Roman"/>
          <w:color w:val="000000" w:themeColor="text1"/>
          <w:sz w:val="20"/>
          <w:szCs w:val="20"/>
          <w:lang w:val="en-US"/>
        </w:rPr>
        <w:t xml:space="preserve"> </w:t>
      </w:r>
      <w:proofErr w:type="gramStart"/>
      <w:r w:rsidR="0002388A" w:rsidRPr="002B0075">
        <w:rPr>
          <w:rFonts w:ascii="Times New Roman" w:hAnsi="Times New Roman" w:cs="Times New Roman"/>
          <w:color w:val="000000" w:themeColor="text1"/>
          <w:sz w:val="20"/>
          <w:szCs w:val="20"/>
          <w:lang w:val="en-US"/>
        </w:rPr>
        <w:t>aforementioned</w:t>
      </w:r>
      <w:r w:rsidR="004A6F37" w:rsidRPr="002B0075">
        <w:rPr>
          <w:rFonts w:ascii="Times New Roman" w:hAnsi="Times New Roman" w:cs="Times New Roman"/>
          <w:color w:val="000000" w:themeColor="text1"/>
          <w:sz w:val="20"/>
          <w:szCs w:val="20"/>
          <w:lang w:val="en-US"/>
        </w:rPr>
        <w:t xml:space="preserve"> </w:t>
      </w:r>
      <w:r w:rsidRPr="002B0075">
        <w:rPr>
          <w:rFonts w:ascii="Times New Roman" w:hAnsi="Times New Roman" w:cs="Times New Roman"/>
          <w:color w:val="000000" w:themeColor="text1"/>
          <w:sz w:val="20"/>
          <w:szCs w:val="20"/>
          <w:lang w:val="en-US"/>
        </w:rPr>
        <w:t>limitations</w:t>
      </w:r>
      <w:proofErr w:type="gramEnd"/>
      <w:r w:rsidR="004A6F37" w:rsidRPr="002B0075">
        <w:rPr>
          <w:rFonts w:ascii="Times New Roman" w:hAnsi="Times New Roman" w:cs="Times New Roman"/>
          <w:color w:val="000000" w:themeColor="text1"/>
          <w:sz w:val="20"/>
          <w:szCs w:val="20"/>
          <w:lang w:val="en-US"/>
        </w:rPr>
        <w:t xml:space="preserve"> in the NPE</w:t>
      </w:r>
      <w:r w:rsidR="00FF25E8" w:rsidRPr="002B0075">
        <w:rPr>
          <w:rFonts w:ascii="Times New Roman" w:hAnsi="Times New Roman" w:cs="Times New Roman"/>
          <w:color w:val="000000" w:themeColor="text1"/>
          <w:sz w:val="20"/>
          <w:szCs w:val="20"/>
          <w:lang w:val="en-US"/>
        </w:rPr>
        <w:t xml:space="preserve"> and Europeanisation</w:t>
      </w:r>
      <w:r w:rsidR="004A6F37" w:rsidRPr="002B0075">
        <w:rPr>
          <w:rFonts w:ascii="Times New Roman" w:hAnsi="Times New Roman" w:cs="Times New Roman"/>
          <w:color w:val="000000" w:themeColor="text1"/>
          <w:sz w:val="20"/>
          <w:szCs w:val="20"/>
          <w:lang w:val="en-US"/>
        </w:rPr>
        <w:t xml:space="preserve"> literature, this research</w:t>
      </w:r>
      <w:r w:rsidR="00036C61" w:rsidRPr="002B0075">
        <w:rPr>
          <w:rFonts w:ascii="Times New Roman" w:hAnsi="Times New Roman" w:cs="Times New Roman"/>
          <w:color w:val="000000" w:themeColor="text1"/>
          <w:sz w:val="20"/>
          <w:szCs w:val="20"/>
          <w:lang w:val="en-US"/>
        </w:rPr>
        <w:t xml:space="preserve"> seeks to develop a more nuanced analytical framework drawing on both NPE literature and the </w:t>
      </w:r>
      <w:r w:rsidRPr="002B0075">
        <w:rPr>
          <w:rFonts w:ascii="Times New Roman" w:hAnsi="Times New Roman" w:cs="Times New Roman"/>
          <w:color w:val="000000" w:themeColor="text1"/>
          <w:sz w:val="20"/>
          <w:szCs w:val="20"/>
          <w:lang w:val="en-US"/>
        </w:rPr>
        <w:t xml:space="preserve">recent </w:t>
      </w:r>
      <w:r w:rsidR="00036C61" w:rsidRPr="002B0075">
        <w:rPr>
          <w:rFonts w:ascii="Times New Roman" w:hAnsi="Times New Roman" w:cs="Times New Roman"/>
          <w:color w:val="000000" w:themeColor="text1"/>
          <w:sz w:val="20"/>
          <w:szCs w:val="20"/>
          <w:lang w:val="en-US"/>
        </w:rPr>
        <w:t xml:space="preserve">study on norm and policy diffusion. </w:t>
      </w:r>
      <w:r w:rsidR="004A6F37" w:rsidRPr="002B0075">
        <w:rPr>
          <w:rFonts w:ascii="Times New Roman" w:hAnsi="Times New Roman" w:cs="Times New Roman"/>
          <w:color w:val="000000" w:themeColor="text1"/>
          <w:sz w:val="20"/>
          <w:szCs w:val="20"/>
          <w:lang w:val="en-US"/>
        </w:rPr>
        <w:t xml:space="preserve">By doing so, this article </w:t>
      </w:r>
      <w:r w:rsidR="00036C61" w:rsidRPr="002B0075">
        <w:rPr>
          <w:rFonts w:ascii="Times New Roman" w:hAnsi="Times New Roman" w:cs="Times New Roman"/>
          <w:color w:val="000000" w:themeColor="text1"/>
          <w:sz w:val="20"/>
          <w:szCs w:val="20"/>
          <w:lang w:val="en-US"/>
        </w:rPr>
        <w:t>unpack</w:t>
      </w:r>
      <w:r w:rsidRPr="002B0075">
        <w:rPr>
          <w:rFonts w:ascii="Times New Roman" w:hAnsi="Times New Roman" w:cs="Times New Roman"/>
          <w:color w:val="000000" w:themeColor="text1"/>
          <w:sz w:val="20"/>
          <w:szCs w:val="20"/>
          <w:lang w:val="en-US"/>
        </w:rPr>
        <w:t>s</w:t>
      </w:r>
      <w:r w:rsidR="00036C61" w:rsidRPr="002B0075">
        <w:rPr>
          <w:rFonts w:ascii="Times New Roman" w:hAnsi="Times New Roman" w:cs="Times New Roman"/>
          <w:color w:val="000000" w:themeColor="text1"/>
          <w:sz w:val="20"/>
          <w:szCs w:val="20"/>
          <w:lang w:val="en-US"/>
        </w:rPr>
        <w:t xml:space="preserve"> the complexity</w:t>
      </w:r>
      <w:r w:rsidR="004A6F37" w:rsidRPr="002B0075">
        <w:rPr>
          <w:rFonts w:ascii="Times New Roman" w:hAnsi="Times New Roman" w:cs="Times New Roman"/>
          <w:color w:val="000000" w:themeColor="text1"/>
          <w:sz w:val="20"/>
          <w:szCs w:val="20"/>
          <w:lang w:val="en-US"/>
        </w:rPr>
        <w:t xml:space="preserve"> of EU diffusion items as well as </w:t>
      </w:r>
      <w:r w:rsidR="00C91311" w:rsidRPr="002B0075">
        <w:rPr>
          <w:rFonts w:ascii="Times New Roman" w:hAnsi="Times New Roman" w:cs="Times New Roman"/>
          <w:color w:val="000000" w:themeColor="text1"/>
          <w:sz w:val="20"/>
          <w:szCs w:val="20"/>
          <w:lang w:val="en-US"/>
        </w:rPr>
        <w:t xml:space="preserve">to investigate </w:t>
      </w:r>
      <w:r w:rsidR="004A6F37" w:rsidRPr="002B0075">
        <w:rPr>
          <w:rFonts w:ascii="Times New Roman" w:hAnsi="Times New Roman" w:cs="Times New Roman"/>
          <w:color w:val="000000" w:themeColor="text1"/>
          <w:sz w:val="20"/>
          <w:szCs w:val="20"/>
          <w:lang w:val="en-US"/>
        </w:rPr>
        <w:t xml:space="preserve">the effectiveness </w:t>
      </w:r>
      <w:r w:rsidR="00C91311" w:rsidRPr="002B0075">
        <w:rPr>
          <w:rFonts w:ascii="Times New Roman" w:hAnsi="Times New Roman" w:cs="Times New Roman"/>
          <w:color w:val="000000" w:themeColor="text1"/>
          <w:sz w:val="20"/>
          <w:szCs w:val="20"/>
          <w:lang w:val="en-US"/>
        </w:rPr>
        <w:t>of EU diffusion in international politics.</w:t>
      </w:r>
      <w:r w:rsidR="004A6F37" w:rsidRPr="002B0075">
        <w:rPr>
          <w:rFonts w:ascii="Times New Roman" w:hAnsi="Times New Roman" w:cs="Times New Roman"/>
          <w:color w:val="000000" w:themeColor="text1"/>
          <w:sz w:val="20"/>
          <w:szCs w:val="20"/>
          <w:lang w:val="en-US"/>
        </w:rPr>
        <w:t xml:space="preserve"> </w:t>
      </w:r>
    </w:p>
    <w:p w14:paraId="3DB8F2C4" w14:textId="77777777" w:rsidR="000A2CA2" w:rsidRPr="002B0075" w:rsidRDefault="000A2CA2" w:rsidP="00514E1A">
      <w:pPr>
        <w:jc w:val="both"/>
        <w:rPr>
          <w:rFonts w:ascii="Times New Roman" w:hAnsi="Times New Roman" w:cs="Times New Roman"/>
          <w:color w:val="000000" w:themeColor="text1"/>
          <w:sz w:val="20"/>
          <w:szCs w:val="20"/>
          <w:lang w:val="en-US"/>
        </w:rPr>
      </w:pPr>
    </w:p>
    <w:p w14:paraId="54FDC879" w14:textId="703F0BEA" w:rsidR="00036C61" w:rsidRPr="002B0075" w:rsidRDefault="00A104DF" w:rsidP="00514E1A">
      <w:pPr>
        <w:jc w:val="both"/>
        <w:rPr>
          <w:rFonts w:ascii="Times New Roman" w:hAnsi="Times New Roman" w:cs="Times New Roman"/>
          <w:color w:val="000000" w:themeColor="text1"/>
          <w:sz w:val="20"/>
          <w:szCs w:val="20"/>
          <w:lang w:val="en-US"/>
        </w:rPr>
      </w:pPr>
      <w:r w:rsidRPr="002B0075">
        <w:rPr>
          <w:rFonts w:ascii="Times New Roman" w:hAnsi="Times New Roman" w:cs="Times New Roman"/>
          <w:color w:val="000000" w:themeColor="text1"/>
          <w:sz w:val="20"/>
          <w:szCs w:val="20"/>
        </w:rPr>
        <w:t>In diffusion literature, d</w:t>
      </w:r>
      <w:r w:rsidR="004A6F37" w:rsidRPr="002B0075">
        <w:rPr>
          <w:rFonts w:ascii="Times New Roman" w:hAnsi="Times New Roman" w:cs="Times New Roman"/>
          <w:color w:val="000000" w:themeColor="text1"/>
          <w:sz w:val="20"/>
          <w:szCs w:val="20"/>
        </w:rPr>
        <w:t xml:space="preserve">iffusion is widely defined as a consequence of interdependent decision-making </w:t>
      </w:r>
      <w:r w:rsidR="004A6F37" w:rsidRPr="002B0075">
        <w:rPr>
          <w:rFonts w:ascii="Times New Roman" w:hAnsi="Times New Roman" w:cs="Times New Roman"/>
          <w:color w:val="000000" w:themeColor="text1"/>
          <w:sz w:val="20"/>
          <w:szCs w:val="20"/>
        </w:rPr>
        <w:fldChar w:fldCharType="begin" w:fldLock="1"/>
      </w:r>
      <w:r w:rsidR="004A6F37" w:rsidRPr="002B0075">
        <w:rPr>
          <w:rFonts w:ascii="Times New Roman" w:hAnsi="Times New Roman" w:cs="Times New Roman"/>
          <w:color w:val="000000" w:themeColor="text1"/>
          <w:sz w:val="20"/>
          <w:szCs w:val="20"/>
        </w:rPr>
        <w:instrText>ADDIN CSL_CITATION { "citationItems" : [ { "id" : "ITEM-1", "itemData" : { "DOI" : "http://dx.doi.org/10.4135/9781446247587.n18", "ISBN" : "9781849201506", "ISSN" : "1849201501", "abstract" : "** HAVE PDF IN ARTICLES BUT CRASHES MENDELEY **", "author" : [ { "dropping-particle" : "", "family" : "Gilardi", "given" : "Fabrizio", "non-dropping-particle" : "", "parse-names" : false, "suffix" : "" } ], "container-title" : "Handbook of International Relations", "id" : "ITEM-1", "issued" : { "date-parts" : [ [ "2012" ] ] }, "page" : "453-477", "title" : "Transnational Diffusion: Norms, Ideas, and Policies", "type" : "article-journal", "volume" : "1954" }, "uris" : [ "http://www.mendeley.com/documents/?uuid=36461587-d52c-49d0-9295-fe88794d6092" ] }, { "id" : "ITEM-2", "itemData" : { "author" : [ { "dropping-particle" : "", "family" : "Jahn", "given" : "D", "non-dropping-particle" : "", "parse-names" : false, "suffix" : "" } ], "container-title" : "International Organization", "id" : "ITEM-2", "issued" : { "date-parts" : [ [ "2006" ] ] }, "title" : "Globalization as 'Galton's problem': The missing link in the analysis of diffusion patterns in welfare state development", "type" : "article-journal" }, "uris" : [ "http://www.mendeley.com/documents/?uuid=7e11c7bd-3f28-3405-a348-38e6a04be346" ] }, { "id" : "ITEM-3", "itemData" : { "DOI" : "10.1111/isqu.12034", "ISSN" : "00208833", "author" : [ { "dropping-particle" : "", "family" : "Solingen", "given" : "Etel", "non-dropping-particle" : "", "parse-names" : false, "suffix" : "" } ], "container-title" : "International Studies Quarterly", "id" : "ITEM-3", "issue" : "4", "issued" : { "date-parts" : [ [ "2012", "12" ] ] }, "page" : "631-644", "title" : "Of Dominoes and Firewalls: The Domestic, Regional, and Global Politics of International Diffusion &lt;sup&gt;1&lt;/sup&gt;", "type" : "article-journal", "volume" : "56" }, "uris" : [ "http://www.mendeley.com/documents/?uuid=bf906bcf-3057-3182-86af-77942d433c8b" ] } ], "mendeley" : { "formattedCitation" : "(Gilardi 2012; Jahn 2006; Solingen 2012)", "manualFormatting" : "(Gilardi 2012, pp.454; Jahn 2006; Solingen 2012)", "plainTextFormattedCitation" : "(Gilardi 2012; Jahn 2006; Solingen 2012)", "previouslyFormattedCitation" : "(Gilardi 2012; Jahn 2006; Solingen 2012)" }, "properties" : { "noteIndex" : 0 }, "schema" : "https://github.com/citation-style-language/schema/raw/master/csl-citation.json" }</w:instrText>
      </w:r>
      <w:r w:rsidR="004A6F37" w:rsidRPr="002B0075">
        <w:rPr>
          <w:rFonts w:ascii="Times New Roman" w:hAnsi="Times New Roman" w:cs="Times New Roman"/>
          <w:color w:val="000000" w:themeColor="text1"/>
          <w:sz w:val="20"/>
          <w:szCs w:val="20"/>
        </w:rPr>
        <w:fldChar w:fldCharType="separate"/>
      </w:r>
      <w:r w:rsidR="004A6F37" w:rsidRPr="002B0075">
        <w:rPr>
          <w:rFonts w:ascii="Times New Roman" w:hAnsi="Times New Roman" w:cs="Times New Roman"/>
          <w:noProof/>
          <w:color w:val="000000" w:themeColor="text1"/>
          <w:sz w:val="20"/>
          <w:szCs w:val="20"/>
        </w:rPr>
        <w:t>(Gilardi, 2012; Solingen, 2012)</w:t>
      </w:r>
      <w:r w:rsidR="004A6F37" w:rsidRPr="002B0075">
        <w:rPr>
          <w:rFonts w:ascii="Times New Roman" w:hAnsi="Times New Roman" w:cs="Times New Roman"/>
          <w:color w:val="000000" w:themeColor="text1"/>
          <w:sz w:val="20"/>
          <w:szCs w:val="20"/>
        </w:rPr>
        <w:fldChar w:fldCharType="end"/>
      </w:r>
      <w:r w:rsidR="004A6F37" w:rsidRPr="002B0075">
        <w:rPr>
          <w:rFonts w:ascii="Times New Roman" w:hAnsi="Times New Roman" w:cs="Times New Roman"/>
          <w:color w:val="000000" w:themeColor="text1"/>
          <w:sz w:val="20"/>
          <w:szCs w:val="20"/>
        </w:rPr>
        <w:t xml:space="preserve">. Specifically, it examines how prior adoption of a trait or practice in a population alters the probability of adoption for remaining non-adopters </w:t>
      </w:r>
      <w:r w:rsidR="004A6F37" w:rsidRPr="002B0075">
        <w:rPr>
          <w:rFonts w:ascii="Times New Roman" w:hAnsi="Times New Roman" w:cs="Times New Roman"/>
          <w:color w:val="000000" w:themeColor="text1"/>
          <w:sz w:val="20"/>
          <w:szCs w:val="20"/>
        </w:rPr>
        <w:fldChar w:fldCharType="begin" w:fldLock="1"/>
      </w:r>
      <w:r w:rsidR="004A6F37" w:rsidRPr="002B0075">
        <w:rPr>
          <w:rFonts w:ascii="Times New Roman" w:hAnsi="Times New Roman" w:cs="Times New Roman"/>
          <w:color w:val="000000" w:themeColor="text1"/>
          <w:sz w:val="20"/>
          <w:szCs w:val="20"/>
        </w:rPr>
        <w:instrText>ADDIN CSL_CITATION { "citationItems" : [ { "id" : "ITEM-1", "itemData" : { "author" : [ { "dropping-particle" : "", "family" : "Strang", "given" : "D", "non-dropping-particle" : "", "parse-names" : false, "suffix" : "" } ], "container-title" : "Sociological Methods &amp; Research", "id" : "ITEM-1", "issued" : { "date-parts" : [ [ "1991" ] ] }, "title" : "Adding Social Structure to Diffusion Models An Event History Framework", "type" : "article-journal" }, "uris" : [ "http://www.mendeley.com/documents/?uuid=df5de5a9-aae7-312b-87ff-65c11a315fe1" ] }, { "id" : "ITEM-2", "itemData" : { "author" : [ { "dropping-particle" : "", "family" : "Strang", "given" : "D", "non-dropping-particle" : "", "parse-names" : false, "suffix" : "" }, { "dropping-particle" : "", "family" : "Meyer", "given" : "JW", "non-dropping-particle" : "", "parse-names" : false, "suffix" : "" } ], "container-title" : "Theory and society", "id" : "ITEM-2", "issued" : { "date-parts" : [ [ "1993" ] ] }, "title" : "Institutional conditions for diffusion", "type" : "article-journal" }, "uris" : [ "http://www.mendeley.com/documents/?uuid=a445ffe7-3c05-395b-a524-ec106b92ca9d" ] }, { "id" : "ITEM-3", "itemData" : { "DOI" : "http://dx.doi.org/10.4135/9781446247587.n18", "ISBN" : "9781849201506", "ISSN" : "1849201501", "abstract" : "** HAVE PDF IN ARTICLES BUT CRASHES MENDELEY **", "author" : [ { "dropping-particle" : "", "family" : "Gilardi", "given" : "Fabrizio", "non-dropping-particle" : "", "parse-names" : false, "suffix" : "" } ], "container-title" : "Handbook of International Relations", "id" : "ITEM-3", "issued" : { "date-parts" : [ [ "2012" ] ] }, "page" : "453-477", "title" : "Transnational Diffusion: Norms, Ideas, and Policies", "type" : "article-journal", "volume" : "1954" }, "uris" : [ "http://www.mendeley.com/documents/?uuid=36461587-d52c-49d0-9295-fe88794d6092" ] }, { "id" : "ITEM-4", "itemData" : { "DOI" : "10.1111/isqu.12034", "ISSN" : "00208833", "author" : [ { "dropping-particle" : "", "family" : "Solingen", "given" : "Etel", "non-dropping-particle" : "", "parse-names" : false, "suffix" : "" } ], "container-title" : "International Studies Quarterly", "id" : "ITEM-4", "issue" : "4", "issued" : { "date-parts" : [ [ "2012", "12" ] ] }, "page" : "631-644", "title" : "Of Dominoes and Firewalls: The Domestic, Regional, and Global Politics of International Diffusion &lt;sup&gt;1&lt;/sup&gt;", "type" : "article-journal", "volume" : "56" }, "uris" : [ "http://www.mendeley.com/documents/?uuid=bf906bcf-3057-3182-86af-77942d433c8b" ] }, { "id" : "ITEM-5", "itemData" : { "DOI" : "10.1080/01402382.2012.631310", "ISBN" : "0140-2382", "ISSN" : "0140-2382", "PMID" : "69537560", "abstract" : "This special issue explores to what extent policies and institutions of the European Union spread across different contexts. Are the EU's attempts to transfer its policies and institutions to accession and neighbourhood countries sustainable and effective? To what degree do other regions of the world emulate the EU's institutional features; what are the mechanisms of, and scope conditions for, their diffusion? This introduction provides the conceptual framework of the special issue. First, it specifies EU-related institutional change as the ?dependent variable?. Second, it discusses how Europeanisation research and diffusion studies relate to each other and can be fruitfully combined to identify processes and mechanisms by which ideas and institutions of the EU spread. Third, we introduce scope conditions which are likely to affect domestic (or regional) change in response to the promotion or emulation of EU ideas and institutions.", "author" : [ { "dropping-particle" : "", "family" : "B\u00f6rzel", "given" : "Tanja a.", "non-dropping-particle" : "", "parse-names" : false, "suffix" : "" }, { "dropping-particle" : "", "family" : "Risse", "given" : "Thomas", "non-dropping-particle" : "", "parse-names" : false, "suffix" : "" } ], "container-title" : "West European Politics", "id" : "ITEM-5", "issue" : "1", "issued" : { "date-parts" : [ [ "2012" ] ] }, "page" : "1-19", "title" : "From Europeanisation to Diffusion: Introduction", "type" : "article-journal", "volume" : "35" }, "uris" : [ "http://www.mendeley.com/documents/?uuid=8c896eb8-9613-4122-9e8e-fe0c8de27425" ] } ], "mendeley" : { "formattedCitation" : "(Strang 1991; Strang &amp; Meyer 1993; Gilardi 2012; Solingen 2012; B\u00f6rzel &amp; Risse 2012)", "manualFormatting" : "(Strang 1991, pp.325; Strang &amp; Meyer 1993; Gilardi 2012; Solingen 2012; B\u00f6rzel &amp; Risse 2012)", "plainTextFormattedCitation" : "(Strang 1991; Strang &amp; Meyer 1993; Gilardi 2012; Solingen 2012; B\u00f6rzel &amp; Risse 2012)", "previouslyFormattedCitation" : "(Strang 1991; Strang and Meyer 1993; Gilardi 2012; Solingen 2012; B\u00f6rzel and Risse 2012)" }, "properties" : { "noteIndex" : 0 }, "schema" : "https://github.com/citation-style-language/schema/raw/master/csl-citation.json" }</w:instrText>
      </w:r>
      <w:r w:rsidR="004A6F37" w:rsidRPr="002B0075">
        <w:rPr>
          <w:rFonts w:ascii="Times New Roman" w:hAnsi="Times New Roman" w:cs="Times New Roman"/>
          <w:color w:val="000000" w:themeColor="text1"/>
          <w:sz w:val="20"/>
          <w:szCs w:val="20"/>
        </w:rPr>
        <w:fldChar w:fldCharType="separate"/>
      </w:r>
      <w:r w:rsidR="004A6F37" w:rsidRPr="002B0075">
        <w:rPr>
          <w:rFonts w:ascii="Times New Roman" w:hAnsi="Times New Roman" w:cs="Times New Roman"/>
          <w:noProof/>
          <w:color w:val="000000" w:themeColor="text1"/>
          <w:sz w:val="20"/>
          <w:szCs w:val="20"/>
        </w:rPr>
        <w:t>(Strang, 1991)</w:t>
      </w:r>
      <w:r w:rsidR="004A6F37" w:rsidRPr="002B0075">
        <w:rPr>
          <w:rFonts w:ascii="Times New Roman" w:hAnsi="Times New Roman" w:cs="Times New Roman"/>
          <w:color w:val="000000" w:themeColor="text1"/>
          <w:sz w:val="20"/>
          <w:szCs w:val="20"/>
        </w:rPr>
        <w:fldChar w:fldCharType="end"/>
      </w:r>
      <w:r w:rsidR="004A6F37" w:rsidRPr="002B0075">
        <w:rPr>
          <w:rFonts w:ascii="Times New Roman" w:hAnsi="Times New Roman" w:cs="Times New Roman"/>
          <w:color w:val="000000" w:themeColor="text1"/>
          <w:sz w:val="20"/>
          <w:szCs w:val="20"/>
        </w:rPr>
        <w:t>. Rich literature explains why and how international norms (</w:t>
      </w:r>
      <w:proofErr w:type="spellStart"/>
      <w:r w:rsidR="004A6F37" w:rsidRPr="002B0075">
        <w:rPr>
          <w:rFonts w:ascii="Times New Roman" w:hAnsi="Times New Roman" w:cs="Times New Roman"/>
          <w:color w:val="000000" w:themeColor="text1"/>
          <w:sz w:val="20"/>
          <w:szCs w:val="20"/>
        </w:rPr>
        <w:t>Finnemore</w:t>
      </w:r>
      <w:proofErr w:type="spellEnd"/>
      <w:r w:rsidR="004A6F37" w:rsidRPr="002B0075">
        <w:rPr>
          <w:rFonts w:ascii="Times New Roman" w:hAnsi="Times New Roman" w:cs="Times New Roman"/>
          <w:color w:val="000000" w:themeColor="text1"/>
          <w:sz w:val="20"/>
          <w:szCs w:val="20"/>
        </w:rPr>
        <w:t xml:space="preserve"> and </w:t>
      </w:r>
      <w:proofErr w:type="spellStart"/>
      <w:r w:rsidR="004A6F37" w:rsidRPr="002B0075">
        <w:rPr>
          <w:rFonts w:ascii="Times New Roman" w:hAnsi="Times New Roman" w:cs="Times New Roman"/>
          <w:color w:val="000000" w:themeColor="text1"/>
          <w:sz w:val="20"/>
          <w:szCs w:val="20"/>
        </w:rPr>
        <w:t>Sikkink</w:t>
      </w:r>
      <w:proofErr w:type="spellEnd"/>
      <w:r w:rsidR="004A6F37" w:rsidRPr="002B0075">
        <w:rPr>
          <w:rFonts w:ascii="Times New Roman" w:hAnsi="Times New Roman" w:cs="Times New Roman"/>
          <w:color w:val="000000" w:themeColor="text1"/>
          <w:sz w:val="20"/>
          <w:szCs w:val="20"/>
        </w:rPr>
        <w:t xml:space="preserve">, 1998; Acharya, 2004; </w:t>
      </w:r>
      <w:proofErr w:type="spellStart"/>
      <w:r w:rsidR="004A6F37" w:rsidRPr="002B0075">
        <w:rPr>
          <w:rFonts w:ascii="Times New Roman" w:hAnsi="Times New Roman" w:cs="Times New Roman"/>
          <w:color w:val="000000" w:themeColor="text1"/>
          <w:sz w:val="20"/>
          <w:szCs w:val="20"/>
        </w:rPr>
        <w:t>Prantl</w:t>
      </w:r>
      <w:proofErr w:type="spellEnd"/>
      <w:r w:rsidR="004A6F37" w:rsidRPr="002B0075">
        <w:rPr>
          <w:rFonts w:ascii="Times New Roman" w:hAnsi="Times New Roman" w:cs="Times New Roman"/>
          <w:color w:val="000000" w:themeColor="text1"/>
          <w:sz w:val="20"/>
          <w:szCs w:val="20"/>
        </w:rPr>
        <w:t xml:space="preserve"> and Nakano, 2011; Zimmermann, 2016) and concrete policy settings (Simmons and Elkins, 2004; </w:t>
      </w:r>
      <w:proofErr w:type="spellStart"/>
      <w:r w:rsidR="004A6F37" w:rsidRPr="002B0075">
        <w:rPr>
          <w:rFonts w:ascii="Times New Roman" w:hAnsi="Times New Roman" w:cs="Times New Roman"/>
          <w:color w:val="000000" w:themeColor="text1"/>
          <w:sz w:val="20"/>
          <w:szCs w:val="20"/>
        </w:rPr>
        <w:t>Gilardi</w:t>
      </w:r>
      <w:proofErr w:type="spellEnd"/>
      <w:r w:rsidR="004A6F37" w:rsidRPr="002B0075">
        <w:rPr>
          <w:rFonts w:ascii="Times New Roman" w:hAnsi="Times New Roman" w:cs="Times New Roman"/>
          <w:color w:val="000000" w:themeColor="text1"/>
          <w:sz w:val="20"/>
          <w:szCs w:val="20"/>
        </w:rPr>
        <w:t xml:space="preserve"> and </w:t>
      </w:r>
      <w:proofErr w:type="spellStart"/>
      <w:r w:rsidR="004A6F37" w:rsidRPr="002B0075">
        <w:rPr>
          <w:rFonts w:ascii="Times New Roman" w:hAnsi="Times New Roman" w:cs="Times New Roman"/>
          <w:color w:val="000000" w:themeColor="text1"/>
          <w:sz w:val="20"/>
          <w:szCs w:val="20"/>
        </w:rPr>
        <w:t>Füglister</w:t>
      </w:r>
      <w:proofErr w:type="spellEnd"/>
      <w:r w:rsidR="004A6F37" w:rsidRPr="002B0075">
        <w:rPr>
          <w:rFonts w:ascii="Times New Roman" w:hAnsi="Times New Roman" w:cs="Times New Roman"/>
          <w:color w:val="000000" w:themeColor="text1"/>
          <w:sz w:val="20"/>
          <w:szCs w:val="20"/>
        </w:rPr>
        <w:t xml:space="preserve">, 2008) spread across the globe. Although norm diffusion and policy diffusion are often considered separate academic camps with different research focuses, this study sees diffusion literature as sharing a common conceptual ground to understand the ‘travelling’ processes of norms, ideas, </w:t>
      </w:r>
      <w:proofErr w:type="gramStart"/>
      <w:r w:rsidR="004A6F37" w:rsidRPr="002B0075">
        <w:rPr>
          <w:rFonts w:ascii="Times New Roman" w:hAnsi="Times New Roman" w:cs="Times New Roman"/>
          <w:color w:val="000000" w:themeColor="text1"/>
          <w:sz w:val="20"/>
          <w:szCs w:val="20"/>
        </w:rPr>
        <w:t>models</w:t>
      </w:r>
      <w:proofErr w:type="gramEnd"/>
      <w:r w:rsidR="004A6F37" w:rsidRPr="002B0075">
        <w:rPr>
          <w:rFonts w:ascii="Times New Roman" w:hAnsi="Times New Roman" w:cs="Times New Roman"/>
          <w:color w:val="000000" w:themeColor="text1"/>
          <w:sz w:val="20"/>
          <w:szCs w:val="20"/>
        </w:rPr>
        <w:t xml:space="preserve"> and policies (</w:t>
      </w:r>
      <w:proofErr w:type="spellStart"/>
      <w:r w:rsidR="004A6F37" w:rsidRPr="002B0075">
        <w:rPr>
          <w:rFonts w:ascii="Times New Roman" w:hAnsi="Times New Roman" w:cs="Times New Roman"/>
          <w:color w:val="000000" w:themeColor="text1"/>
          <w:sz w:val="20"/>
          <w:szCs w:val="20"/>
        </w:rPr>
        <w:t>Delcour</w:t>
      </w:r>
      <w:proofErr w:type="spellEnd"/>
      <w:r w:rsidR="004A6F37" w:rsidRPr="002B0075">
        <w:rPr>
          <w:rFonts w:ascii="Times New Roman" w:hAnsi="Times New Roman" w:cs="Times New Roman"/>
          <w:color w:val="000000" w:themeColor="text1"/>
          <w:sz w:val="20"/>
          <w:szCs w:val="20"/>
        </w:rPr>
        <w:t xml:space="preserve"> and </w:t>
      </w:r>
      <w:proofErr w:type="spellStart"/>
      <w:r w:rsidR="004A6F37" w:rsidRPr="002B0075">
        <w:rPr>
          <w:rFonts w:ascii="Times New Roman" w:hAnsi="Times New Roman" w:cs="Times New Roman"/>
          <w:color w:val="000000" w:themeColor="text1"/>
          <w:sz w:val="20"/>
          <w:szCs w:val="20"/>
        </w:rPr>
        <w:t>Tulmets</w:t>
      </w:r>
      <w:proofErr w:type="spellEnd"/>
      <w:r w:rsidR="004A6F37" w:rsidRPr="002B0075">
        <w:rPr>
          <w:rFonts w:ascii="Times New Roman" w:hAnsi="Times New Roman" w:cs="Times New Roman"/>
          <w:color w:val="000000" w:themeColor="text1"/>
          <w:sz w:val="20"/>
          <w:szCs w:val="20"/>
        </w:rPr>
        <w:t xml:space="preserve">, 2019). </w:t>
      </w:r>
    </w:p>
    <w:p w14:paraId="5DF4C227" w14:textId="7798E474" w:rsidR="00036C61" w:rsidRPr="002B0075" w:rsidRDefault="00036C61" w:rsidP="00514E1A">
      <w:pPr>
        <w:jc w:val="both"/>
        <w:rPr>
          <w:rFonts w:ascii="Times New Roman" w:hAnsi="Times New Roman" w:cs="Times New Roman"/>
          <w:color w:val="000000" w:themeColor="text1"/>
          <w:sz w:val="20"/>
          <w:szCs w:val="20"/>
        </w:rPr>
      </w:pPr>
    </w:p>
    <w:p w14:paraId="642BC34E" w14:textId="5545AB09" w:rsidR="004A6F37" w:rsidRPr="002B0075" w:rsidRDefault="00036C61" w:rsidP="00514E1A">
      <w:pPr>
        <w:jc w:val="both"/>
        <w:rPr>
          <w:rFonts w:ascii="Times New Roman" w:hAnsi="Times New Roman" w:cs="Times New Roman"/>
          <w:color w:val="000000" w:themeColor="text1"/>
          <w:sz w:val="20"/>
          <w:szCs w:val="20"/>
        </w:rPr>
      </w:pPr>
      <w:r w:rsidRPr="002B0075">
        <w:rPr>
          <w:rFonts w:ascii="Times New Roman" w:hAnsi="Times New Roman" w:cs="Times New Roman" w:hint="eastAsia"/>
          <w:color w:val="000000" w:themeColor="text1"/>
          <w:sz w:val="20"/>
          <w:szCs w:val="20"/>
        </w:rPr>
        <w:t>S</w:t>
      </w:r>
      <w:r w:rsidRPr="002B0075">
        <w:rPr>
          <w:rFonts w:ascii="Times New Roman" w:hAnsi="Times New Roman" w:cs="Times New Roman"/>
          <w:color w:val="000000" w:themeColor="text1"/>
          <w:sz w:val="20"/>
          <w:szCs w:val="20"/>
        </w:rPr>
        <w:t xml:space="preserve">ince the inception of </w:t>
      </w:r>
      <w:proofErr w:type="spellStart"/>
      <w:r w:rsidRPr="002B0075">
        <w:rPr>
          <w:rFonts w:ascii="Times New Roman" w:hAnsi="Times New Roman" w:cs="Times New Roman"/>
          <w:color w:val="000000" w:themeColor="text1"/>
          <w:sz w:val="20"/>
          <w:szCs w:val="20"/>
        </w:rPr>
        <w:t>Manners’s</w:t>
      </w:r>
      <w:proofErr w:type="spellEnd"/>
      <w:r w:rsidRPr="002B0075">
        <w:rPr>
          <w:rFonts w:ascii="Times New Roman" w:hAnsi="Times New Roman" w:cs="Times New Roman"/>
          <w:color w:val="000000" w:themeColor="text1"/>
          <w:sz w:val="20"/>
          <w:szCs w:val="20"/>
        </w:rPr>
        <w:t xml:space="preserve"> normative power approach, there has been increasing convergence between the NPE </w:t>
      </w:r>
      <w:r w:rsidR="004E0300" w:rsidRPr="002B0075">
        <w:rPr>
          <w:rFonts w:ascii="Times New Roman" w:hAnsi="Times New Roman" w:cs="Times New Roman"/>
          <w:color w:val="000000" w:themeColor="text1"/>
          <w:sz w:val="20"/>
          <w:szCs w:val="20"/>
        </w:rPr>
        <w:t xml:space="preserve">research </w:t>
      </w:r>
      <w:r w:rsidRPr="002B0075">
        <w:rPr>
          <w:rFonts w:ascii="Times New Roman" w:hAnsi="Times New Roman" w:cs="Times New Roman"/>
          <w:color w:val="000000" w:themeColor="text1"/>
          <w:sz w:val="20"/>
          <w:szCs w:val="20"/>
        </w:rPr>
        <w:t>and norm diffusion literature. For instance, the original article on normative power (Manners, 2002, pp.244-245) provided a brief discussion of norm diffusion in international relations with reference to six mechanisms of diffusion</w:t>
      </w:r>
      <w:r w:rsidR="00D14681" w:rsidRPr="002B0075">
        <w:rPr>
          <w:rFonts w:ascii="Times New Roman" w:hAnsi="Times New Roman" w:cs="Times New Roman"/>
          <w:color w:val="000000" w:themeColor="text1"/>
          <w:sz w:val="20"/>
          <w:szCs w:val="20"/>
        </w:rPr>
        <w:t>.</w:t>
      </w:r>
      <w:r w:rsidR="004E0300" w:rsidRPr="002B0075">
        <w:rPr>
          <w:rStyle w:val="a5"/>
          <w:rFonts w:ascii="Times New Roman" w:hAnsi="Times New Roman" w:cs="Times New Roman"/>
          <w:color w:val="000000" w:themeColor="text1"/>
          <w:sz w:val="20"/>
          <w:szCs w:val="20"/>
        </w:rPr>
        <w:footnoteReference w:id="2"/>
      </w:r>
      <w:r w:rsidRPr="002B0075">
        <w:rPr>
          <w:rFonts w:ascii="Times New Roman" w:hAnsi="Times New Roman" w:cs="Times New Roman"/>
          <w:color w:val="000000" w:themeColor="text1"/>
          <w:sz w:val="20"/>
          <w:szCs w:val="20"/>
        </w:rPr>
        <w:t xml:space="preserve"> </w:t>
      </w:r>
      <w:r w:rsidR="004A5A58" w:rsidRPr="002B0075">
        <w:rPr>
          <w:rFonts w:ascii="Times New Roman" w:hAnsi="Times New Roman" w:cs="Times New Roman"/>
          <w:color w:val="000000" w:themeColor="text1"/>
          <w:sz w:val="20"/>
          <w:szCs w:val="20"/>
        </w:rPr>
        <w:t>Over the past decade</w:t>
      </w:r>
      <w:r w:rsidRPr="002B0075">
        <w:rPr>
          <w:rFonts w:ascii="Times New Roman" w:hAnsi="Times New Roman" w:cs="Times New Roman"/>
          <w:color w:val="000000" w:themeColor="text1"/>
          <w:sz w:val="20"/>
          <w:szCs w:val="20"/>
        </w:rPr>
        <w:t>, scholarly discussions on norm diffusion within the NPE approach have been more widely discussed</w:t>
      </w:r>
      <w:r w:rsidR="008F2CB6" w:rsidRPr="002B0075">
        <w:rPr>
          <w:rFonts w:ascii="Times New Roman" w:hAnsi="Times New Roman" w:cs="Times New Roman"/>
          <w:color w:val="000000" w:themeColor="text1"/>
          <w:sz w:val="20"/>
          <w:szCs w:val="20"/>
        </w:rPr>
        <w:t xml:space="preserve"> and applied to empirical </w:t>
      </w:r>
      <w:r w:rsidR="008F2CB6" w:rsidRPr="002B0075">
        <w:rPr>
          <w:rFonts w:ascii="Times New Roman" w:hAnsi="Times New Roman" w:cs="Times New Roman"/>
          <w:color w:val="000000" w:themeColor="text1"/>
          <w:sz w:val="20"/>
          <w:szCs w:val="20"/>
        </w:rPr>
        <w:lastRenderedPageBreak/>
        <w:t xml:space="preserve">research </w:t>
      </w:r>
      <w:bookmarkStart w:id="0" w:name="_Hlk85477279"/>
      <w:r w:rsidR="008F2CB6" w:rsidRPr="002B0075">
        <w:rPr>
          <w:rFonts w:ascii="Times New Roman" w:hAnsi="Times New Roman" w:cs="Times New Roman"/>
          <w:color w:val="000000" w:themeColor="text1"/>
          <w:sz w:val="20"/>
          <w:szCs w:val="20"/>
        </w:rPr>
        <w:t>(Manners, 2013; Manners, 2015;</w:t>
      </w:r>
      <w:r w:rsidR="00644389" w:rsidRPr="002B0075">
        <w:rPr>
          <w:rFonts w:ascii="Times New Roman" w:hAnsi="Times New Roman" w:cs="Times New Roman"/>
          <w:color w:val="000000" w:themeColor="text1"/>
          <w:sz w:val="20"/>
          <w:szCs w:val="20"/>
        </w:rPr>
        <w:t xml:space="preserve"> Manners; 2021;</w:t>
      </w:r>
      <w:r w:rsidR="008F2CB6" w:rsidRPr="002B0075">
        <w:rPr>
          <w:rFonts w:ascii="Times New Roman" w:hAnsi="Times New Roman" w:cs="Times New Roman"/>
          <w:color w:val="000000" w:themeColor="text1"/>
          <w:sz w:val="20"/>
          <w:szCs w:val="20"/>
        </w:rPr>
        <w:t xml:space="preserve"> </w:t>
      </w:r>
      <w:proofErr w:type="spellStart"/>
      <w:r w:rsidR="008F2CB6" w:rsidRPr="002B0075">
        <w:rPr>
          <w:rFonts w:ascii="Times New Roman" w:hAnsi="Times New Roman" w:cs="Times New Roman"/>
          <w:color w:val="000000" w:themeColor="text1"/>
          <w:sz w:val="20"/>
          <w:szCs w:val="20"/>
        </w:rPr>
        <w:t>Björkdahl</w:t>
      </w:r>
      <w:proofErr w:type="spellEnd"/>
      <w:r w:rsidR="008F2CB6" w:rsidRPr="002B0075">
        <w:rPr>
          <w:rFonts w:ascii="Times New Roman" w:hAnsi="Times New Roman" w:cs="Times New Roman"/>
          <w:color w:val="000000" w:themeColor="text1"/>
          <w:sz w:val="20"/>
          <w:szCs w:val="20"/>
        </w:rPr>
        <w:t>, et al., 2015; Lenz, 2013</w:t>
      </w:r>
      <w:bookmarkEnd w:id="0"/>
      <w:r w:rsidR="008F2CB6" w:rsidRPr="002B0075">
        <w:rPr>
          <w:rFonts w:ascii="Times New Roman" w:hAnsi="Times New Roman" w:cs="Times New Roman"/>
          <w:color w:val="000000" w:themeColor="text1"/>
          <w:sz w:val="20"/>
          <w:szCs w:val="20"/>
        </w:rPr>
        <w:t xml:space="preserve">). With an attempt to </w:t>
      </w:r>
      <w:r w:rsidR="00BE3E80" w:rsidRPr="002B0075">
        <w:rPr>
          <w:rFonts w:ascii="Times New Roman" w:hAnsi="Times New Roman" w:cs="Times New Roman"/>
          <w:color w:val="000000" w:themeColor="text1"/>
          <w:sz w:val="20"/>
          <w:szCs w:val="20"/>
        </w:rPr>
        <w:t xml:space="preserve">advance and </w:t>
      </w:r>
      <w:r w:rsidR="008F2CB6" w:rsidRPr="002B0075">
        <w:rPr>
          <w:rFonts w:ascii="Times New Roman" w:hAnsi="Times New Roman" w:cs="Times New Roman"/>
          <w:color w:val="000000" w:themeColor="text1"/>
          <w:sz w:val="20"/>
          <w:szCs w:val="20"/>
        </w:rPr>
        <w:t xml:space="preserve">expand this line of scholarly inquiry, this study draws on conceptual tools from the recent diffusion literature </w:t>
      </w:r>
      <w:r w:rsidR="008F2CB6" w:rsidRPr="002B0075">
        <w:rPr>
          <w:rFonts w:ascii="Times New Roman" w:hAnsi="Times New Roman" w:cs="Times New Roman" w:hint="eastAsia"/>
          <w:color w:val="000000" w:themeColor="text1"/>
          <w:sz w:val="20"/>
          <w:szCs w:val="20"/>
        </w:rPr>
        <w:t>w</w:t>
      </w:r>
      <w:r w:rsidR="008F2CB6" w:rsidRPr="002B0075">
        <w:rPr>
          <w:rFonts w:ascii="Times New Roman" w:hAnsi="Times New Roman" w:cs="Times New Roman"/>
          <w:color w:val="000000" w:themeColor="text1"/>
          <w:sz w:val="20"/>
          <w:szCs w:val="20"/>
        </w:rPr>
        <w:t xml:space="preserve">hich </w:t>
      </w:r>
      <w:r w:rsidR="004A6F37" w:rsidRPr="002B0075">
        <w:rPr>
          <w:rFonts w:ascii="Times New Roman" w:hAnsi="Times New Roman" w:cs="Times New Roman"/>
          <w:color w:val="000000" w:themeColor="text1"/>
          <w:sz w:val="20"/>
          <w:szCs w:val="20"/>
        </w:rPr>
        <w:t>emphasi</w:t>
      </w:r>
      <w:r w:rsidR="00913127" w:rsidRPr="002B0075">
        <w:rPr>
          <w:rFonts w:ascii="Times New Roman" w:hAnsi="Times New Roman" w:cs="Times New Roman"/>
          <w:color w:val="000000" w:themeColor="text1"/>
          <w:sz w:val="20"/>
          <w:szCs w:val="20"/>
        </w:rPr>
        <w:t>z</w:t>
      </w:r>
      <w:r w:rsidR="004A6F37" w:rsidRPr="002B0075">
        <w:rPr>
          <w:rFonts w:ascii="Times New Roman" w:hAnsi="Times New Roman" w:cs="Times New Roman"/>
          <w:color w:val="000000" w:themeColor="text1"/>
          <w:sz w:val="20"/>
          <w:szCs w:val="20"/>
        </w:rPr>
        <w:t>es the multifaceted nature of norms and diffusion items (Klingler-</w:t>
      </w:r>
      <w:proofErr w:type="spellStart"/>
      <w:r w:rsidR="004A6F37" w:rsidRPr="002B0075">
        <w:rPr>
          <w:rFonts w:ascii="Times New Roman" w:hAnsi="Times New Roman" w:cs="Times New Roman"/>
          <w:color w:val="000000" w:themeColor="text1"/>
          <w:sz w:val="20"/>
          <w:szCs w:val="20"/>
        </w:rPr>
        <w:t>Vidra</w:t>
      </w:r>
      <w:proofErr w:type="spellEnd"/>
      <w:r w:rsidR="004A6F37" w:rsidRPr="002B0075">
        <w:rPr>
          <w:rFonts w:ascii="Times New Roman" w:hAnsi="Times New Roman" w:cs="Times New Roman"/>
          <w:color w:val="000000" w:themeColor="text1"/>
          <w:sz w:val="20"/>
          <w:szCs w:val="20"/>
        </w:rPr>
        <w:t xml:space="preserve"> and Schleifer 2014; Winston</w:t>
      </w:r>
      <w:r w:rsidR="004A6F37" w:rsidRPr="002B0075" w:rsidDel="00E94245">
        <w:rPr>
          <w:rFonts w:ascii="Times New Roman" w:hAnsi="Times New Roman" w:cs="Times New Roman"/>
          <w:color w:val="000000" w:themeColor="text1"/>
          <w:sz w:val="20"/>
          <w:szCs w:val="20"/>
        </w:rPr>
        <w:t xml:space="preserve"> </w:t>
      </w:r>
      <w:r w:rsidR="004A6F37" w:rsidRPr="002B0075">
        <w:rPr>
          <w:rFonts w:ascii="Times New Roman" w:hAnsi="Times New Roman" w:cs="Times New Roman"/>
          <w:color w:val="000000" w:themeColor="text1"/>
          <w:sz w:val="20"/>
          <w:szCs w:val="20"/>
        </w:rPr>
        <w:t xml:space="preserve">2018). According to </w:t>
      </w:r>
      <w:r w:rsidR="000A2CA2" w:rsidRPr="002B0075">
        <w:rPr>
          <w:rFonts w:ascii="Times New Roman" w:hAnsi="Times New Roman" w:cs="Times New Roman"/>
          <w:color w:val="000000" w:themeColor="text1"/>
          <w:sz w:val="20"/>
          <w:szCs w:val="20"/>
        </w:rPr>
        <w:t>the recent literature on diffusion</w:t>
      </w:r>
      <w:r w:rsidR="004A6F37" w:rsidRPr="002B0075">
        <w:rPr>
          <w:rFonts w:ascii="Times New Roman" w:hAnsi="Times New Roman" w:cs="Times New Roman"/>
          <w:color w:val="000000" w:themeColor="text1"/>
          <w:sz w:val="20"/>
          <w:szCs w:val="20"/>
        </w:rPr>
        <w:t>, when norms travel across the globe, they can be seen as social facts that are continuously reconstituted (Wiener, 2018</w:t>
      </w:r>
      <w:r w:rsidR="004A6F37" w:rsidRPr="002B0075">
        <w:rPr>
          <w:rFonts w:ascii="Times New Roman" w:eastAsiaTheme="minorEastAsia" w:hAnsi="Times New Roman" w:cs="Times New Roman"/>
          <w:color w:val="000000" w:themeColor="text1"/>
          <w:kern w:val="2"/>
          <w:sz w:val="20"/>
          <w:szCs w:val="20"/>
        </w:rPr>
        <w:t>)</w:t>
      </w:r>
      <w:r w:rsidR="004A6F37" w:rsidRPr="002B0075">
        <w:rPr>
          <w:rFonts w:ascii="Times New Roman" w:hAnsi="Times New Roman" w:cs="Times New Roman"/>
          <w:color w:val="000000" w:themeColor="text1"/>
          <w:sz w:val="20"/>
          <w:szCs w:val="20"/>
        </w:rPr>
        <w:t>. In other words, norms can be regarded as social phenomena that carry specific contextuali</w:t>
      </w:r>
      <w:r w:rsidR="00FE0A27" w:rsidRPr="002B0075">
        <w:rPr>
          <w:rFonts w:ascii="Times New Roman" w:hAnsi="Times New Roman" w:cs="Times New Roman"/>
          <w:color w:val="000000" w:themeColor="text1"/>
          <w:sz w:val="20"/>
          <w:szCs w:val="20"/>
        </w:rPr>
        <w:t>s</w:t>
      </w:r>
      <w:r w:rsidR="004A6F37" w:rsidRPr="002B0075">
        <w:rPr>
          <w:rFonts w:ascii="Times New Roman" w:hAnsi="Times New Roman" w:cs="Times New Roman"/>
          <w:color w:val="000000" w:themeColor="text1"/>
          <w:sz w:val="20"/>
          <w:szCs w:val="20"/>
        </w:rPr>
        <w:t>ed meanings (Wiener, 2009). The multifaceted nature of norm therefore can result in different diffusion outcomes in different contexts in international relations. Aware of the flexibility of norms, recent diffusion scholars, exemplified by Winston (2018), argue that conceptuali</w:t>
      </w:r>
      <w:r w:rsidR="00FE0A27" w:rsidRPr="002B0075">
        <w:rPr>
          <w:rFonts w:ascii="Times New Roman" w:hAnsi="Times New Roman" w:cs="Times New Roman"/>
          <w:color w:val="000000" w:themeColor="text1"/>
          <w:sz w:val="20"/>
          <w:szCs w:val="20"/>
        </w:rPr>
        <w:t>s</w:t>
      </w:r>
      <w:r w:rsidR="004A6F37" w:rsidRPr="002B0075">
        <w:rPr>
          <w:rFonts w:ascii="Times New Roman" w:hAnsi="Times New Roman" w:cs="Times New Roman"/>
          <w:color w:val="000000" w:themeColor="text1"/>
          <w:sz w:val="20"/>
          <w:szCs w:val="20"/>
        </w:rPr>
        <w:t>ing a norm as a single item is problematic as this perspective does not allow for a holistic understanding of the variety of norms as well as how norms are practiced by political actors in the real world (Winston</w:t>
      </w:r>
      <w:r w:rsidR="00FE0A27" w:rsidRPr="002B0075">
        <w:rPr>
          <w:rFonts w:ascii="Times New Roman" w:hAnsi="Times New Roman" w:cs="Times New Roman"/>
          <w:color w:val="000000" w:themeColor="text1"/>
          <w:sz w:val="20"/>
          <w:szCs w:val="20"/>
        </w:rPr>
        <w:t>,</w:t>
      </w:r>
      <w:r w:rsidR="004A6F37" w:rsidRPr="002B0075">
        <w:rPr>
          <w:rFonts w:ascii="Times New Roman" w:hAnsi="Times New Roman" w:cs="Times New Roman"/>
          <w:color w:val="000000" w:themeColor="text1"/>
          <w:sz w:val="20"/>
          <w:szCs w:val="20"/>
        </w:rPr>
        <w:t xml:space="preserve"> 2018). Rejecting the linear and static conceptualization of norms, Winston proposes redefining the international norm as a loose collection of interlocking norm components, a ‘norm</w:t>
      </w:r>
      <w:r w:rsidR="00FE0A27" w:rsidRPr="002B0075">
        <w:rPr>
          <w:rFonts w:ascii="Times New Roman" w:hAnsi="Times New Roman" w:cs="Times New Roman"/>
          <w:color w:val="000000" w:themeColor="text1"/>
          <w:sz w:val="20"/>
          <w:szCs w:val="20"/>
        </w:rPr>
        <w:t>-</w:t>
      </w:r>
      <w:r w:rsidR="004A6F37" w:rsidRPr="002B0075">
        <w:rPr>
          <w:rFonts w:ascii="Times New Roman" w:hAnsi="Times New Roman" w:cs="Times New Roman"/>
          <w:color w:val="000000" w:themeColor="text1"/>
          <w:sz w:val="20"/>
          <w:szCs w:val="20"/>
        </w:rPr>
        <w:t>cluster’—a bounded collection of specific problems, values and behaviours (Winston 2018, p. 647). It is further argued that focusing on norm clusters and specific norm components, rather than on single norms, provides a more precise and nuanced understanding of how principle-based action diffuses and evolves across the globe (ibid, p. 638).</w:t>
      </w:r>
    </w:p>
    <w:p w14:paraId="7DF0770D" w14:textId="77777777" w:rsidR="004A6F37" w:rsidRPr="002B0075" w:rsidRDefault="004A6F37" w:rsidP="00514E1A">
      <w:pPr>
        <w:jc w:val="both"/>
        <w:rPr>
          <w:rFonts w:ascii="Times New Roman" w:hAnsi="Times New Roman" w:cs="Times New Roman"/>
          <w:color w:val="000000" w:themeColor="text1"/>
          <w:sz w:val="20"/>
          <w:szCs w:val="20"/>
        </w:rPr>
      </w:pPr>
    </w:p>
    <w:p w14:paraId="0D142743" w14:textId="0D28CD37"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Whereas the existing NPE literature essentially sees EU norms as single norms</w:t>
      </w:r>
      <w:r w:rsidR="003E087C" w:rsidRPr="002B0075">
        <w:rPr>
          <w:rFonts w:ascii="Times New Roman" w:hAnsi="Times New Roman" w:cs="Times New Roman"/>
          <w:color w:val="000000" w:themeColor="text1"/>
          <w:sz w:val="20"/>
          <w:szCs w:val="20"/>
        </w:rPr>
        <w:t xml:space="preserve"> (see for example Manners 2002; Whitman 2011; Lerch and </w:t>
      </w:r>
      <w:proofErr w:type="spellStart"/>
      <w:r w:rsidR="003E087C" w:rsidRPr="002B0075">
        <w:rPr>
          <w:rFonts w:ascii="Times New Roman" w:hAnsi="Times New Roman" w:cs="Times New Roman"/>
          <w:color w:val="000000" w:themeColor="text1"/>
          <w:sz w:val="20"/>
          <w:szCs w:val="20"/>
        </w:rPr>
        <w:t>Schwellnus</w:t>
      </w:r>
      <w:proofErr w:type="spellEnd"/>
      <w:r w:rsidR="003E087C" w:rsidRPr="002B0075">
        <w:rPr>
          <w:rFonts w:ascii="Times New Roman" w:hAnsi="Times New Roman" w:cs="Times New Roman"/>
          <w:color w:val="000000" w:themeColor="text1"/>
          <w:sz w:val="20"/>
          <w:szCs w:val="20"/>
        </w:rPr>
        <w:t>, 2006; Pace 2009)</w:t>
      </w:r>
      <w:r w:rsidRPr="002B0075">
        <w:rPr>
          <w:rFonts w:ascii="Times New Roman" w:hAnsi="Times New Roman" w:cs="Times New Roman"/>
          <w:color w:val="000000" w:themeColor="text1"/>
          <w:sz w:val="20"/>
          <w:szCs w:val="20"/>
        </w:rPr>
        <w:t>, adopting the concept of norm-cluster allows a better understanding of how the EU’s projection of normative power is reali</w:t>
      </w:r>
      <w:r w:rsidR="00FE0A27"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ed through the diffusion of different constellation of interlinked but distinct values and </w:t>
      </w:r>
      <w:proofErr w:type="spellStart"/>
      <w:r w:rsidRPr="002B0075">
        <w:rPr>
          <w:rFonts w:ascii="Times New Roman" w:hAnsi="Times New Roman" w:cs="Times New Roman"/>
          <w:color w:val="000000" w:themeColor="text1"/>
          <w:sz w:val="20"/>
          <w:szCs w:val="20"/>
        </w:rPr>
        <w:t>behaviors</w:t>
      </w:r>
      <w:proofErr w:type="spellEnd"/>
      <w:r w:rsidRPr="002B0075">
        <w:rPr>
          <w:rFonts w:ascii="Times New Roman" w:hAnsi="Times New Roman" w:cs="Times New Roman"/>
          <w:color w:val="000000" w:themeColor="text1"/>
          <w:sz w:val="20"/>
          <w:szCs w:val="20"/>
        </w:rPr>
        <w:t xml:space="preserve"> in order to offer acceptable solutions to relevant problems. In doing so, this approach attaches great importance to the practicalities of the EU’s normative power and norm diffusion, which remains significantly underexplored in the existing literature.</w:t>
      </w:r>
    </w:p>
    <w:p w14:paraId="5932DA6E" w14:textId="77777777" w:rsidR="004A6F37" w:rsidRPr="002B0075" w:rsidRDefault="004A6F37" w:rsidP="00514E1A">
      <w:pPr>
        <w:jc w:val="both"/>
        <w:rPr>
          <w:rFonts w:ascii="Times New Roman" w:hAnsi="Times New Roman" w:cs="Times New Roman"/>
          <w:color w:val="000000" w:themeColor="text1"/>
          <w:sz w:val="20"/>
          <w:szCs w:val="20"/>
        </w:rPr>
      </w:pPr>
    </w:p>
    <w:p w14:paraId="0EF2846E" w14:textId="481B28EE"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Closely linked to the previous point, another useful idea from </w:t>
      </w:r>
      <w:r w:rsidR="0064161B" w:rsidRPr="002B0075">
        <w:rPr>
          <w:rFonts w:ascii="Times New Roman" w:hAnsi="Times New Roman" w:cs="Times New Roman"/>
          <w:color w:val="000000" w:themeColor="text1"/>
          <w:sz w:val="20"/>
          <w:szCs w:val="20"/>
          <w:lang w:val="en-US"/>
        </w:rPr>
        <w:t xml:space="preserve">the recent </w:t>
      </w:r>
      <w:r w:rsidRPr="002B0075">
        <w:rPr>
          <w:rFonts w:ascii="Times New Roman" w:hAnsi="Times New Roman" w:cs="Times New Roman" w:hint="eastAsia"/>
          <w:color w:val="000000" w:themeColor="text1"/>
          <w:sz w:val="20"/>
          <w:szCs w:val="20"/>
        </w:rPr>
        <w:t>d</w:t>
      </w:r>
      <w:r w:rsidRPr="002B0075">
        <w:rPr>
          <w:rFonts w:ascii="Times New Roman" w:hAnsi="Times New Roman" w:cs="Times New Roman"/>
          <w:color w:val="000000" w:themeColor="text1"/>
          <w:sz w:val="20"/>
          <w:szCs w:val="20"/>
        </w:rPr>
        <w:t xml:space="preserve">iffusion literature relates to the degree of </w:t>
      </w:r>
      <w:r w:rsidRPr="002B0075">
        <w:rPr>
          <w:rFonts w:ascii="Times New Roman" w:hAnsi="Times New Roman" w:cs="Times New Roman"/>
          <w:i/>
          <w:iCs/>
          <w:color w:val="000000" w:themeColor="text1"/>
          <w:sz w:val="20"/>
          <w:szCs w:val="20"/>
        </w:rPr>
        <w:t>specificity</w:t>
      </w:r>
      <w:r w:rsidRPr="002B0075">
        <w:rPr>
          <w:rFonts w:ascii="Times New Roman" w:hAnsi="Times New Roman" w:cs="Times New Roman"/>
          <w:color w:val="000000" w:themeColor="text1"/>
          <w:sz w:val="20"/>
          <w:szCs w:val="20"/>
        </w:rPr>
        <w:t xml:space="preserve"> of diffusion items, believed to be causally related to the effectiveness of diffusion</w:t>
      </w:r>
      <w:r w:rsidR="009B5AAB" w:rsidRPr="002B0075">
        <w:rPr>
          <w:rFonts w:ascii="Times New Roman" w:hAnsi="Times New Roman" w:cs="Times New Roman"/>
          <w:color w:val="000000" w:themeColor="text1"/>
          <w:sz w:val="20"/>
          <w:szCs w:val="20"/>
        </w:rPr>
        <w:t xml:space="preserve"> (Klingler-</w:t>
      </w:r>
      <w:proofErr w:type="spellStart"/>
      <w:r w:rsidR="009B5AAB" w:rsidRPr="002B0075">
        <w:rPr>
          <w:rFonts w:ascii="Times New Roman" w:hAnsi="Times New Roman" w:cs="Times New Roman"/>
          <w:color w:val="000000" w:themeColor="text1"/>
          <w:sz w:val="20"/>
          <w:szCs w:val="20"/>
        </w:rPr>
        <w:t>Vidra</w:t>
      </w:r>
      <w:proofErr w:type="spellEnd"/>
      <w:r w:rsidR="009B5AAB" w:rsidRPr="002B0075">
        <w:rPr>
          <w:rFonts w:ascii="Times New Roman" w:hAnsi="Times New Roman" w:cs="Times New Roman"/>
          <w:color w:val="000000" w:themeColor="text1"/>
          <w:sz w:val="20"/>
          <w:szCs w:val="20"/>
        </w:rPr>
        <w:t xml:space="preserve"> and Schleifer, 2014)</w:t>
      </w:r>
      <w:r w:rsidRPr="002B0075">
        <w:rPr>
          <w:rFonts w:ascii="Times New Roman" w:hAnsi="Times New Roman" w:cs="Times New Roman"/>
          <w:color w:val="000000" w:themeColor="text1"/>
          <w:sz w:val="20"/>
          <w:szCs w:val="20"/>
        </w:rPr>
        <w:t xml:space="preserve">. Whilst NPE scholarship does not explicitly discuss the implications of varying specificity in EU diffusion objects, diffusion research maintains that a low degree of specificity of diffusion items would create space for contestation and interpretation, which is likely to result </w:t>
      </w:r>
      <w:r w:rsidR="00A104DF" w:rsidRPr="002B0075">
        <w:rPr>
          <w:rFonts w:ascii="Times New Roman" w:hAnsi="Times New Roman" w:cs="Times New Roman"/>
          <w:color w:val="000000" w:themeColor="text1"/>
          <w:sz w:val="20"/>
          <w:szCs w:val="20"/>
        </w:rPr>
        <w:t>in less effective diffusion outcomes</w:t>
      </w:r>
      <w:r w:rsidRPr="002B0075">
        <w:rPr>
          <w:rFonts w:ascii="Times New Roman" w:hAnsi="Times New Roman" w:cs="Times New Roman"/>
          <w:color w:val="000000" w:themeColor="text1"/>
          <w:sz w:val="20"/>
          <w:szCs w:val="20"/>
        </w:rPr>
        <w:t xml:space="preserve">. Conversely, a </w:t>
      </w:r>
      <w:r w:rsidR="00891604" w:rsidRPr="002B0075">
        <w:rPr>
          <w:rFonts w:ascii="Times New Roman" w:hAnsi="Times New Roman" w:cs="Times New Roman"/>
          <w:color w:val="000000" w:themeColor="text1"/>
          <w:sz w:val="20"/>
          <w:szCs w:val="20"/>
        </w:rPr>
        <w:t xml:space="preserve">high </w:t>
      </w:r>
      <w:r w:rsidRPr="002B0075">
        <w:rPr>
          <w:rFonts w:ascii="Times New Roman" w:hAnsi="Times New Roman" w:cs="Times New Roman"/>
          <w:color w:val="000000" w:themeColor="text1"/>
          <w:sz w:val="20"/>
          <w:szCs w:val="20"/>
        </w:rPr>
        <w:t xml:space="preserve">degree of specificity is more likely to </w:t>
      </w:r>
      <w:r w:rsidR="00A104DF" w:rsidRPr="002B0075">
        <w:rPr>
          <w:rFonts w:ascii="Times New Roman" w:hAnsi="Times New Roman" w:cs="Times New Roman"/>
          <w:color w:val="000000" w:themeColor="text1"/>
          <w:sz w:val="20"/>
          <w:szCs w:val="20"/>
        </w:rPr>
        <w:t>generate more effective diffusion outcomes</w:t>
      </w:r>
      <w:r w:rsidRPr="002B0075">
        <w:rPr>
          <w:rFonts w:ascii="Times New Roman" w:hAnsi="Times New Roman" w:cs="Times New Roman"/>
          <w:color w:val="000000" w:themeColor="text1"/>
          <w:sz w:val="20"/>
          <w:szCs w:val="20"/>
        </w:rPr>
        <w:t xml:space="preserve"> (Klingler-</w:t>
      </w:r>
      <w:proofErr w:type="spellStart"/>
      <w:r w:rsidRPr="002B0075">
        <w:rPr>
          <w:rFonts w:ascii="Times New Roman" w:hAnsi="Times New Roman" w:cs="Times New Roman"/>
          <w:color w:val="000000" w:themeColor="text1"/>
          <w:sz w:val="20"/>
          <w:szCs w:val="20"/>
        </w:rPr>
        <w:t>Vidra</w:t>
      </w:r>
      <w:proofErr w:type="spellEnd"/>
      <w:r w:rsidRPr="002B0075">
        <w:rPr>
          <w:rFonts w:ascii="Times New Roman" w:hAnsi="Times New Roman" w:cs="Times New Roman"/>
          <w:color w:val="000000" w:themeColor="text1"/>
          <w:sz w:val="20"/>
          <w:szCs w:val="20"/>
        </w:rPr>
        <w:t xml:space="preserve"> and Schleifer 2014). </w:t>
      </w:r>
    </w:p>
    <w:p w14:paraId="08CF3AF8" w14:textId="77777777" w:rsidR="004A6F37" w:rsidRPr="002B0075" w:rsidRDefault="004A6F37" w:rsidP="00514E1A">
      <w:pPr>
        <w:jc w:val="both"/>
        <w:rPr>
          <w:rFonts w:ascii="Times New Roman" w:hAnsi="Times New Roman" w:cs="Times New Roman"/>
          <w:color w:val="000000" w:themeColor="text1"/>
          <w:sz w:val="20"/>
          <w:szCs w:val="20"/>
        </w:rPr>
      </w:pPr>
    </w:p>
    <w:p w14:paraId="1115E8C1" w14:textId="78B8CD76"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Given the flexible nature of norms and the specificity of diffusion items, the EU’s diffusion items in this research can be </w:t>
      </w:r>
      <w:proofErr w:type="spellStart"/>
      <w:r w:rsidRPr="002B0075">
        <w:rPr>
          <w:rFonts w:ascii="Times New Roman" w:hAnsi="Times New Roman" w:cs="Times New Roman"/>
          <w:color w:val="000000" w:themeColor="text1"/>
          <w:sz w:val="20"/>
          <w:szCs w:val="20"/>
        </w:rPr>
        <w:t>analyzed</w:t>
      </w:r>
      <w:proofErr w:type="spellEnd"/>
      <w:r w:rsidRPr="002B0075">
        <w:rPr>
          <w:rFonts w:ascii="Times New Roman" w:hAnsi="Times New Roman" w:cs="Times New Roman"/>
          <w:color w:val="000000" w:themeColor="text1"/>
          <w:sz w:val="20"/>
          <w:szCs w:val="20"/>
        </w:rPr>
        <w:t xml:space="preserve"> as norm</w:t>
      </w:r>
      <w:r w:rsidR="001D3B4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clusters consisting of specific problems, values and behaviours that are similar enough to be studied as a family group (Winston</w:t>
      </w:r>
      <w:r w:rsidR="001D3B4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2018). </w:t>
      </w:r>
      <w:r w:rsidR="00DF6786" w:rsidRPr="002B0075">
        <w:rPr>
          <w:rFonts w:ascii="Times New Roman" w:hAnsi="Times New Roman" w:cs="Times New Roman"/>
          <w:color w:val="000000" w:themeColor="text1"/>
          <w:sz w:val="20"/>
          <w:szCs w:val="20"/>
        </w:rPr>
        <w:t>Drawing on diffusion literature’s conceptualisation of diffusion items (Klingler-</w:t>
      </w:r>
      <w:proofErr w:type="spellStart"/>
      <w:r w:rsidR="00DF6786" w:rsidRPr="002B0075">
        <w:rPr>
          <w:rFonts w:ascii="Times New Roman" w:hAnsi="Times New Roman" w:cs="Times New Roman"/>
          <w:color w:val="000000" w:themeColor="text1"/>
          <w:sz w:val="20"/>
          <w:szCs w:val="20"/>
        </w:rPr>
        <w:t>Vidra</w:t>
      </w:r>
      <w:proofErr w:type="spellEnd"/>
      <w:r w:rsidR="00DF6786" w:rsidRPr="002B0075">
        <w:rPr>
          <w:rFonts w:ascii="Times New Roman" w:hAnsi="Times New Roman" w:cs="Times New Roman"/>
          <w:color w:val="000000" w:themeColor="text1"/>
          <w:sz w:val="20"/>
          <w:szCs w:val="20"/>
        </w:rPr>
        <w:t xml:space="preserve"> and Schleifer 2014), v</w:t>
      </w:r>
      <w:r w:rsidRPr="002B0075">
        <w:rPr>
          <w:rFonts w:ascii="Times New Roman" w:hAnsi="Times New Roman" w:cs="Times New Roman"/>
          <w:color w:val="000000" w:themeColor="text1"/>
          <w:sz w:val="20"/>
          <w:szCs w:val="20"/>
        </w:rPr>
        <w:t xml:space="preserve">alues and behaviours can be further </w:t>
      </w:r>
      <w:proofErr w:type="spellStart"/>
      <w:r w:rsidRPr="002B0075">
        <w:rPr>
          <w:rFonts w:ascii="Times New Roman" w:hAnsi="Times New Roman" w:cs="Times New Roman"/>
          <w:color w:val="000000" w:themeColor="text1"/>
          <w:sz w:val="20"/>
          <w:szCs w:val="20"/>
        </w:rPr>
        <w:t>analyzed</w:t>
      </w:r>
      <w:proofErr w:type="spellEnd"/>
      <w:r w:rsidRPr="002B0075">
        <w:rPr>
          <w:rFonts w:ascii="Times New Roman" w:hAnsi="Times New Roman" w:cs="Times New Roman"/>
          <w:color w:val="000000" w:themeColor="text1"/>
          <w:sz w:val="20"/>
          <w:szCs w:val="20"/>
        </w:rPr>
        <w:t xml:space="preserve"> according to different levels of specificity. </w:t>
      </w:r>
      <w:r w:rsidR="00DF6786" w:rsidRPr="002B0075">
        <w:rPr>
          <w:rFonts w:ascii="Times New Roman" w:hAnsi="Times New Roman" w:cs="Times New Roman"/>
          <w:color w:val="000000" w:themeColor="text1"/>
          <w:sz w:val="20"/>
          <w:szCs w:val="20"/>
        </w:rPr>
        <w:t>I</w:t>
      </w:r>
      <w:r w:rsidRPr="002B0075">
        <w:rPr>
          <w:rFonts w:ascii="Times New Roman" w:hAnsi="Times New Roman" w:cs="Times New Roman"/>
          <w:color w:val="000000" w:themeColor="text1"/>
          <w:sz w:val="20"/>
          <w:szCs w:val="20"/>
        </w:rPr>
        <w:t xml:space="preserve">n this study EU ‘values’ can be further disaggregated into </w:t>
      </w:r>
      <w:r w:rsidR="00DA7B06" w:rsidRPr="002B0075">
        <w:rPr>
          <w:rFonts w:ascii="Times New Roman" w:hAnsi="Times New Roman" w:cs="Times New Roman"/>
          <w:color w:val="000000" w:themeColor="text1"/>
          <w:sz w:val="20"/>
          <w:szCs w:val="20"/>
        </w:rPr>
        <w:t xml:space="preserve">overarching ideas or </w:t>
      </w:r>
      <w:r w:rsidRPr="002B0075">
        <w:rPr>
          <w:rFonts w:ascii="Times New Roman" w:hAnsi="Times New Roman" w:cs="Times New Roman"/>
          <w:color w:val="000000" w:themeColor="text1"/>
          <w:sz w:val="20"/>
          <w:szCs w:val="20"/>
        </w:rPr>
        <w:t>fundamental norms with a low level of specificity and organizational principles or governance models with a medium level of specificity</w:t>
      </w:r>
      <w:r w:rsidR="0086031E" w:rsidRPr="002B0075">
        <w:rPr>
          <w:rFonts w:ascii="Times New Roman" w:hAnsi="Times New Roman" w:cs="Times New Roman"/>
          <w:color w:val="000000" w:themeColor="text1"/>
          <w:sz w:val="20"/>
          <w:szCs w:val="20"/>
        </w:rPr>
        <w:t xml:space="preserve"> (Wiener</w:t>
      </w:r>
      <w:r w:rsidR="001D3B45" w:rsidRPr="002B0075">
        <w:rPr>
          <w:rFonts w:ascii="Times New Roman" w:hAnsi="Times New Roman" w:cs="Times New Roman"/>
          <w:color w:val="000000" w:themeColor="text1"/>
          <w:sz w:val="20"/>
          <w:szCs w:val="20"/>
        </w:rPr>
        <w:t>,</w:t>
      </w:r>
      <w:r w:rsidR="0086031E" w:rsidRPr="002B0075">
        <w:rPr>
          <w:rFonts w:ascii="Times New Roman" w:hAnsi="Times New Roman" w:cs="Times New Roman"/>
          <w:color w:val="000000" w:themeColor="text1"/>
          <w:sz w:val="20"/>
          <w:szCs w:val="20"/>
        </w:rPr>
        <w:t xml:space="preserve"> 2009)</w:t>
      </w:r>
      <w:r w:rsidRPr="002B0075">
        <w:rPr>
          <w:rFonts w:ascii="Times New Roman" w:hAnsi="Times New Roman" w:cs="Times New Roman"/>
          <w:color w:val="000000" w:themeColor="text1"/>
          <w:sz w:val="20"/>
          <w:szCs w:val="20"/>
        </w:rPr>
        <w:t>. Moreover, ‘behaviours’ can be understood as the adoption of standardized procedures or specific policy settings with a high degree of specificity (Wiener, 2009</w:t>
      </w:r>
      <w:r w:rsidR="0086031E" w:rsidRPr="002B0075">
        <w:rPr>
          <w:rFonts w:ascii="Times New Roman" w:hAnsi="Times New Roman" w:cs="Times New Roman"/>
          <w:color w:val="000000" w:themeColor="text1"/>
          <w:sz w:val="20"/>
          <w:szCs w:val="20"/>
        </w:rPr>
        <w:t>; Klingler-</w:t>
      </w:r>
      <w:proofErr w:type="spellStart"/>
      <w:r w:rsidR="0086031E" w:rsidRPr="002B0075">
        <w:rPr>
          <w:rFonts w:ascii="Times New Roman" w:hAnsi="Times New Roman" w:cs="Times New Roman"/>
          <w:color w:val="000000" w:themeColor="text1"/>
          <w:sz w:val="20"/>
          <w:szCs w:val="20"/>
        </w:rPr>
        <w:t>Vidra</w:t>
      </w:r>
      <w:proofErr w:type="spellEnd"/>
      <w:r w:rsidR="0086031E" w:rsidRPr="002B0075">
        <w:rPr>
          <w:rFonts w:ascii="Times New Roman" w:hAnsi="Times New Roman" w:cs="Times New Roman"/>
          <w:color w:val="000000" w:themeColor="text1"/>
          <w:sz w:val="20"/>
          <w:szCs w:val="20"/>
        </w:rPr>
        <w:t xml:space="preserve"> and Schleifer 2014</w:t>
      </w:r>
      <w:r w:rsidRPr="002B0075">
        <w:rPr>
          <w:rFonts w:ascii="Times New Roman" w:hAnsi="Times New Roman" w:cs="Times New Roman"/>
          <w:color w:val="000000" w:themeColor="text1"/>
          <w:sz w:val="20"/>
          <w:szCs w:val="20"/>
        </w:rPr>
        <w:t>). As will be demonstrated in the empirical section, by categori</w:t>
      </w:r>
      <w:r w:rsidR="001D3B45"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ing EU diffusion items in such way, this research is the first attempt to offer a systemic mapping of EU security-related norms and policies vis-à-vis ASEAN.</w:t>
      </w:r>
      <w:r w:rsidR="00C64240" w:rsidRPr="002B0075">
        <w:rPr>
          <w:rFonts w:ascii="Times New Roman" w:hAnsi="Times New Roman" w:cs="Times New Roman"/>
          <w:color w:val="000000" w:themeColor="text1"/>
          <w:sz w:val="20"/>
          <w:szCs w:val="20"/>
        </w:rPr>
        <w:t xml:space="preserve"> </w:t>
      </w:r>
      <w:r w:rsidR="00C64240" w:rsidRPr="002B0075">
        <w:rPr>
          <w:rFonts w:ascii="Times New Roman" w:hAnsi="Times New Roman" w:cs="Times New Roman"/>
          <w:color w:val="000000" w:themeColor="text1"/>
          <w:sz w:val="20"/>
          <w:szCs w:val="20"/>
        </w:rPr>
        <w:lastRenderedPageBreak/>
        <w:t>Figure 1 illustrates how the diffusion item is defined in this thesis as well as the relationship between the structure and types of norms. This approach helps to identify the full spectrum of diffusion items by taking into account norm types, norm structure, norm nature and different levels of specificity.</w:t>
      </w:r>
    </w:p>
    <w:p w14:paraId="24096C42" w14:textId="188AF027" w:rsidR="001C0CFC" w:rsidRPr="002B0075" w:rsidRDefault="001C0CFC" w:rsidP="00514E1A">
      <w:pPr>
        <w:jc w:val="both"/>
        <w:rPr>
          <w:rFonts w:ascii="Times New Roman" w:hAnsi="Times New Roman" w:cs="Times New Roman"/>
          <w:color w:val="000000" w:themeColor="text1"/>
          <w:sz w:val="20"/>
          <w:szCs w:val="20"/>
        </w:rPr>
      </w:pPr>
    </w:p>
    <w:p w14:paraId="252BC948" w14:textId="0DF743BE" w:rsidR="001C0CFC" w:rsidRPr="002B0075" w:rsidRDefault="001C0CFC"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Figure 1</w:t>
      </w:r>
      <w:r w:rsidR="000164D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Conceptuali</w:t>
      </w:r>
      <w:r w:rsidR="000164D5"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ing EU </w:t>
      </w:r>
      <w:r w:rsidR="006D1B1E" w:rsidRPr="002B0075">
        <w:rPr>
          <w:rFonts w:ascii="Times New Roman" w:hAnsi="Times New Roman" w:cs="Times New Roman"/>
          <w:color w:val="000000" w:themeColor="text1"/>
          <w:sz w:val="20"/>
          <w:szCs w:val="20"/>
        </w:rPr>
        <w:t>diffusion items as ‘norm-clusters’</w:t>
      </w:r>
    </w:p>
    <w:p w14:paraId="66A0515A" w14:textId="2F5DD7C4" w:rsidR="005441C0" w:rsidRPr="002B0075" w:rsidRDefault="005441C0" w:rsidP="00514E1A">
      <w:pPr>
        <w:jc w:val="both"/>
        <w:rPr>
          <w:rFonts w:ascii="Times New Roman" w:hAnsi="Times New Roman" w:cs="Times New Roman"/>
          <w:color w:val="000000" w:themeColor="text1"/>
          <w:sz w:val="20"/>
          <w:szCs w:val="20"/>
        </w:rPr>
      </w:pPr>
    </w:p>
    <w:p w14:paraId="108EF17C" w14:textId="72F45C3E" w:rsidR="004A6F37" w:rsidRPr="002B0075" w:rsidRDefault="00DA7B06" w:rsidP="00514E1A">
      <w:pPr>
        <w:jc w:val="both"/>
        <w:rPr>
          <w:rFonts w:ascii="Times New Roman" w:hAnsi="Times New Roman" w:cs="Times New Roman"/>
          <w:color w:val="000000" w:themeColor="text1"/>
          <w:sz w:val="20"/>
          <w:szCs w:val="20"/>
        </w:rPr>
      </w:pPr>
      <w:r w:rsidRPr="002B0075">
        <w:rPr>
          <w:rFonts w:ascii="Times New Roman" w:hAnsi="Times New Roman" w:cs="Times New Roman"/>
          <w:noProof/>
          <w:color w:val="000000" w:themeColor="text1"/>
          <w:sz w:val="20"/>
          <w:szCs w:val="20"/>
        </w:rPr>
        <w:drawing>
          <wp:inline distT="0" distB="0" distL="0" distR="0" wp14:anchorId="505C112A" wp14:editId="5D2BDD17">
            <wp:extent cx="5270500" cy="3094355"/>
            <wp:effectExtent l="0" t="0" r="0" b="4445"/>
            <wp:docPr id="6" name="图片 6" descr="图形用户界面, 文本, 应用程序, 聊天或短信&#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文本, 应用程序, 聊天或短信&#10;&#10;描述已自动生成"/>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0500" cy="3094355"/>
                    </a:xfrm>
                    <a:prstGeom prst="rect">
                      <a:avLst/>
                    </a:prstGeom>
                  </pic:spPr>
                </pic:pic>
              </a:graphicData>
            </a:graphic>
          </wp:inline>
        </w:drawing>
      </w:r>
    </w:p>
    <w:p w14:paraId="20003782" w14:textId="4653EC55" w:rsidR="002364DE" w:rsidRPr="002B0075" w:rsidRDefault="002364DE"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Source: developed by the author based on diffusion literature (Wiener, 2009; Klingler-</w:t>
      </w:r>
      <w:proofErr w:type="spellStart"/>
      <w:r w:rsidRPr="002B0075">
        <w:rPr>
          <w:rFonts w:ascii="Times New Roman" w:hAnsi="Times New Roman" w:cs="Times New Roman"/>
          <w:color w:val="000000" w:themeColor="text1"/>
          <w:sz w:val="20"/>
          <w:szCs w:val="20"/>
        </w:rPr>
        <w:t>Vidra</w:t>
      </w:r>
      <w:proofErr w:type="spellEnd"/>
      <w:r w:rsidRPr="002B0075">
        <w:rPr>
          <w:rFonts w:ascii="Times New Roman" w:hAnsi="Times New Roman" w:cs="Times New Roman"/>
          <w:color w:val="000000" w:themeColor="text1"/>
          <w:sz w:val="20"/>
          <w:szCs w:val="20"/>
        </w:rPr>
        <w:t xml:space="preserve"> and Schleifer, 2014; Winston 2018)</w:t>
      </w:r>
    </w:p>
    <w:p w14:paraId="1021DCAB" w14:textId="77777777" w:rsidR="002364DE" w:rsidRPr="002B0075" w:rsidRDefault="002364DE" w:rsidP="00514E1A">
      <w:pPr>
        <w:jc w:val="both"/>
        <w:rPr>
          <w:rFonts w:ascii="Times New Roman" w:hAnsi="Times New Roman" w:cs="Times New Roman"/>
          <w:color w:val="000000" w:themeColor="text1"/>
          <w:sz w:val="20"/>
          <w:szCs w:val="20"/>
        </w:rPr>
      </w:pPr>
    </w:p>
    <w:p w14:paraId="35E48454" w14:textId="7D9616CA" w:rsidR="00C959FF"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Another key advantage of diffusion literature is that it develops better analytical tools to evaluate the </w:t>
      </w:r>
      <w:r w:rsidRPr="002B0075">
        <w:rPr>
          <w:rFonts w:ascii="Times New Roman" w:hAnsi="Times New Roman" w:cs="Times New Roman"/>
          <w:i/>
          <w:iCs/>
          <w:color w:val="000000" w:themeColor="text1"/>
          <w:sz w:val="20"/>
          <w:szCs w:val="20"/>
        </w:rPr>
        <w:t>effectiveness</w:t>
      </w:r>
      <w:r w:rsidRPr="002B0075">
        <w:rPr>
          <w:rFonts w:ascii="Times New Roman" w:hAnsi="Times New Roman" w:cs="Times New Roman"/>
          <w:color w:val="000000" w:themeColor="text1"/>
          <w:sz w:val="20"/>
          <w:szCs w:val="20"/>
        </w:rPr>
        <w:t xml:space="preserve"> of EU norm promotion in comparison to conventional NPE literature. </w:t>
      </w:r>
      <w:r w:rsidR="00ED4494" w:rsidRPr="002B0075">
        <w:rPr>
          <w:rFonts w:ascii="Times New Roman" w:hAnsi="Times New Roman" w:cs="Times New Roman"/>
          <w:color w:val="000000" w:themeColor="text1"/>
          <w:sz w:val="20"/>
          <w:szCs w:val="20"/>
        </w:rPr>
        <w:t>The outcome</w:t>
      </w:r>
      <w:r w:rsidR="00514E1A" w:rsidRPr="002B0075">
        <w:rPr>
          <w:rFonts w:ascii="Times New Roman" w:hAnsi="Times New Roman" w:cs="Times New Roman"/>
          <w:color w:val="000000" w:themeColor="text1"/>
          <w:sz w:val="20"/>
          <w:szCs w:val="20"/>
        </w:rPr>
        <w:t>s</w:t>
      </w:r>
      <w:r w:rsidR="00ED4494" w:rsidRPr="002B0075">
        <w:rPr>
          <w:rFonts w:ascii="Times New Roman" w:hAnsi="Times New Roman" w:cs="Times New Roman"/>
          <w:color w:val="000000" w:themeColor="text1"/>
          <w:sz w:val="20"/>
          <w:szCs w:val="20"/>
        </w:rPr>
        <w:t xml:space="preserve"> of diffusion can be assessed according to ‘the degree of norm adoption – in other words, the extent of institutional and ideational change – that takes place’ at the recipient side (Zimmermann 2016: 102; see also Acharya 2004; Wiener and </w:t>
      </w:r>
      <w:proofErr w:type="spellStart"/>
      <w:r w:rsidR="00ED4494" w:rsidRPr="002B0075">
        <w:rPr>
          <w:rFonts w:ascii="Times New Roman" w:hAnsi="Times New Roman" w:cs="Times New Roman"/>
          <w:color w:val="000000" w:themeColor="text1"/>
          <w:sz w:val="20"/>
          <w:szCs w:val="20"/>
        </w:rPr>
        <w:t>Puetter</w:t>
      </w:r>
      <w:proofErr w:type="spellEnd"/>
      <w:r w:rsidR="00ED4494" w:rsidRPr="002B0075">
        <w:rPr>
          <w:rFonts w:ascii="Times New Roman" w:hAnsi="Times New Roman" w:cs="Times New Roman"/>
          <w:color w:val="000000" w:themeColor="text1"/>
          <w:sz w:val="20"/>
          <w:szCs w:val="20"/>
        </w:rPr>
        <w:t xml:space="preserve"> 2009). </w:t>
      </w:r>
      <w:r w:rsidR="00C959FF" w:rsidRPr="002B0075">
        <w:rPr>
          <w:rFonts w:ascii="Times New Roman" w:hAnsi="Times New Roman" w:cs="Times New Roman"/>
          <w:color w:val="000000" w:themeColor="text1"/>
          <w:sz w:val="20"/>
          <w:szCs w:val="20"/>
        </w:rPr>
        <w:t>Diffusion outcomes are also contingent on ‘the mediating effect of prevailing local norms, political institutions, and economic structures’ (Klingler-</w:t>
      </w:r>
      <w:proofErr w:type="spellStart"/>
      <w:r w:rsidR="00C959FF" w:rsidRPr="002B0075">
        <w:rPr>
          <w:rFonts w:ascii="Times New Roman" w:hAnsi="Times New Roman" w:cs="Times New Roman"/>
          <w:color w:val="000000" w:themeColor="text1"/>
          <w:sz w:val="20"/>
          <w:szCs w:val="20"/>
        </w:rPr>
        <w:t>Vidra</w:t>
      </w:r>
      <w:proofErr w:type="spellEnd"/>
      <w:r w:rsidR="00C959FF" w:rsidRPr="002B0075">
        <w:rPr>
          <w:rFonts w:ascii="Times New Roman" w:hAnsi="Times New Roman" w:cs="Times New Roman"/>
          <w:color w:val="000000" w:themeColor="text1"/>
          <w:sz w:val="20"/>
          <w:szCs w:val="20"/>
        </w:rPr>
        <w:t xml:space="preserve"> and Schleifer, 2014, p. 271). Normative and cultural matches have a powerful influence on diffusion and a high level of congruence between external norms and local culture can facilitate the diffusion process </w:t>
      </w:r>
      <w:r w:rsidR="00C959FF" w:rsidRPr="002B0075">
        <w:rPr>
          <w:rFonts w:ascii="Times New Roman" w:hAnsi="Times New Roman" w:cs="Times New Roman"/>
          <w:color w:val="000000" w:themeColor="text1"/>
          <w:sz w:val="20"/>
          <w:szCs w:val="20"/>
        </w:rPr>
        <w:fldChar w:fldCharType="begin" w:fldLock="1"/>
      </w:r>
      <w:r w:rsidR="00C959FF" w:rsidRPr="002B0075">
        <w:rPr>
          <w:rFonts w:ascii="Times New Roman" w:hAnsi="Times New Roman" w:cs="Times New Roman"/>
          <w:color w:val="000000" w:themeColor="text1"/>
          <w:sz w:val="20"/>
          <w:szCs w:val="20"/>
        </w:rPr>
        <w:instrText>ADDIN CSL_CITATION { "citationItems" : [ { "id" : "ITEM-1", "itemData" : { "author" : [ { "dropping-particle" : "", "family" : "Checkel", "given" : "JT", "non-dropping-particle" : "", "parse-names" : false, "suffix" : "" } ], "container-title" : "International Studies Quarterly", "id" : "ITEM-1", "issued" : { "date-parts" : [ [ "1999" ] ] }, "title" : "Norms, institutions, and national identity in contemporary Europe", "type" : "article-journal" }, "uris" : [ "http://www.mendeley.com/documents/?uuid=cacb6d4b-99a1-301e-83f6-a92fe69a85c0" ] } ], "mendeley" : { "formattedCitation" : "(Checkel 1999)", "plainTextFormattedCitation" : "(Checkel 1999)", "previouslyFormattedCitation" : "(Checkel 1999)" }, "properties" : { "noteIndex" : 0 }, "schema" : "https://github.com/citation-style-language/schema/raw/master/csl-citation.json" }</w:instrText>
      </w:r>
      <w:r w:rsidR="00C959FF" w:rsidRPr="002B0075">
        <w:rPr>
          <w:rFonts w:ascii="Times New Roman" w:hAnsi="Times New Roman" w:cs="Times New Roman"/>
          <w:color w:val="000000" w:themeColor="text1"/>
          <w:sz w:val="20"/>
          <w:szCs w:val="20"/>
        </w:rPr>
        <w:fldChar w:fldCharType="separate"/>
      </w:r>
      <w:r w:rsidR="00C959FF" w:rsidRPr="002B0075">
        <w:rPr>
          <w:rFonts w:ascii="Times New Roman" w:hAnsi="Times New Roman" w:cs="Times New Roman"/>
          <w:color w:val="000000" w:themeColor="text1"/>
          <w:sz w:val="20"/>
          <w:szCs w:val="20"/>
        </w:rPr>
        <w:t>(Checkel 1999)</w:t>
      </w:r>
      <w:r w:rsidR="00C959FF" w:rsidRPr="002B0075">
        <w:rPr>
          <w:rFonts w:ascii="Times New Roman" w:hAnsi="Times New Roman" w:cs="Times New Roman"/>
          <w:color w:val="000000" w:themeColor="text1"/>
          <w:sz w:val="20"/>
          <w:szCs w:val="20"/>
        </w:rPr>
        <w:fldChar w:fldCharType="end"/>
      </w:r>
      <w:r w:rsidR="00C959FF" w:rsidRPr="002B0075">
        <w:rPr>
          <w:rFonts w:ascii="Times New Roman" w:hAnsi="Times New Roman" w:cs="Times New Roman"/>
          <w:color w:val="000000" w:themeColor="text1"/>
          <w:sz w:val="20"/>
          <w:szCs w:val="20"/>
        </w:rPr>
        <w:t>. Nevertheless, in empirical cases, perfect matches rarely happen. Due to the incompatibility between external practices and local norms, there is always a degree of friction between norm-sender and recipient, which leads to different and complicated adoption processes and diffusion outcomes (</w:t>
      </w:r>
      <w:proofErr w:type="spellStart"/>
      <w:r w:rsidR="00C959FF" w:rsidRPr="002B0075">
        <w:rPr>
          <w:rFonts w:ascii="Times New Roman" w:hAnsi="Times New Roman" w:cs="Times New Roman"/>
          <w:color w:val="000000" w:themeColor="text1"/>
          <w:sz w:val="20"/>
          <w:szCs w:val="20"/>
        </w:rPr>
        <w:t>Risse</w:t>
      </w:r>
      <w:proofErr w:type="spellEnd"/>
      <w:r w:rsidR="00C959FF" w:rsidRPr="002B0075">
        <w:rPr>
          <w:rFonts w:ascii="Times New Roman" w:hAnsi="Times New Roman" w:cs="Times New Roman"/>
          <w:color w:val="000000" w:themeColor="text1"/>
          <w:sz w:val="20"/>
          <w:szCs w:val="20"/>
        </w:rPr>
        <w:t xml:space="preserve"> 2016). </w:t>
      </w:r>
    </w:p>
    <w:p w14:paraId="1AB54A6F" w14:textId="77777777" w:rsidR="00C959FF" w:rsidRPr="002B0075" w:rsidRDefault="00C959FF" w:rsidP="00514E1A">
      <w:pPr>
        <w:jc w:val="both"/>
        <w:rPr>
          <w:rFonts w:ascii="Times New Roman" w:hAnsi="Times New Roman" w:cs="Times New Roman"/>
          <w:color w:val="000000" w:themeColor="text1"/>
          <w:sz w:val="20"/>
          <w:szCs w:val="20"/>
        </w:rPr>
      </w:pPr>
    </w:p>
    <w:p w14:paraId="332C8DC6" w14:textId="67CBF9D0" w:rsidR="00402256" w:rsidRPr="002B0075" w:rsidRDefault="00ED4494"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Specifically, t</w:t>
      </w:r>
      <w:r w:rsidR="004A6F37" w:rsidRPr="002B0075">
        <w:rPr>
          <w:rFonts w:ascii="Times New Roman" w:hAnsi="Times New Roman" w:cs="Times New Roman"/>
          <w:color w:val="000000" w:themeColor="text1"/>
          <w:sz w:val="20"/>
          <w:szCs w:val="20"/>
        </w:rPr>
        <w:t xml:space="preserve">hree </w:t>
      </w:r>
      <w:r w:rsidR="00DA7B06" w:rsidRPr="002B0075">
        <w:rPr>
          <w:rFonts w:ascii="Times New Roman" w:hAnsi="Times New Roman" w:cs="Times New Roman"/>
          <w:color w:val="000000" w:themeColor="text1"/>
          <w:sz w:val="20"/>
          <w:szCs w:val="20"/>
        </w:rPr>
        <w:t>broad categories</w:t>
      </w:r>
      <w:r w:rsidR="004A6F37" w:rsidRPr="002B0075">
        <w:rPr>
          <w:rFonts w:ascii="Times New Roman" w:hAnsi="Times New Roman" w:cs="Times New Roman"/>
          <w:color w:val="000000" w:themeColor="text1"/>
          <w:sz w:val="20"/>
          <w:szCs w:val="20"/>
        </w:rPr>
        <w:t xml:space="preserve"> of diffusion outcomes have been identified in </w:t>
      </w:r>
      <w:r w:rsidR="00402256" w:rsidRPr="002B0075">
        <w:rPr>
          <w:rFonts w:ascii="Times New Roman" w:hAnsi="Times New Roman" w:cs="Times New Roman"/>
          <w:color w:val="000000" w:themeColor="text1"/>
          <w:sz w:val="20"/>
          <w:szCs w:val="20"/>
        </w:rPr>
        <w:t xml:space="preserve">mainstream </w:t>
      </w:r>
      <w:r w:rsidR="004A6F37" w:rsidRPr="002B0075">
        <w:rPr>
          <w:rFonts w:ascii="Times New Roman" w:hAnsi="Times New Roman" w:cs="Times New Roman"/>
          <w:color w:val="000000" w:themeColor="text1"/>
          <w:sz w:val="20"/>
          <w:szCs w:val="20"/>
        </w:rPr>
        <w:t>diffusion literature. The first type of diffusion outcome is full convergence or wholesale adoption of norms, institutions, or policy settings (</w:t>
      </w:r>
      <w:proofErr w:type="spellStart"/>
      <w:r w:rsidR="004F7D64" w:rsidRPr="002B0075">
        <w:rPr>
          <w:rFonts w:ascii="Times New Roman" w:hAnsi="Times New Roman" w:cs="Times New Roman"/>
          <w:color w:val="000000" w:themeColor="text1"/>
          <w:sz w:val="20"/>
          <w:szCs w:val="20"/>
        </w:rPr>
        <w:t>Bjorkdahl</w:t>
      </w:r>
      <w:proofErr w:type="spellEnd"/>
      <w:r w:rsidR="004F7D64" w:rsidRPr="002B0075">
        <w:rPr>
          <w:rFonts w:ascii="Times New Roman" w:hAnsi="Times New Roman" w:cs="Times New Roman"/>
          <w:color w:val="000000" w:themeColor="text1"/>
          <w:sz w:val="20"/>
          <w:szCs w:val="20"/>
        </w:rPr>
        <w:t xml:space="preserve"> et al. 2015; </w:t>
      </w:r>
      <w:r w:rsidR="004A6F37" w:rsidRPr="002B0075">
        <w:rPr>
          <w:rFonts w:ascii="Times New Roman" w:hAnsi="Times New Roman" w:cs="Times New Roman"/>
          <w:color w:val="000000" w:themeColor="text1"/>
          <w:sz w:val="20"/>
          <w:szCs w:val="20"/>
        </w:rPr>
        <w:t>Klinger-</w:t>
      </w:r>
      <w:proofErr w:type="spellStart"/>
      <w:r w:rsidR="004A6F37" w:rsidRPr="002B0075">
        <w:rPr>
          <w:rFonts w:ascii="Times New Roman" w:hAnsi="Times New Roman" w:cs="Times New Roman"/>
          <w:color w:val="000000" w:themeColor="text1"/>
          <w:sz w:val="20"/>
          <w:szCs w:val="20"/>
        </w:rPr>
        <w:t>Vidra</w:t>
      </w:r>
      <w:proofErr w:type="spellEnd"/>
      <w:r w:rsidR="004A6F37" w:rsidRPr="002B0075">
        <w:rPr>
          <w:rFonts w:ascii="Times New Roman" w:hAnsi="Times New Roman" w:cs="Times New Roman"/>
          <w:color w:val="000000" w:themeColor="text1"/>
          <w:sz w:val="20"/>
          <w:szCs w:val="20"/>
        </w:rPr>
        <w:t xml:space="preserve"> and Schleifer 2014;</w:t>
      </w:r>
      <w:r w:rsidR="004F7D64" w:rsidRPr="002B0075">
        <w:rPr>
          <w:rFonts w:ascii="Times New Roman" w:hAnsi="Times New Roman" w:cs="Times New Roman"/>
          <w:color w:val="000000" w:themeColor="text1"/>
          <w:sz w:val="20"/>
          <w:szCs w:val="20"/>
        </w:rPr>
        <w:t xml:space="preserve"> </w:t>
      </w:r>
      <w:proofErr w:type="spellStart"/>
      <w:r w:rsidR="004F7D64" w:rsidRPr="002B0075">
        <w:rPr>
          <w:rFonts w:ascii="Times New Roman" w:hAnsi="Times New Roman" w:cs="Times New Roman"/>
          <w:color w:val="000000" w:themeColor="text1"/>
          <w:sz w:val="20"/>
          <w:szCs w:val="20"/>
        </w:rPr>
        <w:t>Risse</w:t>
      </w:r>
      <w:proofErr w:type="spellEnd"/>
      <w:r w:rsidR="004F7D64" w:rsidRPr="002B0075">
        <w:rPr>
          <w:rFonts w:ascii="Times New Roman" w:hAnsi="Times New Roman" w:cs="Times New Roman"/>
          <w:color w:val="000000" w:themeColor="text1"/>
          <w:sz w:val="20"/>
          <w:szCs w:val="20"/>
        </w:rPr>
        <w:t xml:space="preserve"> 2016</w:t>
      </w:r>
      <w:r w:rsidR="004A6F37" w:rsidRPr="002B0075">
        <w:rPr>
          <w:rFonts w:ascii="Times New Roman" w:hAnsi="Times New Roman" w:cs="Times New Roman"/>
          <w:color w:val="000000" w:themeColor="text1"/>
          <w:sz w:val="20"/>
          <w:szCs w:val="20"/>
        </w:rPr>
        <w:t>). Numerous diffusion studies suggest, however, that full or complete convergence rarely happens in practice (Klinger-</w:t>
      </w:r>
      <w:proofErr w:type="spellStart"/>
      <w:r w:rsidR="004A6F37" w:rsidRPr="002B0075">
        <w:rPr>
          <w:rFonts w:ascii="Times New Roman" w:hAnsi="Times New Roman" w:cs="Times New Roman"/>
          <w:color w:val="000000" w:themeColor="text1"/>
          <w:sz w:val="20"/>
          <w:szCs w:val="20"/>
        </w:rPr>
        <w:t>Vidra</w:t>
      </w:r>
      <w:proofErr w:type="spellEnd"/>
      <w:r w:rsidR="004A6F37" w:rsidRPr="002B0075">
        <w:rPr>
          <w:rFonts w:ascii="Times New Roman" w:hAnsi="Times New Roman" w:cs="Times New Roman"/>
          <w:color w:val="000000" w:themeColor="text1"/>
          <w:sz w:val="20"/>
          <w:szCs w:val="20"/>
        </w:rPr>
        <w:t xml:space="preserve"> and Schleifer 2014). The second type of outcome can be referred to as selective adoption or adaptation: the differential and partial adoption of norms, institutions and policies, adjusting </w:t>
      </w:r>
      <w:r w:rsidR="004A6F37" w:rsidRPr="002B0075">
        <w:rPr>
          <w:rFonts w:ascii="Times New Roman" w:hAnsi="Times New Roman" w:cs="Times New Roman"/>
          <w:color w:val="000000" w:themeColor="text1"/>
          <w:sz w:val="20"/>
          <w:szCs w:val="20"/>
        </w:rPr>
        <w:lastRenderedPageBreak/>
        <w:t>them to particular local contexts (</w:t>
      </w:r>
      <w:proofErr w:type="spellStart"/>
      <w:r w:rsidR="004A6F37" w:rsidRPr="002B0075">
        <w:rPr>
          <w:rFonts w:ascii="Times New Roman" w:hAnsi="Times New Roman" w:cs="Times New Roman"/>
          <w:color w:val="000000" w:themeColor="text1"/>
          <w:sz w:val="20"/>
          <w:szCs w:val="20"/>
        </w:rPr>
        <w:t>Risse</w:t>
      </w:r>
      <w:proofErr w:type="spellEnd"/>
      <w:r w:rsidR="004A6F37" w:rsidRPr="002B0075">
        <w:rPr>
          <w:rFonts w:ascii="Times New Roman" w:hAnsi="Times New Roman" w:cs="Times New Roman"/>
          <w:color w:val="000000" w:themeColor="text1"/>
          <w:sz w:val="20"/>
          <w:szCs w:val="20"/>
        </w:rPr>
        <w:t xml:space="preserve"> 2016). The third type of diffusion outcome refers to resistance or rejection, which is characterized by limited import of external norms or practices at the point of adoption (</w:t>
      </w:r>
      <w:proofErr w:type="spellStart"/>
      <w:r w:rsidR="004A6F37" w:rsidRPr="002B0075">
        <w:rPr>
          <w:rFonts w:ascii="Times New Roman" w:hAnsi="Times New Roman" w:cs="Times New Roman"/>
          <w:color w:val="000000" w:themeColor="text1"/>
          <w:sz w:val="20"/>
          <w:szCs w:val="20"/>
        </w:rPr>
        <w:t>Bjorkdahl</w:t>
      </w:r>
      <w:proofErr w:type="spellEnd"/>
      <w:r w:rsidR="004A6F37" w:rsidRPr="002B0075">
        <w:rPr>
          <w:rFonts w:ascii="Times New Roman" w:hAnsi="Times New Roman" w:cs="Times New Roman"/>
          <w:color w:val="000000" w:themeColor="text1"/>
          <w:sz w:val="20"/>
          <w:szCs w:val="20"/>
        </w:rPr>
        <w:t xml:space="preserve"> et al. 2015). In such situations, the targeted recipient explicitly resists or rejects particular normative models or policies promoted by external actors (</w:t>
      </w:r>
      <w:proofErr w:type="spellStart"/>
      <w:r w:rsidR="004A6F37" w:rsidRPr="002B0075">
        <w:rPr>
          <w:rFonts w:ascii="Times New Roman" w:hAnsi="Times New Roman" w:cs="Times New Roman"/>
          <w:color w:val="000000" w:themeColor="text1"/>
          <w:sz w:val="20"/>
          <w:szCs w:val="20"/>
        </w:rPr>
        <w:t>Risse</w:t>
      </w:r>
      <w:proofErr w:type="spellEnd"/>
      <w:r w:rsidR="004A6F37" w:rsidRPr="002B0075">
        <w:rPr>
          <w:rFonts w:ascii="Times New Roman" w:hAnsi="Times New Roman" w:cs="Times New Roman"/>
          <w:color w:val="000000" w:themeColor="text1"/>
          <w:sz w:val="20"/>
          <w:szCs w:val="20"/>
        </w:rPr>
        <w:t xml:space="preserve"> 2016). </w:t>
      </w:r>
      <w:r w:rsidR="004F7D64" w:rsidRPr="002B0075">
        <w:rPr>
          <w:rFonts w:ascii="Times New Roman" w:hAnsi="Times New Roman" w:cs="Times New Roman"/>
          <w:color w:val="000000" w:themeColor="text1"/>
          <w:sz w:val="20"/>
          <w:szCs w:val="20"/>
        </w:rPr>
        <w:t>Building on this perspective, r</w:t>
      </w:r>
      <w:r w:rsidR="00402256" w:rsidRPr="002B0075">
        <w:rPr>
          <w:rFonts w:ascii="Times New Roman" w:hAnsi="Times New Roman" w:cs="Times New Roman"/>
          <w:color w:val="000000" w:themeColor="text1"/>
          <w:sz w:val="20"/>
          <w:szCs w:val="20"/>
        </w:rPr>
        <w:t>ecent diffusion studies</w:t>
      </w:r>
      <w:r w:rsidR="004F7D64" w:rsidRPr="002B0075">
        <w:rPr>
          <w:rFonts w:ascii="Times New Roman" w:hAnsi="Times New Roman" w:cs="Times New Roman"/>
          <w:color w:val="000000" w:themeColor="text1"/>
          <w:sz w:val="20"/>
          <w:szCs w:val="20"/>
        </w:rPr>
        <w:t xml:space="preserve"> further</w:t>
      </w:r>
      <w:r w:rsidR="00402256" w:rsidRPr="002B0075">
        <w:rPr>
          <w:rFonts w:ascii="Times New Roman" w:hAnsi="Times New Roman" w:cs="Times New Roman"/>
          <w:color w:val="000000" w:themeColor="text1"/>
          <w:sz w:val="20"/>
          <w:szCs w:val="20"/>
        </w:rPr>
        <w:t xml:space="preserve"> point out that norm diffusion should be understood as ‘fluid processes’ and that their outcomes should be regarded as neither stable nor complete (Zimmermann 2016: 105). As a result, it is better to evaluate the effectiveness of diffusion based on three phases: (1) whether diffusion items are translated into the recipient’s domestic discursive frames; (2) whether they are translated into law; and (3) whether they are translated into policy implementation (ibid). In line with these criterial, this research develops </w:t>
      </w:r>
      <w:r w:rsidR="004F7D64" w:rsidRPr="002B0075">
        <w:rPr>
          <w:rFonts w:ascii="Times New Roman" w:hAnsi="Times New Roman" w:cs="Times New Roman"/>
          <w:color w:val="000000" w:themeColor="text1"/>
          <w:sz w:val="20"/>
          <w:szCs w:val="20"/>
        </w:rPr>
        <w:t>five</w:t>
      </w:r>
      <w:r w:rsidR="00402256" w:rsidRPr="002B0075">
        <w:rPr>
          <w:rFonts w:ascii="Times New Roman" w:hAnsi="Times New Roman" w:cs="Times New Roman"/>
          <w:color w:val="000000" w:themeColor="text1"/>
          <w:sz w:val="20"/>
          <w:szCs w:val="20"/>
        </w:rPr>
        <w:t xml:space="preserve"> indicators which facilitate the empirical investigation </w:t>
      </w:r>
      <w:r w:rsidR="004F7D64" w:rsidRPr="002B0075">
        <w:rPr>
          <w:rFonts w:ascii="Times New Roman" w:hAnsi="Times New Roman" w:cs="Times New Roman"/>
          <w:color w:val="000000" w:themeColor="text1"/>
          <w:sz w:val="20"/>
          <w:szCs w:val="20"/>
        </w:rPr>
        <w:t>into</w:t>
      </w:r>
      <w:r w:rsidR="00402256" w:rsidRPr="002B0075">
        <w:rPr>
          <w:rFonts w:ascii="Times New Roman" w:hAnsi="Times New Roman" w:cs="Times New Roman"/>
          <w:color w:val="000000" w:themeColor="text1"/>
          <w:sz w:val="20"/>
          <w:szCs w:val="20"/>
        </w:rPr>
        <w:t xml:space="preserve"> the EU’s diffusion outcomes in the context of</w:t>
      </w:r>
      <w:r w:rsidR="007C6514" w:rsidRPr="002B0075">
        <w:rPr>
          <w:rFonts w:ascii="Times New Roman" w:hAnsi="Times New Roman" w:cs="Times New Roman"/>
          <w:color w:val="000000" w:themeColor="text1"/>
          <w:sz w:val="20"/>
          <w:szCs w:val="20"/>
        </w:rPr>
        <w:t xml:space="preserve"> EU-ASEAN relations. Table 1 provides a summary of these empirical </w:t>
      </w:r>
      <w:r w:rsidR="00DD69B5" w:rsidRPr="002B0075">
        <w:rPr>
          <w:rFonts w:ascii="Times New Roman" w:hAnsi="Times New Roman" w:cs="Times New Roman"/>
          <w:color w:val="000000" w:themeColor="text1"/>
          <w:sz w:val="20"/>
          <w:szCs w:val="20"/>
        </w:rPr>
        <w:t>indicators</w:t>
      </w:r>
      <w:r w:rsidR="007C6514" w:rsidRPr="002B0075">
        <w:rPr>
          <w:rFonts w:ascii="Times New Roman" w:hAnsi="Times New Roman" w:cs="Times New Roman"/>
          <w:color w:val="000000" w:themeColor="text1"/>
          <w:sz w:val="20"/>
          <w:szCs w:val="20"/>
        </w:rPr>
        <w:t>.</w:t>
      </w:r>
    </w:p>
    <w:p w14:paraId="1684E0A4" w14:textId="19034AB2" w:rsidR="00322C6C" w:rsidRPr="002B0075" w:rsidRDefault="00322C6C" w:rsidP="00514E1A">
      <w:pPr>
        <w:jc w:val="both"/>
        <w:rPr>
          <w:rFonts w:ascii="Times New Roman" w:hAnsi="Times New Roman" w:cs="Times New Roman"/>
          <w:color w:val="000000" w:themeColor="text1"/>
          <w:sz w:val="20"/>
          <w:szCs w:val="20"/>
        </w:rPr>
      </w:pPr>
    </w:p>
    <w:p w14:paraId="2E5548F6" w14:textId="0DFC8602" w:rsidR="00307041" w:rsidRPr="002B0075" w:rsidRDefault="00307041"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[Insert Table 1]</w:t>
      </w:r>
    </w:p>
    <w:p w14:paraId="2601FE8D" w14:textId="452596A4" w:rsidR="004A6F37" w:rsidRPr="002B0075" w:rsidRDefault="004A6F37" w:rsidP="00514E1A">
      <w:pPr>
        <w:jc w:val="both"/>
        <w:rPr>
          <w:rFonts w:ascii="Times New Roman" w:hAnsi="Times New Roman" w:cs="Times New Roman"/>
          <w:color w:val="000000" w:themeColor="text1"/>
          <w:sz w:val="20"/>
          <w:szCs w:val="20"/>
        </w:rPr>
      </w:pPr>
    </w:p>
    <w:p w14:paraId="16E52532" w14:textId="62E3456D" w:rsidR="00891604" w:rsidRPr="002B0075" w:rsidRDefault="00891604"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As mentioned previously, this study aims to test the following hypothesis which is derived from the diffusion literature: </w:t>
      </w:r>
    </w:p>
    <w:p w14:paraId="194AD531" w14:textId="29F54BEB" w:rsidR="00891604" w:rsidRPr="002B0075" w:rsidRDefault="00891604" w:rsidP="00514E1A">
      <w:pPr>
        <w:jc w:val="both"/>
        <w:rPr>
          <w:rFonts w:ascii="Times New Roman" w:hAnsi="Times New Roman" w:cs="Times New Roman"/>
          <w:color w:val="000000" w:themeColor="text1"/>
          <w:sz w:val="20"/>
          <w:szCs w:val="20"/>
        </w:rPr>
      </w:pPr>
    </w:p>
    <w:p w14:paraId="4E10EC9E" w14:textId="002F5E12" w:rsidR="00891604" w:rsidRPr="002B0075" w:rsidRDefault="00891604" w:rsidP="00891604">
      <w:pPr>
        <w:ind w:left="42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The level of </w:t>
      </w:r>
      <w:r w:rsidRPr="002B0075">
        <w:rPr>
          <w:rFonts w:ascii="Times New Roman" w:hAnsi="Times New Roman" w:cs="Times New Roman"/>
          <w:i/>
          <w:iCs/>
          <w:color w:val="000000" w:themeColor="text1"/>
          <w:sz w:val="20"/>
          <w:szCs w:val="20"/>
        </w:rPr>
        <w:t>specificity</w:t>
      </w:r>
      <w:r w:rsidRPr="002B0075">
        <w:rPr>
          <w:rFonts w:ascii="Times New Roman" w:hAnsi="Times New Roman" w:cs="Times New Roman"/>
          <w:color w:val="000000" w:themeColor="text1"/>
          <w:sz w:val="20"/>
          <w:szCs w:val="20"/>
        </w:rPr>
        <w:t xml:space="preserve"> of diffusion items is causally related to the </w:t>
      </w:r>
      <w:r w:rsidRPr="002B0075">
        <w:rPr>
          <w:rFonts w:ascii="Times New Roman" w:hAnsi="Times New Roman" w:cs="Times New Roman"/>
          <w:i/>
          <w:iCs/>
          <w:color w:val="000000" w:themeColor="text1"/>
          <w:sz w:val="20"/>
          <w:szCs w:val="20"/>
        </w:rPr>
        <w:t>effectiveness</w:t>
      </w:r>
      <w:r w:rsidRPr="002B0075">
        <w:rPr>
          <w:rFonts w:ascii="Times New Roman" w:hAnsi="Times New Roman" w:cs="Times New Roman"/>
          <w:color w:val="000000" w:themeColor="text1"/>
          <w:sz w:val="20"/>
          <w:szCs w:val="20"/>
        </w:rPr>
        <w:t xml:space="preserve"> of diffusion. Specifically, a low degree of specificity of diffusion items is likely to result in less effective diffusion outcomes. Conversely, a high degree of specificity of diffusion item is more likely to generate more effective diffusion outcomes. </w:t>
      </w:r>
    </w:p>
    <w:p w14:paraId="14A24969" w14:textId="048E9495" w:rsidR="006D1B1E" w:rsidRPr="002B0075" w:rsidRDefault="006D1B1E" w:rsidP="00514E1A">
      <w:pPr>
        <w:jc w:val="both"/>
        <w:rPr>
          <w:rFonts w:ascii="Times New Roman" w:hAnsi="Times New Roman" w:cs="Times New Roman"/>
          <w:color w:val="000000" w:themeColor="text1"/>
          <w:sz w:val="20"/>
          <w:szCs w:val="20"/>
        </w:rPr>
      </w:pPr>
    </w:p>
    <w:p w14:paraId="2809A083" w14:textId="2AE494C8" w:rsidR="006D1B1E" w:rsidRPr="002B0075" w:rsidRDefault="00160BEC"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Although the diffusion literature has attempted to explain the effectiveness of norm and policy diffusion by taking into account a wider range of intervening factors such as the diffusion mechanisms and the local context of the recipient (</w:t>
      </w:r>
      <w:proofErr w:type="spellStart"/>
      <w:r w:rsidRPr="002B0075">
        <w:rPr>
          <w:rFonts w:ascii="Times New Roman" w:hAnsi="Times New Roman" w:cs="Times New Roman"/>
          <w:color w:val="000000" w:themeColor="text1"/>
          <w:sz w:val="20"/>
          <w:szCs w:val="20"/>
        </w:rPr>
        <w:t>Risse</w:t>
      </w:r>
      <w:proofErr w:type="spellEnd"/>
      <w:r w:rsidRPr="002B0075">
        <w:rPr>
          <w:rFonts w:ascii="Times New Roman" w:hAnsi="Times New Roman" w:cs="Times New Roman"/>
          <w:color w:val="000000" w:themeColor="text1"/>
          <w:sz w:val="20"/>
          <w:szCs w:val="20"/>
        </w:rPr>
        <w:t xml:space="preserve"> 2016; Klingler-</w:t>
      </w:r>
      <w:proofErr w:type="spellStart"/>
      <w:r w:rsidRPr="002B0075">
        <w:rPr>
          <w:rFonts w:ascii="Times New Roman" w:hAnsi="Times New Roman" w:cs="Times New Roman"/>
          <w:color w:val="000000" w:themeColor="text1"/>
          <w:sz w:val="20"/>
          <w:szCs w:val="20"/>
        </w:rPr>
        <w:t>Vidra</w:t>
      </w:r>
      <w:proofErr w:type="spellEnd"/>
      <w:r w:rsidRPr="002B0075">
        <w:rPr>
          <w:rFonts w:ascii="Times New Roman" w:hAnsi="Times New Roman" w:cs="Times New Roman"/>
          <w:color w:val="000000" w:themeColor="text1"/>
          <w:sz w:val="20"/>
          <w:szCs w:val="20"/>
        </w:rPr>
        <w:t xml:space="preserve"> and Schleifer 2014) , this empirical study will primarily </w:t>
      </w:r>
      <w:r w:rsidR="00CE1300" w:rsidRPr="002B0075">
        <w:rPr>
          <w:rFonts w:ascii="Times New Roman" w:hAnsi="Times New Roman" w:cs="Times New Roman"/>
          <w:color w:val="000000" w:themeColor="text1"/>
          <w:sz w:val="20"/>
          <w:szCs w:val="20"/>
        </w:rPr>
        <w:t>test</w:t>
      </w:r>
      <w:r w:rsidRPr="002B0075">
        <w:rPr>
          <w:rFonts w:ascii="Times New Roman" w:hAnsi="Times New Roman" w:cs="Times New Roman"/>
          <w:color w:val="000000" w:themeColor="text1"/>
          <w:sz w:val="20"/>
          <w:szCs w:val="20"/>
        </w:rPr>
        <w:t xml:space="preserve"> the above mentioned hypothesis with a particular emphasis on the relationship between the specificity of EU diffusion items and the effectiveness of diffusion outcome. </w:t>
      </w:r>
    </w:p>
    <w:p w14:paraId="77B98EA0" w14:textId="77777777" w:rsidR="00891604" w:rsidRPr="002B0075" w:rsidRDefault="00891604" w:rsidP="00514E1A">
      <w:pPr>
        <w:jc w:val="both"/>
        <w:rPr>
          <w:rFonts w:ascii="Times New Roman" w:hAnsi="Times New Roman" w:cs="Times New Roman"/>
          <w:color w:val="000000" w:themeColor="text1"/>
          <w:sz w:val="20"/>
          <w:szCs w:val="20"/>
        </w:rPr>
      </w:pPr>
    </w:p>
    <w:p w14:paraId="358F2DA8" w14:textId="55DF89C8" w:rsidR="004A6F37" w:rsidRPr="002B0075" w:rsidRDefault="00546A01" w:rsidP="004428FA">
      <w:pPr>
        <w:pStyle w:val="aa"/>
        <w:numPr>
          <w:ilvl w:val="0"/>
          <w:numId w:val="15"/>
        </w:numPr>
        <w:ind w:firstLineChars="0"/>
        <w:jc w:val="both"/>
        <w:rPr>
          <w:rFonts w:cs="Times New Roman"/>
          <w:b/>
          <w:bCs/>
          <w:color w:val="000000" w:themeColor="text1"/>
          <w:sz w:val="20"/>
          <w:szCs w:val="20"/>
        </w:rPr>
      </w:pPr>
      <w:r w:rsidRPr="002B0075">
        <w:rPr>
          <w:rFonts w:cs="Times New Roman"/>
          <w:b/>
          <w:bCs/>
          <w:color w:val="000000" w:themeColor="text1"/>
          <w:sz w:val="20"/>
          <w:szCs w:val="20"/>
        </w:rPr>
        <w:t>Unpacking the EU’s projection of normative power: analysing EU diffusion of security norm-cluster in ASEAN</w:t>
      </w:r>
    </w:p>
    <w:p w14:paraId="7BB5A654" w14:textId="77777777" w:rsidR="001A52FF" w:rsidRPr="002B0075" w:rsidRDefault="001A52FF" w:rsidP="00B64CCA">
      <w:pPr>
        <w:pStyle w:val="aa"/>
        <w:ind w:left="360" w:firstLineChars="0" w:firstLine="0"/>
        <w:jc w:val="both"/>
        <w:rPr>
          <w:rFonts w:eastAsia="宋体" w:cs="Times New Roman"/>
          <w:color w:val="000000" w:themeColor="text1"/>
          <w:kern w:val="0"/>
          <w:sz w:val="20"/>
          <w:szCs w:val="20"/>
        </w:rPr>
      </w:pPr>
    </w:p>
    <w:p w14:paraId="3C379505" w14:textId="40674340" w:rsidR="00B64CCA" w:rsidRPr="002B0075" w:rsidRDefault="001A52FF" w:rsidP="00B64CC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Whilst the previous section discusses the analytical framework, this section applies this framework to analyse an empirical case study which examines the EU’s diffusion of security-related norm-cluster in ASEAN. </w:t>
      </w:r>
      <w:r w:rsidR="00B64CCA" w:rsidRPr="002B0075">
        <w:rPr>
          <w:rFonts w:ascii="Times New Roman" w:hAnsi="Times New Roman" w:cs="Times New Roman"/>
          <w:color w:val="000000" w:themeColor="text1"/>
          <w:sz w:val="20"/>
          <w:szCs w:val="20"/>
        </w:rPr>
        <w:t xml:space="preserve">The existing literature on ASEAN regional integration and comparative regionalism tends to support the view that ASEAN has become a regional model </w:t>
      </w:r>
      <w:proofErr w:type="gramStart"/>
      <w:r w:rsidR="00B64CCA" w:rsidRPr="002B0075">
        <w:rPr>
          <w:rFonts w:ascii="Times New Roman" w:hAnsi="Times New Roman" w:cs="Times New Roman"/>
          <w:color w:val="000000" w:themeColor="text1"/>
          <w:sz w:val="20"/>
          <w:szCs w:val="20"/>
        </w:rPr>
        <w:t>in its own right rather</w:t>
      </w:r>
      <w:proofErr w:type="gramEnd"/>
      <w:r w:rsidR="00B64CCA" w:rsidRPr="002B0075">
        <w:rPr>
          <w:rFonts w:ascii="Times New Roman" w:hAnsi="Times New Roman" w:cs="Times New Roman"/>
          <w:color w:val="000000" w:themeColor="text1"/>
          <w:sz w:val="20"/>
          <w:szCs w:val="20"/>
        </w:rPr>
        <w:t xml:space="preserve"> than being a reflection of any European paradigm (Acharya 2009). Considering the major differences between the EU and ASEAN states in terms of economy, history, political regime type, and geopolitical environments, the consensus view is that ‘anything comparable’ to the EU is unlikely to develop in ASEAN and the Asia–Pacific region (</w:t>
      </w:r>
      <w:proofErr w:type="spellStart"/>
      <w:r w:rsidR="00B64CCA" w:rsidRPr="002B0075">
        <w:rPr>
          <w:rFonts w:ascii="Times New Roman" w:hAnsi="Times New Roman" w:cs="Times New Roman"/>
          <w:color w:val="000000" w:themeColor="text1"/>
          <w:sz w:val="20"/>
          <w:szCs w:val="20"/>
        </w:rPr>
        <w:t>Narine</w:t>
      </w:r>
      <w:proofErr w:type="spellEnd"/>
      <w:r w:rsidR="00B64CCA" w:rsidRPr="002B0075">
        <w:rPr>
          <w:rFonts w:ascii="Times New Roman" w:hAnsi="Times New Roman" w:cs="Times New Roman"/>
          <w:color w:val="000000" w:themeColor="text1"/>
          <w:sz w:val="20"/>
          <w:szCs w:val="20"/>
        </w:rPr>
        <w:t xml:space="preserve"> 2009:3). Most existing research therefore considers ASEAN an unlikely case for the diffusion of EU norms and policies in general and in security issues in particular, given that ASEAN has placed a set of norms associated with the ASEAN Way of diplomacy (e.g. non-interference, respect for sovereignty, informal consultation) at the centre of its internal security community-building as well as external security relations (Acharya 2004; Katsumata 2006). Moreover, according to </w:t>
      </w:r>
      <w:r w:rsidR="0095110A" w:rsidRPr="002B0075">
        <w:rPr>
          <w:rFonts w:ascii="Times New Roman" w:hAnsi="Times New Roman" w:cs="Times New Roman"/>
          <w:color w:val="000000" w:themeColor="text1"/>
          <w:sz w:val="20"/>
          <w:szCs w:val="20"/>
        </w:rPr>
        <w:t>the existing</w:t>
      </w:r>
      <w:r w:rsidR="00B64CCA" w:rsidRPr="002B0075">
        <w:rPr>
          <w:rFonts w:ascii="Times New Roman" w:hAnsi="Times New Roman" w:cs="Times New Roman"/>
          <w:color w:val="000000" w:themeColor="text1"/>
          <w:sz w:val="20"/>
          <w:szCs w:val="20"/>
        </w:rPr>
        <w:t xml:space="preserve"> </w:t>
      </w:r>
      <w:r w:rsidR="00B64CCA" w:rsidRPr="002B0075">
        <w:rPr>
          <w:rFonts w:ascii="Times New Roman" w:hAnsi="Times New Roman" w:cs="Times New Roman"/>
          <w:color w:val="000000" w:themeColor="text1"/>
          <w:sz w:val="20"/>
          <w:szCs w:val="20"/>
        </w:rPr>
        <w:lastRenderedPageBreak/>
        <w:t>studies on ASEAN security governance</w:t>
      </w:r>
      <w:r w:rsidR="0095110A" w:rsidRPr="002B0075">
        <w:rPr>
          <w:rFonts w:ascii="Times New Roman" w:hAnsi="Times New Roman" w:cs="Times New Roman"/>
          <w:color w:val="000000" w:themeColor="text1"/>
          <w:sz w:val="20"/>
          <w:szCs w:val="20"/>
        </w:rPr>
        <w:t xml:space="preserve"> (Caballero-Anthony 201</w:t>
      </w:r>
      <w:r w:rsidR="000A4524" w:rsidRPr="002B0075">
        <w:rPr>
          <w:rFonts w:ascii="Times New Roman" w:hAnsi="Times New Roman" w:cs="Times New Roman"/>
          <w:color w:val="000000" w:themeColor="text1"/>
          <w:sz w:val="20"/>
          <w:szCs w:val="20"/>
        </w:rPr>
        <w:t>9</w:t>
      </w:r>
      <w:r w:rsidR="0095110A" w:rsidRPr="002B0075">
        <w:rPr>
          <w:rFonts w:ascii="Times New Roman" w:hAnsi="Times New Roman" w:cs="Times New Roman"/>
          <w:color w:val="000000" w:themeColor="text1"/>
          <w:sz w:val="20"/>
          <w:szCs w:val="20"/>
        </w:rPr>
        <w:t>)</w:t>
      </w:r>
      <w:r w:rsidR="00B64CCA" w:rsidRPr="002B0075">
        <w:rPr>
          <w:rFonts w:ascii="Times New Roman" w:hAnsi="Times New Roman" w:cs="Times New Roman"/>
          <w:color w:val="000000" w:themeColor="text1"/>
          <w:sz w:val="20"/>
          <w:szCs w:val="20"/>
        </w:rPr>
        <w:t xml:space="preserve">, the development of ASEAN’s regional security policies and architecture has mainly been influenced by endogenous factors within Southeast Asia or the Asia-Pacific region, such as power rivalry between the US and China, and ASEAN’s cognitive prior and domestic factors. This implies that the formation of ASEAN’s security policies is isolated from or independent of other regional actors. </w:t>
      </w:r>
    </w:p>
    <w:p w14:paraId="221E616F" w14:textId="028C9BB8" w:rsidR="00B64CCA" w:rsidRPr="002B0075" w:rsidRDefault="00B64CCA" w:rsidP="00B64CCA">
      <w:pPr>
        <w:jc w:val="both"/>
        <w:rPr>
          <w:rFonts w:ascii="Times New Roman" w:hAnsi="Times New Roman" w:cs="Times New Roman"/>
          <w:color w:val="000000" w:themeColor="text1"/>
          <w:sz w:val="20"/>
          <w:szCs w:val="20"/>
        </w:rPr>
      </w:pPr>
    </w:p>
    <w:p w14:paraId="694361D2" w14:textId="4FAF332C" w:rsidR="00B64CCA" w:rsidRPr="002B0075" w:rsidRDefault="00B64CCA" w:rsidP="00B64CC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However, after conducting a more nuanced investigation into recent developments in ASEAN security policy, this research detected an increasing level of convergence between the EU and ASEAN in certain security-related ideas, policies and institutional settings, which implies that a process of interdependent norm and policy diffusion may be taking place. For instance, in the years following the establishment of EU civil protection mechanisms, ASEAN adopted numerous new initiatives, exemplified by the adoption of a legally binding accord, </w:t>
      </w:r>
      <w:r w:rsidR="00AF2E3C" w:rsidRPr="002B0075">
        <w:rPr>
          <w:rFonts w:ascii="Times New Roman" w:hAnsi="Times New Roman" w:cs="Times New Roman"/>
          <w:color w:val="000000" w:themeColor="text1"/>
          <w:sz w:val="20"/>
          <w:szCs w:val="20"/>
        </w:rPr>
        <w:t>the ASEAN Agreement on Disaster Management and Emergency Response (</w:t>
      </w:r>
      <w:r w:rsidRPr="002B0075">
        <w:rPr>
          <w:rFonts w:ascii="Times New Roman" w:hAnsi="Times New Roman" w:cs="Times New Roman"/>
          <w:color w:val="000000" w:themeColor="text1"/>
          <w:sz w:val="20"/>
          <w:szCs w:val="20"/>
        </w:rPr>
        <w:t>AADMER</w:t>
      </w:r>
      <w:r w:rsidR="00AF2E3C"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and a formal institution, the AHA Centre, both of which are comparable to the institutional settings in the EU in the same policy area (</w:t>
      </w:r>
      <w:proofErr w:type="spellStart"/>
      <w:r w:rsidRPr="002B0075">
        <w:rPr>
          <w:rFonts w:ascii="Times New Roman" w:hAnsi="Times New Roman" w:cs="Times New Roman"/>
          <w:color w:val="000000" w:themeColor="text1"/>
          <w:sz w:val="20"/>
          <w:szCs w:val="20"/>
        </w:rPr>
        <w:t>Pennisi</w:t>
      </w:r>
      <w:proofErr w:type="spellEnd"/>
      <w:r w:rsidRPr="002B0075">
        <w:rPr>
          <w:rFonts w:ascii="Times New Roman" w:hAnsi="Times New Roman" w:cs="Times New Roman"/>
          <w:color w:val="000000" w:themeColor="text1"/>
          <w:sz w:val="20"/>
          <w:szCs w:val="20"/>
        </w:rPr>
        <w:t xml:space="preserve"> di </w:t>
      </w:r>
      <w:proofErr w:type="spellStart"/>
      <w:r w:rsidRPr="002B0075">
        <w:rPr>
          <w:rFonts w:ascii="Times New Roman" w:hAnsi="Times New Roman" w:cs="Times New Roman"/>
          <w:color w:val="000000" w:themeColor="text1"/>
          <w:sz w:val="20"/>
          <w:szCs w:val="20"/>
        </w:rPr>
        <w:t>Floristella</w:t>
      </w:r>
      <w:proofErr w:type="spellEnd"/>
      <w:r w:rsidRPr="002B0075">
        <w:rPr>
          <w:rFonts w:ascii="Times New Roman" w:hAnsi="Times New Roman" w:cs="Times New Roman"/>
          <w:color w:val="000000" w:themeColor="text1"/>
          <w:sz w:val="20"/>
          <w:szCs w:val="20"/>
        </w:rPr>
        <w:t xml:space="preserve"> 2015). In addition, ASEAN has recently established the ASEAN Chemical, Biological and Radiological (CBR) Network, which aims to strengthen regional counter-terrorism preparedness and cooperation against CBR threats. This initiative illustrates ASEAN’s increasing commitment to build a regional framework to address CBR risks as well as a more integrated approach to cross-cutting security challenges (e.g. integrating counterterrorism and CBR issues); this resonates with the EU’s integrated, all-hazards and regional approach to Chemical, Biological, Radiological and Nuclear (CBRN) security challenges. In recent years, ASEAN policymakers have also started to consider introducing a common ASEAN visa mirroring the EU’s Schengen agreement, partly as a result of increasing challenges to border security and regional human mobility (Border Management 2018). </w:t>
      </w:r>
    </w:p>
    <w:p w14:paraId="590CA0BC" w14:textId="77777777" w:rsidR="00B64CCA" w:rsidRPr="002B0075" w:rsidRDefault="00B64CCA" w:rsidP="00B64CCA">
      <w:pPr>
        <w:jc w:val="both"/>
        <w:rPr>
          <w:rFonts w:ascii="Times New Roman" w:hAnsi="Times New Roman" w:cs="Times New Roman"/>
          <w:color w:val="000000" w:themeColor="text1"/>
          <w:sz w:val="20"/>
          <w:szCs w:val="20"/>
        </w:rPr>
      </w:pPr>
    </w:p>
    <w:p w14:paraId="547F3845" w14:textId="32DE34F9" w:rsidR="00B64CCA" w:rsidRPr="002B0075" w:rsidRDefault="00B64CCA" w:rsidP="00B64CC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These observations suggest an increasing degree of convergence between ASEAN and the EU in</w:t>
      </w:r>
      <w:r w:rsidR="00BC3A28" w:rsidRPr="002B0075">
        <w:rPr>
          <w:rFonts w:ascii="Times New Roman" w:hAnsi="Times New Roman" w:cs="Times New Roman"/>
          <w:color w:val="000000" w:themeColor="text1"/>
          <w:sz w:val="20"/>
          <w:szCs w:val="20"/>
        </w:rPr>
        <w:t xml:space="preserve"> numerous</w:t>
      </w:r>
      <w:r w:rsidRPr="002B0075">
        <w:rPr>
          <w:rFonts w:ascii="Times New Roman" w:hAnsi="Times New Roman" w:cs="Times New Roman"/>
          <w:color w:val="000000" w:themeColor="text1"/>
          <w:sz w:val="20"/>
          <w:szCs w:val="20"/>
        </w:rPr>
        <w:t xml:space="preserve"> security-related policy areas. It is therefore worth asking: is this increased convergence a result of the EU’s diffusion of security norm-cluster in ASEAN? Based on the findings of this research, the argument is twofold: first</w:t>
      </w:r>
      <w:r w:rsidR="00525FD3" w:rsidRPr="002B0075">
        <w:rPr>
          <w:rFonts w:ascii="Times New Roman" w:hAnsi="Times New Roman" w:cs="Times New Roman"/>
          <w:color w:val="000000" w:themeColor="text1"/>
          <w:sz w:val="20"/>
          <w:szCs w:val="20"/>
        </w:rPr>
        <w:t xml:space="preserve">, despite the fact that the EU has increasingly come to view ASEAN as an equal partner and has significantly toned down its norm-exporter rhetoric in its relations with ASEAN (Chen 2018), an active process of the EU’s diffusion of security norm-cluster can still be observed at empirical level. </w:t>
      </w:r>
      <w:r w:rsidR="0095110A" w:rsidRPr="002B0075">
        <w:rPr>
          <w:rFonts w:ascii="Times New Roman" w:hAnsi="Times New Roman" w:cs="Times New Roman"/>
          <w:color w:val="000000" w:themeColor="text1"/>
          <w:sz w:val="20"/>
          <w:szCs w:val="20"/>
        </w:rPr>
        <w:t>T</w:t>
      </w:r>
      <w:r w:rsidRPr="002B0075">
        <w:rPr>
          <w:rFonts w:ascii="Times New Roman" w:hAnsi="Times New Roman" w:cs="Times New Roman"/>
          <w:color w:val="000000" w:themeColor="text1"/>
          <w:sz w:val="20"/>
          <w:szCs w:val="20"/>
        </w:rPr>
        <w:t xml:space="preserve">he EU’s </w:t>
      </w:r>
      <w:r w:rsidR="0095110A" w:rsidRPr="002B0075">
        <w:rPr>
          <w:rFonts w:ascii="Times New Roman" w:hAnsi="Times New Roman" w:cs="Times New Roman"/>
          <w:color w:val="000000" w:themeColor="text1"/>
          <w:sz w:val="20"/>
          <w:szCs w:val="20"/>
        </w:rPr>
        <w:t>diffusion</w:t>
      </w:r>
      <w:r w:rsidRPr="002B0075">
        <w:rPr>
          <w:rFonts w:ascii="Times New Roman" w:hAnsi="Times New Roman" w:cs="Times New Roman"/>
          <w:color w:val="000000" w:themeColor="text1"/>
          <w:sz w:val="20"/>
          <w:szCs w:val="20"/>
        </w:rPr>
        <w:t xml:space="preserve"> has primarily revolved around three overarching security norms—sustainable peace, soft security regionalism and Rule of Law—across </w:t>
      </w:r>
      <w:proofErr w:type="gramStart"/>
      <w:r w:rsidRPr="002B0075">
        <w:rPr>
          <w:rFonts w:ascii="Times New Roman" w:hAnsi="Times New Roman" w:cs="Times New Roman"/>
          <w:color w:val="000000" w:themeColor="text1"/>
          <w:sz w:val="20"/>
          <w:szCs w:val="20"/>
        </w:rPr>
        <w:t>a number of</w:t>
      </w:r>
      <w:proofErr w:type="gramEnd"/>
      <w:r w:rsidRPr="002B0075">
        <w:rPr>
          <w:rFonts w:ascii="Times New Roman" w:hAnsi="Times New Roman" w:cs="Times New Roman"/>
          <w:color w:val="000000" w:themeColor="text1"/>
          <w:sz w:val="20"/>
          <w:szCs w:val="20"/>
        </w:rPr>
        <w:t xml:space="preserve"> security areas. Second, although ASEAN’s domestic conditions played a significant role in determining its security policy agendas, the possibility cannot be discounted that EU norms and policies may have contributed to some of the variance in ASEAN security policies, especially as some of the EU’s diffusion items began to gain traction among ASEAN stakeholders.</w:t>
      </w:r>
    </w:p>
    <w:p w14:paraId="673EA4C1" w14:textId="77777777" w:rsidR="00B64CCA" w:rsidRPr="002B0075" w:rsidRDefault="00B64CCA" w:rsidP="00B64CCA">
      <w:pPr>
        <w:jc w:val="both"/>
        <w:rPr>
          <w:rFonts w:ascii="Times New Roman" w:hAnsi="Times New Roman" w:cs="Times New Roman"/>
          <w:color w:val="000000" w:themeColor="text1"/>
          <w:sz w:val="20"/>
          <w:szCs w:val="20"/>
        </w:rPr>
      </w:pPr>
    </w:p>
    <w:p w14:paraId="72BBF843" w14:textId="77777777" w:rsidR="004A6F37" w:rsidRPr="002B0075" w:rsidRDefault="004A6F37" w:rsidP="00514E1A">
      <w:pPr>
        <w:jc w:val="both"/>
        <w:rPr>
          <w:rFonts w:ascii="Times New Roman" w:hAnsi="Times New Roman" w:cs="Times New Roman"/>
          <w:color w:val="000000" w:themeColor="text1"/>
          <w:sz w:val="20"/>
          <w:szCs w:val="20"/>
        </w:rPr>
      </w:pPr>
    </w:p>
    <w:p w14:paraId="30301FEC" w14:textId="72AEE9DE" w:rsidR="004A6F37" w:rsidRPr="002B0075" w:rsidRDefault="004A6F37" w:rsidP="004428FA">
      <w:pPr>
        <w:pStyle w:val="aa"/>
        <w:numPr>
          <w:ilvl w:val="1"/>
          <w:numId w:val="15"/>
        </w:numPr>
        <w:ind w:firstLineChars="0"/>
        <w:jc w:val="both"/>
        <w:rPr>
          <w:rFonts w:cs="Times New Roman"/>
          <w:b/>
          <w:bCs/>
          <w:color w:val="000000" w:themeColor="text1"/>
          <w:sz w:val="20"/>
          <w:szCs w:val="20"/>
        </w:rPr>
      </w:pPr>
      <w:r w:rsidRPr="002B0075">
        <w:rPr>
          <w:rFonts w:cs="Times New Roman"/>
          <w:b/>
          <w:bCs/>
          <w:color w:val="000000" w:themeColor="text1"/>
          <w:sz w:val="20"/>
          <w:szCs w:val="20"/>
        </w:rPr>
        <w:t>Specifying diffusion items</w:t>
      </w:r>
      <w:r w:rsidR="00C566FA" w:rsidRPr="002B0075">
        <w:rPr>
          <w:rFonts w:cs="Times New Roman"/>
          <w:b/>
          <w:bCs/>
          <w:color w:val="000000" w:themeColor="text1"/>
          <w:sz w:val="20"/>
          <w:szCs w:val="20"/>
        </w:rPr>
        <w:t>: EU security norm-cluster</w:t>
      </w:r>
    </w:p>
    <w:p w14:paraId="414564B2" w14:textId="77777777" w:rsidR="004A6F37" w:rsidRPr="002B0075" w:rsidRDefault="004A6F37" w:rsidP="00514E1A">
      <w:pPr>
        <w:jc w:val="both"/>
        <w:rPr>
          <w:rFonts w:ascii="Times New Roman" w:hAnsi="Times New Roman" w:cs="Times New Roman"/>
          <w:color w:val="000000" w:themeColor="text1"/>
          <w:sz w:val="20"/>
          <w:szCs w:val="20"/>
        </w:rPr>
      </w:pPr>
    </w:p>
    <w:p w14:paraId="3D78FC59" w14:textId="77777777" w:rsidR="00024F75"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While the EU’s externali</w:t>
      </w:r>
      <w:r w:rsidR="00024F75"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ation of security norms is neglected by mainstream NPE scholarship, this article attempts to identify EU diffusion items in EU-ASEAN security relations. It argues that the EU has sought to promote a security norm</w:t>
      </w:r>
      <w:r w:rsidR="00585CE2"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cluster composed of several combinations of problems, values and behaviours towards ASEAN. </w:t>
      </w:r>
    </w:p>
    <w:p w14:paraId="6EFA8A16" w14:textId="77777777" w:rsidR="00024F75" w:rsidRPr="002B0075" w:rsidRDefault="00024F75" w:rsidP="00514E1A">
      <w:pPr>
        <w:jc w:val="both"/>
        <w:rPr>
          <w:rFonts w:ascii="Times New Roman" w:hAnsi="Times New Roman" w:cs="Times New Roman"/>
          <w:color w:val="000000" w:themeColor="text1"/>
          <w:sz w:val="20"/>
          <w:szCs w:val="20"/>
        </w:rPr>
      </w:pPr>
    </w:p>
    <w:p w14:paraId="0C68FD44" w14:textId="6575B055" w:rsidR="004A6F37" w:rsidRPr="002B0075" w:rsidRDefault="004E7A65"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According to data collected from interviews</w:t>
      </w:r>
      <w:r w:rsidR="00585CE2" w:rsidRPr="002B0075">
        <w:rPr>
          <w:rFonts w:ascii="Times New Roman" w:hAnsi="Times New Roman" w:cs="Times New Roman"/>
          <w:color w:val="000000" w:themeColor="text1"/>
          <w:sz w:val="20"/>
          <w:szCs w:val="20"/>
        </w:rPr>
        <w:t xml:space="preserve"> and official documents</w:t>
      </w:r>
      <w:r w:rsidRPr="002B0075">
        <w:rPr>
          <w:rFonts w:ascii="Times New Roman" w:hAnsi="Times New Roman" w:cs="Times New Roman"/>
          <w:color w:val="000000" w:themeColor="text1"/>
          <w:sz w:val="20"/>
          <w:szCs w:val="20"/>
        </w:rPr>
        <w:t xml:space="preserve">, </w:t>
      </w:r>
      <w:r w:rsidR="00585CE2" w:rsidRPr="002B0075">
        <w:rPr>
          <w:rFonts w:ascii="Times New Roman" w:hAnsi="Times New Roman" w:cs="Times New Roman"/>
          <w:color w:val="000000" w:themeColor="text1"/>
          <w:sz w:val="20"/>
          <w:szCs w:val="20"/>
        </w:rPr>
        <w:t xml:space="preserve">the </w:t>
      </w:r>
      <w:r w:rsidR="004A6F37" w:rsidRPr="002B0075">
        <w:rPr>
          <w:rFonts w:ascii="Times New Roman" w:hAnsi="Times New Roman" w:cs="Times New Roman"/>
          <w:color w:val="000000" w:themeColor="text1"/>
          <w:sz w:val="20"/>
          <w:szCs w:val="20"/>
        </w:rPr>
        <w:t>EU tend</w:t>
      </w:r>
      <w:r w:rsidR="00585CE2" w:rsidRPr="002B0075">
        <w:rPr>
          <w:rFonts w:ascii="Times New Roman" w:hAnsi="Times New Roman" w:cs="Times New Roman"/>
          <w:color w:val="000000" w:themeColor="text1"/>
          <w:sz w:val="20"/>
          <w:szCs w:val="20"/>
        </w:rPr>
        <w:t>s</w:t>
      </w:r>
      <w:r w:rsidR="004A6F37" w:rsidRPr="002B0075">
        <w:rPr>
          <w:rFonts w:ascii="Times New Roman" w:hAnsi="Times New Roman" w:cs="Times New Roman"/>
          <w:color w:val="000000" w:themeColor="text1"/>
          <w:sz w:val="20"/>
          <w:szCs w:val="20"/>
        </w:rPr>
        <w:t xml:space="preserve"> to emphasize two major problems associated with ASEAN’s security governance. First, EU political elites consider the increasing non-traditional security challenges to be a major problem for ASEAN. As interview data and EU documents reveal, ASEAN faces </w:t>
      </w:r>
      <w:r w:rsidR="00883D7A" w:rsidRPr="002B0075">
        <w:rPr>
          <w:rFonts w:ascii="Times New Roman" w:hAnsi="Times New Roman" w:cs="Times New Roman"/>
          <w:color w:val="000000" w:themeColor="text1"/>
          <w:sz w:val="20"/>
          <w:szCs w:val="20"/>
        </w:rPr>
        <w:t xml:space="preserve">a rising number of </w:t>
      </w:r>
      <w:r w:rsidR="004A6F37" w:rsidRPr="002B0075">
        <w:rPr>
          <w:rFonts w:ascii="Times New Roman" w:hAnsi="Times New Roman" w:cs="Times New Roman"/>
          <w:color w:val="000000" w:themeColor="text1"/>
          <w:sz w:val="20"/>
          <w:szCs w:val="20"/>
        </w:rPr>
        <w:t>new</w:t>
      </w:r>
      <w:r w:rsidR="00883D7A" w:rsidRPr="002B0075">
        <w:rPr>
          <w:rFonts w:ascii="Times New Roman" w:hAnsi="Times New Roman" w:cs="Times New Roman"/>
          <w:color w:val="000000" w:themeColor="text1"/>
          <w:sz w:val="20"/>
          <w:szCs w:val="20"/>
        </w:rPr>
        <w:t>ly emerging</w:t>
      </w:r>
      <w:r w:rsidR="004A6F37" w:rsidRPr="002B0075">
        <w:rPr>
          <w:rFonts w:ascii="Times New Roman" w:hAnsi="Times New Roman" w:cs="Times New Roman"/>
          <w:color w:val="000000" w:themeColor="text1"/>
          <w:sz w:val="20"/>
          <w:szCs w:val="20"/>
        </w:rPr>
        <w:t xml:space="preserve"> </w:t>
      </w:r>
      <w:r w:rsidR="00544147" w:rsidRPr="002B0075">
        <w:rPr>
          <w:rFonts w:ascii="Times New Roman" w:hAnsi="Times New Roman" w:cs="Times New Roman"/>
          <w:color w:val="000000" w:themeColor="text1"/>
          <w:sz w:val="20"/>
          <w:szCs w:val="20"/>
        </w:rPr>
        <w:t xml:space="preserve">transborder </w:t>
      </w:r>
      <w:r w:rsidR="004A6F37" w:rsidRPr="002B0075">
        <w:rPr>
          <w:rFonts w:ascii="Times New Roman" w:hAnsi="Times New Roman" w:cs="Times New Roman"/>
          <w:color w:val="000000" w:themeColor="text1"/>
          <w:sz w:val="20"/>
          <w:szCs w:val="20"/>
        </w:rPr>
        <w:t>security challenges</w:t>
      </w:r>
      <w:r w:rsidR="00883D7A" w:rsidRPr="002B0075">
        <w:rPr>
          <w:rStyle w:val="a5"/>
          <w:rFonts w:ascii="Times New Roman" w:hAnsi="Times New Roman" w:cs="Times New Roman"/>
          <w:color w:val="000000" w:themeColor="text1"/>
          <w:sz w:val="20"/>
          <w:szCs w:val="20"/>
        </w:rPr>
        <w:footnoteReference w:id="3"/>
      </w:r>
      <w:r w:rsidR="004A6F37" w:rsidRPr="002B0075">
        <w:rPr>
          <w:rFonts w:ascii="Times New Roman" w:hAnsi="Times New Roman" w:cs="Times New Roman"/>
          <w:color w:val="000000" w:themeColor="text1"/>
          <w:sz w:val="20"/>
          <w:szCs w:val="20"/>
        </w:rPr>
        <w:t xml:space="preserve"> including border issues, cybersecurity, water and energy security, human trafficking, terrorism and climate change (European Commission, 2015, pp.11–12). </w:t>
      </w:r>
      <w:r w:rsidRPr="002B0075">
        <w:rPr>
          <w:rFonts w:ascii="Times New Roman" w:hAnsi="Times New Roman" w:cs="Times New Roman"/>
          <w:color w:val="000000" w:themeColor="text1"/>
          <w:sz w:val="20"/>
          <w:szCs w:val="20"/>
        </w:rPr>
        <w:t xml:space="preserve">Second, from the EU’s perspective, the lack of effective regional security architecture and appropriate institutional and regulatory framework constitutes another significant problem for ASEAN. As various interviewees from the EU pointed out, </w:t>
      </w:r>
      <w:r w:rsidR="00053F5C" w:rsidRPr="002B0075">
        <w:rPr>
          <w:rFonts w:ascii="Times New Roman" w:hAnsi="Times New Roman" w:cs="Times New Roman"/>
          <w:color w:val="000000" w:themeColor="text1"/>
          <w:sz w:val="20"/>
          <w:szCs w:val="20"/>
        </w:rPr>
        <w:t xml:space="preserve">despite the fact that </w:t>
      </w:r>
      <w:r w:rsidRPr="002B0075">
        <w:rPr>
          <w:rFonts w:ascii="Times New Roman" w:hAnsi="Times New Roman" w:cs="Times New Roman"/>
          <w:color w:val="000000" w:themeColor="text1"/>
          <w:sz w:val="20"/>
          <w:szCs w:val="20"/>
        </w:rPr>
        <w:t>ASEAN has been facing an increasing number of newly emerging security challenge</w:t>
      </w:r>
      <w:r w:rsidR="00053F5C"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 there is </w:t>
      </w:r>
      <w:r w:rsidR="00053F5C"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a lack of regional security architecture that is capable of solving these security problems in ASEAN</w:t>
      </w:r>
      <w:r w:rsidR="00053F5C" w:rsidRPr="002B0075">
        <w:rPr>
          <w:rFonts w:ascii="Times New Roman" w:hAnsi="Times New Roman" w:cs="Times New Roman"/>
          <w:color w:val="000000" w:themeColor="text1"/>
          <w:sz w:val="20"/>
          <w:szCs w:val="20"/>
        </w:rPr>
        <w:t>’.</w:t>
      </w:r>
      <w:r w:rsidR="00053F5C" w:rsidRPr="002B0075">
        <w:rPr>
          <w:rStyle w:val="a5"/>
          <w:rFonts w:ascii="Times New Roman" w:hAnsi="Times New Roman" w:cs="Times New Roman"/>
          <w:color w:val="000000" w:themeColor="text1"/>
          <w:sz w:val="20"/>
          <w:szCs w:val="20"/>
        </w:rPr>
        <w:footnoteReference w:id="4"/>
      </w:r>
      <w:r w:rsidRPr="002B0075">
        <w:rPr>
          <w:rFonts w:ascii="Times New Roman" w:hAnsi="Times New Roman" w:cs="Times New Roman"/>
          <w:color w:val="000000" w:themeColor="text1"/>
          <w:sz w:val="20"/>
          <w:szCs w:val="20"/>
        </w:rPr>
        <w:t xml:space="preserve"> </w:t>
      </w:r>
      <w:r w:rsidR="00053F5C" w:rsidRPr="002B0075">
        <w:rPr>
          <w:rFonts w:ascii="Times New Roman" w:hAnsi="Times New Roman" w:cs="Times New Roman"/>
          <w:color w:val="000000" w:themeColor="text1"/>
          <w:sz w:val="20"/>
          <w:szCs w:val="20"/>
        </w:rPr>
        <w:t>O</w:t>
      </w:r>
      <w:r w:rsidRPr="002B0075">
        <w:rPr>
          <w:rFonts w:ascii="Times New Roman" w:hAnsi="Times New Roman" w:cs="Times New Roman"/>
          <w:color w:val="000000" w:themeColor="text1"/>
          <w:sz w:val="20"/>
          <w:szCs w:val="20"/>
        </w:rPr>
        <w:t>ne interviewee who participated in the EU CBRN initiatives in ASEAN region points out that ‘there is an absence of coordination mechanisms and coherent policy framework to address CBRN crises in ASEAN’.</w:t>
      </w:r>
      <w:r w:rsidR="00053F5C" w:rsidRPr="002B0075">
        <w:rPr>
          <w:rStyle w:val="a5"/>
          <w:rFonts w:ascii="Times New Roman" w:hAnsi="Times New Roman" w:cs="Times New Roman"/>
          <w:color w:val="000000" w:themeColor="text1"/>
          <w:sz w:val="20"/>
          <w:szCs w:val="20"/>
        </w:rPr>
        <w:footnoteReference w:id="5"/>
      </w:r>
      <w:r w:rsidRPr="002B0075">
        <w:rPr>
          <w:rFonts w:ascii="Times New Roman" w:hAnsi="Times New Roman" w:cs="Times New Roman"/>
          <w:color w:val="000000" w:themeColor="text1"/>
          <w:sz w:val="20"/>
          <w:szCs w:val="20"/>
        </w:rPr>
        <w:t xml:space="preserve"> In a similar vein, it is also believed that ASEAN institutions, particularly ASEAN Secretariat, ‘does not have sufficient capacity and resources’ to effectively address these challenges.</w:t>
      </w:r>
      <w:r w:rsidR="00123167" w:rsidRPr="002B0075">
        <w:rPr>
          <w:rStyle w:val="a5"/>
          <w:rFonts w:ascii="Times New Roman" w:hAnsi="Times New Roman" w:cs="Times New Roman"/>
          <w:color w:val="000000" w:themeColor="text1"/>
          <w:sz w:val="20"/>
          <w:szCs w:val="20"/>
        </w:rPr>
        <w:footnoteReference w:id="6"/>
      </w:r>
      <w:r w:rsidRPr="002B0075">
        <w:rPr>
          <w:rFonts w:ascii="Times New Roman" w:hAnsi="Times New Roman" w:cs="Times New Roman"/>
          <w:color w:val="000000" w:themeColor="text1"/>
          <w:sz w:val="20"/>
          <w:szCs w:val="20"/>
        </w:rPr>
        <w:t xml:space="preserve"> In response to these </w:t>
      </w:r>
      <w:r w:rsidR="004A6F37" w:rsidRPr="002B0075">
        <w:rPr>
          <w:rFonts w:ascii="Times New Roman" w:hAnsi="Times New Roman" w:cs="Times New Roman"/>
          <w:color w:val="000000" w:themeColor="text1"/>
          <w:sz w:val="20"/>
          <w:szCs w:val="20"/>
        </w:rPr>
        <w:t xml:space="preserve">problems, </w:t>
      </w:r>
      <w:r w:rsidRPr="002B0075">
        <w:rPr>
          <w:rFonts w:ascii="Times New Roman" w:hAnsi="Times New Roman" w:cs="Times New Roman"/>
          <w:color w:val="000000" w:themeColor="text1"/>
          <w:sz w:val="20"/>
          <w:szCs w:val="20"/>
        </w:rPr>
        <w:t xml:space="preserve">the </w:t>
      </w:r>
      <w:r w:rsidR="004A6F37" w:rsidRPr="002B0075">
        <w:rPr>
          <w:rFonts w:ascii="Times New Roman" w:hAnsi="Times New Roman" w:cs="Times New Roman"/>
          <w:color w:val="000000" w:themeColor="text1"/>
          <w:sz w:val="20"/>
          <w:szCs w:val="20"/>
        </w:rPr>
        <w:t>EU has promoted three fundamental norms in relation to ASEAN: sustainable peace (SP), soft security regionalism (SR), and the rule of law (</w:t>
      </w:r>
      <w:proofErr w:type="spellStart"/>
      <w:r w:rsidR="004A6F37" w:rsidRPr="002B0075">
        <w:rPr>
          <w:rFonts w:ascii="Times New Roman" w:hAnsi="Times New Roman" w:cs="Times New Roman"/>
          <w:color w:val="000000" w:themeColor="text1"/>
          <w:sz w:val="20"/>
          <w:szCs w:val="20"/>
        </w:rPr>
        <w:t>RoL</w:t>
      </w:r>
      <w:proofErr w:type="spellEnd"/>
      <w:r w:rsidR="004A6F37" w:rsidRPr="002B0075">
        <w:rPr>
          <w:rFonts w:ascii="Times New Roman" w:hAnsi="Times New Roman" w:cs="Times New Roman"/>
          <w:color w:val="000000" w:themeColor="text1"/>
          <w:sz w:val="20"/>
          <w:szCs w:val="20"/>
        </w:rPr>
        <w:t xml:space="preserve">). These norms are either embodied in important EU treaties and policy guidelines or rooted in EU security governance. </w:t>
      </w:r>
    </w:p>
    <w:p w14:paraId="32C8DDF7" w14:textId="77777777" w:rsidR="004A6F37" w:rsidRPr="002B0075" w:rsidRDefault="004A6F37" w:rsidP="00514E1A">
      <w:pPr>
        <w:pStyle w:val="u-mb-2"/>
        <w:shd w:val="clear" w:color="auto" w:fill="FCFCFC"/>
        <w:spacing w:before="0" w:beforeAutospacing="0"/>
        <w:jc w:val="both"/>
        <w:textAlignment w:val="center"/>
        <w:rPr>
          <w:rFonts w:ascii="Times New Roman" w:hAnsi="Times New Roman" w:cs="Times New Roman"/>
          <w:color w:val="000000" w:themeColor="text1"/>
          <w:sz w:val="20"/>
          <w:szCs w:val="20"/>
        </w:rPr>
      </w:pPr>
    </w:p>
    <w:p w14:paraId="5EF8126A" w14:textId="31F7C9DC" w:rsidR="004A6F37" w:rsidRPr="002B0075" w:rsidRDefault="004A6F37" w:rsidP="00514E1A">
      <w:pPr>
        <w:pStyle w:val="u-mb-2"/>
        <w:shd w:val="clear" w:color="auto" w:fill="FCFCFC"/>
        <w:spacing w:before="0" w:beforeAutospacing="0"/>
        <w:jc w:val="both"/>
        <w:textAlignment w:val="center"/>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The first fundamental security norm examined is SP. In Manners’ initial conceptualization of NPE, sustainable peace is considered a ‘prime principle’ defining the EU’s external relations (Manners 2009:4). In Manners’ theorization of normative power, SP refers to ‘resolving both the structural causes and violent symptoms of conflict in ways that guarantee, rather than enforce peace’ (Manners 2008:131). Specifically, the EU’s principle of SP is primarily concerned with ‘addressing the structural causes of conflict through extensive development aid policies and support for bottom-up, local development programs that tackled the roots of inequality such as health, education, and infrastructure’ (Manners 2008:135). Some other studies echo Manners’ argument and acknowledge that the EU should be seen as a distinct norm-entrepreneur in sustainable peace or peacebuilding in its external relations (</w:t>
      </w:r>
      <w:proofErr w:type="spellStart"/>
      <w:r w:rsidRPr="002B0075">
        <w:rPr>
          <w:rFonts w:ascii="Times New Roman" w:hAnsi="Times New Roman" w:cs="Times New Roman"/>
          <w:color w:val="000000" w:themeColor="text1"/>
          <w:sz w:val="20"/>
          <w:szCs w:val="20"/>
        </w:rPr>
        <w:t>Merlingen</w:t>
      </w:r>
      <w:proofErr w:type="spellEnd"/>
      <w:r w:rsidRPr="002B0075">
        <w:rPr>
          <w:rFonts w:ascii="Times New Roman" w:hAnsi="Times New Roman" w:cs="Times New Roman"/>
          <w:color w:val="000000" w:themeColor="text1"/>
          <w:sz w:val="20"/>
          <w:szCs w:val="20"/>
        </w:rPr>
        <w:t xml:space="preserve"> and </w:t>
      </w:r>
      <w:proofErr w:type="spellStart"/>
      <w:r w:rsidRPr="002B0075">
        <w:rPr>
          <w:rFonts w:ascii="Times New Roman" w:hAnsi="Times New Roman" w:cs="Times New Roman"/>
          <w:color w:val="000000" w:themeColor="text1"/>
          <w:sz w:val="20"/>
          <w:szCs w:val="20"/>
        </w:rPr>
        <w:t>Ostrauskaite</w:t>
      </w:r>
      <w:proofErr w:type="spellEnd"/>
      <w:r w:rsidRPr="002B0075">
        <w:rPr>
          <w:rFonts w:ascii="Times New Roman" w:hAnsi="Times New Roman" w:cs="Times New Roman"/>
          <w:color w:val="000000" w:themeColor="text1"/>
          <w:sz w:val="20"/>
          <w:szCs w:val="20"/>
        </w:rPr>
        <w:t xml:space="preserve"> 2005; </w:t>
      </w:r>
      <w:proofErr w:type="spellStart"/>
      <w:r w:rsidR="00987C8F" w:rsidRPr="002B0075">
        <w:rPr>
          <w:rFonts w:ascii="Times New Roman" w:hAnsi="Times New Roman" w:cs="Times New Roman"/>
          <w:color w:val="000000" w:themeColor="text1"/>
          <w:sz w:val="20"/>
          <w:szCs w:val="20"/>
        </w:rPr>
        <w:t>Merlingen</w:t>
      </w:r>
      <w:proofErr w:type="spellEnd"/>
      <w:r w:rsidR="00987C8F" w:rsidRPr="002B0075">
        <w:rPr>
          <w:rFonts w:ascii="Times New Roman" w:hAnsi="Times New Roman" w:cs="Times New Roman"/>
          <w:color w:val="000000" w:themeColor="text1"/>
          <w:sz w:val="20"/>
          <w:szCs w:val="20"/>
        </w:rPr>
        <w:t xml:space="preserve"> 2009</w:t>
      </w:r>
      <w:r w:rsidRPr="002B0075">
        <w:rPr>
          <w:rFonts w:ascii="Times New Roman" w:hAnsi="Times New Roman" w:cs="Times New Roman"/>
          <w:color w:val="000000" w:themeColor="text1"/>
          <w:sz w:val="20"/>
          <w:szCs w:val="20"/>
        </w:rPr>
        <w:t xml:space="preserve">). Although sustainable peace is seen as a key component and a prime principle defining the EU’s normative power, a curious omission in the existing NPE research is the lack of empirically grounded discussion on how the EU promotes the norm of sustainable peace in its external relations. </w:t>
      </w:r>
    </w:p>
    <w:p w14:paraId="6DE7437F" w14:textId="78669630" w:rsidR="004A6F37" w:rsidRPr="002B0075" w:rsidRDefault="004A6F37" w:rsidP="00514E1A">
      <w:pPr>
        <w:pStyle w:val="u-mb-2"/>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Drawing on the concept of norm-cluster mentioned earlier, this research argues that in EU foreign policy in general and in EU-ASEAN relations in particular, the fundamental security norm of SP can be seen as transferring into more specific norm components with a higher degree of specificity. In particular, we argue that the comprehensive (or integrated) approach to security (CA) constitutes a middle-level norm </w:t>
      </w:r>
      <w:r w:rsidRPr="002B0075">
        <w:rPr>
          <w:rFonts w:ascii="Times New Roman" w:hAnsi="Times New Roman" w:cs="Times New Roman"/>
          <w:color w:val="000000" w:themeColor="text1"/>
          <w:sz w:val="20"/>
          <w:szCs w:val="20"/>
        </w:rPr>
        <w:lastRenderedPageBreak/>
        <w:t>embedded within the Union’s overarching idea of SP. The norm of CA has a higher level of specificity: in comparison to SP, which underpins the EU’s early experience of peacebuilding and its overall relations with the rest of the world (Manners 2008), CA represents a more concrete idea guiding the operationalization of the EU’s external security strategy, in particular the development of ESDP and CSDP (</w:t>
      </w:r>
      <w:proofErr w:type="spellStart"/>
      <w:r w:rsidRPr="002B0075">
        <w:rPr>
          <w:rFonts w:ascii="Times New Roman" w:hAnsi="Times New Roman" w:cs="Times New Roman"/>
          <w:color w:val="000000" w:themeColor="text1"/>
          <w:sz w:val="20"/>
          <w:szCs w:val="20"/>
        </w:rPr>
        <w:t>Drent</w:t>
      </w:r>
      <w:proofErr w:type="spellEnd"/>
      <w:r w:rsidRPr="002B0075">
        <w:rPr>
          <w:rFonts w:ascii="Times New Roman" w:hAnsi="Times New Roman" w:cs="Times New Roman"/>
          <w:color w:val="000000" w:themeColor="text1"/>
          <w:sz w:val="20"/>
          <w:szCs w:val="20"/>
        </w:rPr>
        <w:t xml:space="preserve"> 2011; </w:t>
      </w:r>
      <w:proofErr w:type="spellStart"/>
      <w:r w:rsidRPr="002B0075">
        <w:rPr>
          <w:rFonts w:ascii="Times New Roman" w:hAnsi="Times New Roman" w:cs="Times New Roman"/>
          <w:color w:val="000000" w:themeColor="text1"/>
          <w:sz w:val="20"/>
          <w:szCs w:val="20"/>
        </w:rPr>
        <w:t>Faleg</w:t>
      </w:r>
      <w:proofErr w:type="spellEnd"/>
      <w:r w:rsidRPr="002B0075">
        <w:rPr>
          <w:rFonts w:ascii="Times New Roman" w:hAnsi="Times New Roman" w:cs="Times New Roman"/>
          <w:color w:val="000000" w:themeColor="text1"/>
          <w:sz w:val="20"/>
          <w:szCs w:val="20"/>
        </w:rPr>
        <w:t xml:space="preserve"> 2017). Besides, compared to the norm of sustainable peace, CA is defined in a number of recent EU documents in a clearer manner over the last decade (</w:t>
      </w:r>
      <w:proofErr w:type="spellStart"/>
      <w:r w:rsidRPr="002B0075">
        <w:rPr>
          <w:rFonts w:ascii="Times New Roman" w:hAnsi="Times New Roman" w:cs="Times New Roman"/>
          <w:color w:val="000000" w:themeColor="text1"/>
          <w:sz w:val="20"/>
          <w:szCs w:val="20"/>
        </w:rPr>
        <w:t>Zwolski</w:t>
      </w:r>
      <w:proofErr w:type="spellEnd"/>
      <w:r w:rsidRPr="002B0075">
        <w:rPr>
          <w:rFonts w:ascii="Times New Roman" w:hAnsi="Times New Roman" w:cs="Times New Roman"/>
          <w:color w:val="000000" w:themeColor="text1"/>
          <w:sz w:val="20"/>
          <w:szCs w:val="20"/>
        </w:rPr>
        <w:t xml:space="preserve"> 2012). Specifically, this middle-level norm was developed by the EU as a result of the reali</w:t>
      </w:r>
      <w:r w:rsidR="00024F75"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ation that security and development challenges were increasingly interconnected.</w:t>
      </w:r>
      <w:r w:rsidRPr="002B0075">
        <w:rPr>
          <w:rFonts w:ascii="Times New Roman" w:hAnsi="Times New Roman" w:cs="Times New Roman"/>
          <w:color w:val="000000" w:themeColor="text1"/>
          <w:sz w:val="18"/>
          <w:szCs w:val="18"/>
          <w:vertAlign w:val="superscript"/>
        </w:rPr>
        <w:footnoteReference w:id="7"/>
      </w:r>
      <w:r w:rsidRPr="002B0075">
        <w:rPr>
          <w:rFonts w:ascii="Times New Roman" w:hAnsi="Times New Roman" w:cs="Times New Roman"/>
          <w:color w:val="000000" w:themeColor="text1"/>
          <w:sz w:val="20"/>
          <w:szCs w:val="20"/>
        </w:rPr>
        <w:t xml:space="preserve"> The EU defines CA as ‘strategically coherent use of EU tools and instruments’ for external actions relating to crisis or conflict situations (European Union, 2013). Since becoming a guiding principle of EU external actions after the joint communication of December 2013 (European Union, 2013), CA has included both internal EU coordination and implementation of external cross-sector activities linking conflict prevention, stabilization, and development (EEAS</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2016). </w:t>
      </w:r>
    </w:p>
    <w:p w14:paraId="5C155AEB" w14:textId="48BE04B9"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It is worth examining how the EU has attempted to diffuse the norms of SP and CA in the context of EU–ASEAN security relations. To what extent are these norms visible in the EU’s concrete security-related policies towards ASEAN? First, the EU’s attempts to diffuse the norms of </w:t>
      </w:r>
      <w:r w:rsidR="00FB52A7" w:rsidRPr="002B0075">
        <w:rPr>
          <w:rFonts w:ascii="Times New Roman" w:hAnsi="Times New Roman" w:cs="Times New Roman"/>
          <w:color w:val="000000" w:themeColor="text1"/>
          <w:sz w:val="20"/>
          <w:szCs w:val="20"/>
        </w:rPr>
        <w:t>SP</w:t>
      </w:r>
      <w:r w:rsidRPr="002B0075">
        <w:rPr>
          <w:rFonts w:ascii="Times New Roman" w:hAnsi="Times New Roman" w:cs="Times New Roman"/>
          <w:color w:val="000000" w:themeColor="text1"/>
          <w:sz w:val="20"/>
          <w:szCs w:val="20"/>
        </w:rPr>
        <w:t xml:space="preserve"> and CA can be observed in its active engagement in debates on conflict prevention and preventive diplomacy in ASEAN through multilateral or interregional fora such as A</w:t>
      </w:r>
      <w:r w:rsidR="00024F75" w:rsidRPr="002B0075">
        <w:rPr>
          <w:rFonts w:ascii="Times New Roman" w:hAnsi="Times New Roman" w:cs="Times New Roman"/>
          <w:color w:val="000000" w:themeColor="text1"/>
          <w:sz w:val="20"/>
          <w:szCs w:val="20"/>
        </w:rPr>
        <w:t xml:space="preserve">SEAN </w:t>
      </w:r>
      <w:r w:rsidRPr="002B0075">
        <w:rPr>
          <w:rFonts w:ascii="Times New Roman" w:hAnsi="Times New Roman" w:cs="Times New Roman"/>
          <w:color w:val="000000" w:themeColor="text1"/>
          <w:sz w:val="20"/>
          <w:szCs w:val="20"/>
        </w:rPr>
        <w:t>R</w:t>
      </w:r>
      <w:r w:rsidR="00024F75" w:rsidRPr="002B0075">
        <w:rPr>
          <w:rFonts w:ascii="Times New Roman" w:hAnsi="Times New Roman" w:cs="Times New Roman"/>
          <w:color w:val="000000" w:themeColor="text1"/>
          <w:sz w:val="20"/>
          <w:szCs w:val="20"/>
        </w:rPr>
        <w:t xml:space="preserve">egional </w:t>
      </w:r>
      <w:r w:rsidRPr="002B0075">
        <w:rPr>
          <w:rFonts w:ascii="Times New Roman" w:hAnsi="Times New Roman" w:cs="Times New Roman"/>
          <w:color w:val="000000" w:themeColor="text1"/>
          <w:sz w:val="20"/>
          <w:szCs w:val="20"/>
        </w:rPr>
        <w:t>F</w:t>
      </w:r>
      <w:r w:rsidR="00024F75" w:rsidRPr="002B0075">
        <w:rPr>
          <w:rFonts w:ascii="Times New Roman" w:hAnsi="Times New Roman" w:cs="Times New Roman"/>
          <w:color w:val="000000" w:themeColor="text1"/>
          <w:sz w:val="20"/>
          <w:szCs w:val="20"/>
        </w:rPr>
        <w:t>orum (ARF)</w:t>
      </w:r>
      <w:r w:rsidRPr="002B0075">
        <w:rPr>
          <w:rFonts w:ascii="Times New Roman" w:hAnsi="Times New Roman" w:cs="Times New Roman"/>
          <w:color w:val="000000" w:themeColor="text1"/>
          <w:sz w:val="20"/>
          <w:szCs w:val="20"/>
        </w:rPr>
        <w:t xml:space="preserve"> and</w:t>
      </w:r>
      <w:r w:rsidR="00024F75" w:rsidRPr="002B0075">
        <w:rPr>
          <w:rFonts w:ascii="Times New Roman" w:hAnsi="Times New Roman" w:cs="Times New Roman"/>
          <w:color w:val="000000" w:themeColor="text1"/>
          <w:sz w:val="20"/>
          <w:szCs w:val="20"/>
        </w:rPr>
        <w:t xml:space="preserve"> The Council for Security Cooperation in the Asia Pacific</w:t>
      </w:r>
      <w:r w:rsidRPr="002B0075">
        <w:rPr>
          <w:rFonts w:ascii="Times New Roman" w:hAnsi="Times New Roman" w:cs="Times New Roman"/>
          <w:color w:val="000000" w:themeColor="text1"/>
          <w:sz w:val="20"/>
          <w:szCs w:val="20"/>
        </w:rPr>
        <w:t xml:space="preserve"> </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CSCAP</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Specifically, the EU has promoted its approach to preventive diplomacy</w:t>
      </w:r>
      <w:r w:rsidRPr="002B0075">
        <w:rPr>
          <w:rStyle w:val="a5"/>
          <w:rFonts w:ascii="Times New Roman" w:hAnsi="Times New Roman" w:cs="Times New Roman"/>
          <w:color w:val="000000" w:themeColor="text1"/>
          <w:sz w:val="20"/>
          <w:szCs w:val="20"/>
        </w:rPr>
        <w:footnoteReference w:id="8"/>
      </w:r>
      <w:r w:rsidRPr="002B0075">
        <w:rPr>
          <w:rFonts w:ascii="Times New Roman" w:hAnsi="Times New Roman" w:cs="Times New Roman"/>
          <w:color w:val="000000" w:themeColor="text1"/>
          <w:sz w:val="20"/>
          <w:szCs w:val="20"/>
        </w:rPr>
        <w:t xml:space="preserve"> through regular participation in ARF activities that reflect the three phases of the development of ARF’s objectives: confidence building, preventive diplomacy and approach elaboration to conflicts (ARF 1995). The EU has long been an active contributor to the Inter-Sessional Support Group on Confidence-Building Measures and Preventive Diplomacy (ISG on CBM and PD). For instance, in Helsinki in 2007, the EU co-chaired an ARI ISG on CBMs and PD through which it sought to promote its confidence-building practices and experiences by discussing the OSCE’s potential for strengthening ties with ARF (CSR</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2007). In addition, through the CSCAP, the EU initiated a two-year study group entitled ‘Towards Preventive Diplomacy’, which concluded in November 2015.</w:t>
      </w:r>
      <w:r w:rsidRPr="002B0075">
        <w:rPr>
          <w:rStyle w:val="a5"/>
          <w:rFonts w:ascii="Times New Roman" w:hAnsi="Times New Roman" w:cs="Times New Roman"/>
          <w:color w:val="000000" w:themeColor="text1"/>
          <w:sz w:val="20"/>
          <w:szCs w:val="20"/>
        </w:rPr>
        <w:footnoteReference w:id="9"/>
      </w:r>
      <w:r w:rsidRPr="002B0075">
        <w:rPr>
          <w:rFonts w:ascii="Times New Roman" w:hAnsi="Times New Roman" w:cs="Times New Roman"/>
          <w:color w:val="000000" w:themeColor="text1"/>
          <w:sz w:val="20"/>
          <w:szCs w:val="20"/>
        </w:rPr>
        <w:t xml:space="preserve"> The study group was co-chaired by the EU, Malaysia, Singapore and New Zealand. Its primary objective was to contribute to </w:t>
      </w:r>
      <w:r w:rsidRPr="002B0075">
        <w:rPr>
          <w:rFonts w:ascii="Times New Roman" w:hAnsi="Times New Roman" w:cs="Times New Roman"/>
          <w:color w:val="000000" w:themeColor="text1"/>
          <w:sz w:val="20"/>
          <w:szCs w:val="20"/>
        </w:rPr>
        <w:lastRenderedPageBreak/>
        <w:t>the ARF’s ambition to ‘move towards Preventive Diplomacy’ by providing a gap analysis of existing PD cases in the Asia–Pacific region (CSCAP</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2015). </w:t>
      </w:r>
    </w:p>
    <w:p w14:paraId="3A4DC5E9" w14:textId="77777777" w:rsidR="004A6F37" w:rsidRPr="002B0075" w:rsidRDefault="004A6F37" w:rsidP="00514E1A">
      <w:pPr>
        <w:jc w:val="both"/>
        <w:rPr>
          <w:rFonts w:ascii="Times New Roman" w:hAnsi="Times New Roman" w:cs="Times New Roman"/>
          <w:color w:val="000000" w:themeColor="text1"/>
          <w:sz w:val="20"/>
          <w:szCs w:val="20"/>
        </w:rPr>
      </w:pPr>
    </w:p>
    <w:p w14:paraId="54AE3BA2" w14:textId="5FAC5593" w:rsidR="004A6F37" w:rsidRPr="002B0075" w:rsidRDefault="004A6F37" w:rsidP="00514E1A">
      <w:pPr>
        <w:tabs>
          <w:tab w:val="left" w:pos="4660"/>
        </w:tabs>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Second, the EU has sought to promote the norms of SP and CA by establishing a strong link between development aid programmes and non-traditional or soft security issues. This reflects the EU’s strategy of addressing the root causes of security problems through multifaceted policy instruments. An increasing nexus between security and development policies can be observed in the EU’s recent development cooperation programmes with ASEAN and its member states. It can be observed that EU-funded </w:t>
      </w:r>
      <w:proofErr w:type="spellStart"/>
      <w:r w:rsidRPr="002B0075">
        <w:rPr>
          <w:rFonts w:ascii="Times New Roman" w:hAnsi="Times New Roman" w:cs="Times New Roman"/>
          <w:color w:val="000000" w:themeColor="text1"/>
          <w:sz w:val="20"/>
          <w:szCs w:val="20"/>
        </w:rPr>
        <w:t>IcSP</w:t>
      </w:r>
      <w:proofErr w:type="spellEnd"/>
      <w:r w:rsidRPr="002B0075">
        <w:rPr>
          <w:rFonts w:ascii="Times New Roman" w:hAnsi="Times New Roman" w:cs="Times New Roman"/>
          <w:color w:val="000000" w:themeColor="text1"/>
          <w:sz w:val="20"/>
          <w:szCs w:val="20"/>
        </w:rPr>
        <w:t xml:space="preserve"> projects in Southeast Asia projects attach great importance to fostering ‘sustainable peace and human security in conflict-affected areas’, ‘strengthening local capacities and mechanisms for inclusive peace’ and ‘strengthening civilian protection towards sustaining peace and promoting community resilience and social cohesion’ in Southeast Asia</w:t>
      </w:r>
      <w:r w:rsidR="00BA177F" w:rsidRPr="002B0075">
        <w:rPr>
          <w:rFonts w:ascii="Times New Roman" w:hAnsi="Times New Roman" w:cs="Times New Roman"/>
          <w:color w:val="000000" w:themeColor="text1"/>
          <w:sz w:val="20"/>
          <w:szCs w:val="20"/>
        </w:rPr>
        <w:t xml:space="preserve"> (European Commission</w:t>
      </w:r>
      <w:r w:rsidR="00024F75" w:rsidRPr="002B0075">
        <w:rPr>
          <w:rFonts w:ascii="Times New Roman" w:hAnsi="Times New Roman" w:cs="Times New Roman"/>
          <w:color w:val="000000" w:themeColor="text1"/>
          <w:sz w:val="20"/>
          <w:szCs w:val="20"/>
        </w:rPr>
        <w:t>,</w:t>
      </w:r>
      <w:r w:rsidR="00BA177F" w:rsidRPr="002B0075">
        <w:rPr>
          <w:rFonts w:ascii="Times New Roman" w:hAnsi="Times New Roman" w:cs="Times New Roman"/>
          <w:color w:val="000000" w:themeColor="text1"/>
          <w:sz w:val="20"/>
          <w:szCs w:val="20"/>
        </w:rPr>
        <w:t xml:space="preserve"> </w:t>
      </w:r>
      <w:r w:rsidR="0048385E" w:rsidRPr="002B0075">
        <w:rPr>
          <w:rFonts w:ascii="Times New Roman" w:hAnsi="Times New Roman" w:cs="Times New Roman"/>
          <w:color w:val="000000" w:themeColor="text1"/>
          <w:sz w:val="20"/>
          <w:szCs w:val="20"/>
        </w:rPr>
        <w:t>2021)</w:t>
      </w:r>
      <w:r w:rsidRPr="002B0075">
        <w:rPr>
          <w:rFonts w:ascii="Times New Roman" w:hAnsi="Times New Roman" w:cs="Times New Roman"/>
          <w:color w:val="000000" w:themeColor="text1"/>
          <w:sz w:val="20"/>
          <w:szCs w:val="20"/>
        </w:rPr>
        <w:t>. Apart from supporting individual ASEAN states at interregional level, the EU updated its development cooperation plan in 2013 with a stronger focus on non-traditional security issues. Specifically, the EU–ASEAN development cooperation agenda for 2014–20 has a dedicated focal sector on ‘climate change, environment and disaster management’, which can be seen as reflecting the EU’s desire to develop a stronger connection between development assistance and security issues</w:t>
      </w:r>
      <w:r w:rsidR="00FB52A7" w:rsidRPr="002B0075">
        <w:rPr>
          <w:rFonts w:ascii="Times New Roman" w:hAnsi="Times New Roman" w:cs="Times New Roman"/>
          <w:color w:val="000000" w:themeColor="text1"/>
          <w:sz w:val="20"/>
          <w:szCs w:val="20"/>
        </w:rPr>
        <w:t xml:space="preserve"> (</w:t>
      </w:r>
      <w:r w:rsidR="00D72FA5" w:rsidRPr="002B0075">
        <w:rPr>
          <w:rFonts w:ascii="Times New Roman" w:hAnsi="Times New Roman" w:cs="Times New Roman"/>
          <w:color w:val="000000" w:themeColor="text1"/>
          <w:sz w:val="20"/>
          <w:szCs w:val="20"/>
        </w:rPr>
        <w:t>EU ASEAN</w:t>
      </w:r>
      <w:r w:rsidR="009D61AE" w:rsidRPr="002B0075">
        <w:rPr>
          <w:rFonts w:ascii="Times New Roman" w:hAnsi="Times New Roman" w:cs="Times New Roman"/>
          <w:color w:val="000000" w:themeColor="text1"/>
          <w:sz w:val="20"/>
          <w:szCs w:val="20"/>
        </w:rPr>
        <w:t xml:space="preserve"> Blue</w:t>
      </w:r>
      <w:r w:rsidR="00791B88" w:rsidRPr="002B0075">
        <w:rPr>
          <w:rFonts w:ascii="Times New Roman" w:hAnsi="Times New Roman" w:cs="Times New Roman"/>
          <w:color w:val="000000" w:themeColor="text1"/>
          <w:sz w:val="20"/>
          <w:szCs w:val="20"/>
        </w:rPr>
        <w:t xml:space="preserve"> B</w:t>
      </w:r>
      <w:r w:rsidR="009D61AE" w:rsidRPr="002B0075">
        <w:rPr>
          <w:rFonts w:ascii="Times New Roman" w:hAnsi="Times New Roman" w:cs="Times New Roman"/>
          <w:color w:val="000000" w:themeColor="text1"/>
          <w:sz w:val="20"/>
          <w:szCs w:val="20"/>
        </w:rPr>
        <w:t>ook</w:t>
      </w:r>
      <w:r w:rsidR="00024F75" w:rsidRPr="002B0075">
        <w:rPr>
          <w:rFonts w:ascii="Times New Roman" w:hAnsi="Times New Roman" w:cs="Times New Roman"/>
          <w:color w:val="000000" w:themeColor="text1"/>
          <w:sz w:val="20"/>
          <w:szCs w:val="20"/>
        </w:rPr>
        <w:t>,</w:t>
      </w:r>
      <w:r w:rsidR="00D72FA5" w:rsidRPr="002B0075">
        <w:rPr>
          <w:rFonts w:ascii="Times New Roman" w:hAnsi="Times New Roman" w:cs="Times New Roman"/>
          <w:color w:val="000000" w:themeColor="text1"/>
          <w:sz w:val="20"/>
          <w:szCs w:val="20"/>
        </w:rPr>
        <w:t xml:space="preserve"> 2020</w:t>
      </w:r>
      <w:r w:rsidR="00FB52A7"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By incorporating security-related issues into development cooperation programmes, the EU has successfully established a closer link between its development assistance policy and its wider goal of promoting a comprehensive approach to security in ASEAN. As mentioned by an interviewee from DG </w:t>
      </w:r>
      <w:proofErr w:type="spellStart"/>
      <w:r w:rsidRPr="002B0075">
        <w:rPr>
          <w:rFonts w:ascii="Times New Roman" w:hAnsi="Times New Roman" w:cs="Times New Roman"/>
          <w:color w:val="000000" w:themeColor="text1"/>
          <w:sz w:val="20"/>
          <w:szCs w:val="20"/>
        </w:rPr>
        <w:t>Devco</w:t>
      </w:r>
      <w:proofErr w:type="spellEnd"/>
      <w:r w:rsidRPr="002B0075">
        <w:rPr>
          <w:rFonts w:ascii="Times New Roman" w:hAnsi="Times New Roman" w:cs="Times New Roman"/>
          <w:color w:val="000000" w:themeColor="text1"/>
          <w:sz w:val="20"/>
          <w:szCs w:val="20"/>
        </w:rPr>
        <w:t>, the EU’s development aid programmes have been intertwined with its foreign and security policy towards ASEAN.</w:t>
      </w:r>
      <w:r w:rsidR="00FB52A7" w:rsidRPr="002B0075">
        <w:rPr>
          <w:rStyle w:val="a5"/>
          <w:rFonts w:ascii="Times New Roman" w:hAnsi="Times New Roman" w:cs="Times New Roman"/>
          <w:color w:val="000000" w:themeColor="text1"/>
          <w:sz w:val="20"/>
          <w:szCs w:val="20"/>
        </w:rPr>
        <w:footnoteReference w:id="10"/>
      </w:r>
    </w:p>
    <w:p w14:paraId="3B329456" w14:textId="77777777" w:rsidR="004A6F37" w:rsidRPr="002B0075" w:rsidRDefault="004A6F37" w:rsidP="00514E1A">
      <w:pPr>
        <w:jc w:val="both"/>
        <w:rPr>
          <w:rFonts w:ascii="Times New Roman" w:hAnsi="Times New Roman" w:cs="Times New Roman"/>
          <w:color w:val="000000" w:themeColor="text1"/>
          <w:sz w:val="20"/>
          <w:szCs w:val="20"/>
        </w:rPr>
      </w:pPr>
    </w:p>
    <w:p w14:paraId="1E7182F5" w14:textId="715BD1E6"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The second fundamental norm identified is the EU’s idea and practice of security regionalism (SR). Research has explained the consolidation of European security regionalism since the early 2000s (Cross, 2011), but little attention has been paid to the EU’s diffusion of regionalism to other regional or international actors in the security domain. This is mainly because security integration remains a relatively weak aspect of the EU’s regionalism process, especially in comparison to the EU’s Common Commercial Policy. Although some scholarly discussions contend that the EU’s CSDP and CFSP should be understood as forms of security cooperation rather than security regionalism due to its strong emphasis on intergovernmentalism (</w:t>
      </w:r>
      <w:proofErr w:type="spellStart"/>
      <w:r w:rsidRPr="002B0075">
        <w:rPr>
          <w:rFonts w:ascii="Times New Roman" w:hAnsi="Times New Roman" w:cs="Times New Roman"/>
          <w:color w:val="000000" w:themeColor="text1"/>
          <w:sz w:val="20"/>
          <w:szCs w:val="20"/>
        </w:rPr>
        <w:t>Howorth</w:t>
      </w:r>
      <w:proofErr w:type="spellEnd"/>
      <w:r w:rsidRPr="002B0075">
        <w:rPr>
          <w:rFonts w:ascii="Times New Roman" w:hAnsi="Times New Roman" w:cs="Times New Roman"/>
          <w:color w:val="000000" w:themeColor="text1"/>
          <w:sz w:val="20"/>
          <w:szCs w:val="20"/>
        </w:rPr>
        <w:t>, 2012), interview data demonstrate</w:t>
      </w:r>
      <w:r w:rsidR="00024F75"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 that the EU’s security governance goes far beyond intergovernmental cooperation. A growing sense of de facto supranationalism underlies the development of EU security governance, rendering a dichotomy between cooperation and integration impossible. In other words, although the EU’s security governance architecture was officially defined as intergovernmental, security regionalism has become an increasingly important norm among political elites in the EU and its member states.</w:t>
      </w:r>
      <w:r w:rsidR="0022346C" w:rsidRPr="002B0075">
        <w:rPr>
          <w:rStyle w:val="a5"/>
          <w:rFonts w:ascii="Times New Roman" w:hAnsi="Times New Roman" w:cs="Times New Roman"/>
          <w:color w:val="000000" w:themeColor="text1"/>
          <w:sz w:val="20"/>
          <w:szCs w:val="20"/>
        </w:rPr>
        <w:footnoteReference w:id="11"/>
      </w:r>
    </w:p>
    <w:p w14:paraId="03B9B112" w14:textId="77777777" w:rsidR="004A6F37" w:rsidRPr="002B0075" w:rsidRDefault="004A6F37" w:rsidP="00514E1A">
      <w:pPr>
        <w:jc w:val="both"/>
        <w:rPr>
          <w:rFonts w:ascii="Times New Roman" w:hAnsi="Times New Roman" w:cs="Times New Roman"/>
          <w:color w:val="000000" w:themeColor="text1"/>
          <w:sz w:val="20"/>
          <w:szCs w:val="20"/>
        </w:rPr>
      </w:pPr>
    </w:p>
    <w:p w14:paraId="05CABEA2" w14:textId="613F3D0E"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In the context of EU–ASEAN security relations, the EU does not appear to promote SR as a core norm in its rhetoric. However, research findings suggest that EU policymakers do seek to promote a soft form </w:t>
      </w:r>
      <w:r w:rsidRPr="002B0075">
        <w:rPr>
          <w:rFonts w:ascii="Times New Roman" w:hAnsi="Times New Roman" w:cs="Times New Roman"/>
          <w:color w:val="000000" w:themeColor="text1"/>
          <w:sz w:val="20"/>
          <w:szCs w:val="20"/>
        </w:rPr>
        <w:lastRenderedPageBreak/>
        <w:t>of security integration</w:t>
      </w:r>
      <w:r w:rsidRPr="002B0075">
        <w:rPr>
          <w:rStyle w:val="a5"/>
          <w:rFonts w:ascii="Times New Roman" w:hAnsi="Times New Roman" w:cs="Times New Roman"/>
          <w:color w:val="000000" w:themeColor="text1"/>
          <w:sz w:val="20"/>
          <w:szCs w:val="20"/>
        </w:rPr>
        <w:footnoteReference w:id="12"/>
      </w:r>
      <w:r w:rsidRPr="002B0075">
        <w:rPr>
          <w:rFonts w:ascii="Times New Roman" w:hAnsi="Times New Roman" w:cs="Times New Roman"/>
          <w:color w:val="000000" w:themeColor="text1"/>
          <w:sz w:val="20"/>
          <w:szCs w:val="20"/>
        </w:rPr>
        <w:t xml:space="preserve"> in ASEAN. Interview data shows the EU believes its own experience and practice can offer useful lessons for ASEAN, especially in soft security or non-conventional security areas, and has attempted to share these experiences with ASEAN.</w:t>
      </w:r>
      <w:r w:rsidR="001A7FFD" w:rsidRPr="002B0075">
        <w:rPr>
          <w:rStyle w:val="a5"/>
          <w:rFonts w:ascii="Times New Roman" w:hAnsi="Times New Roman" w:cs="Times New Roman"/>
          <w:color w:val="000000" w:themeColor="text1"/>
          <w:sz w:val="20"/>
          <w:szCs w:val="20"/>
        </w:rPr>
        <w:footnoteReference w:id="13"/>
      </w:r>
      <w:r w:rsidRPr="002B0075">
        <w:rPr>
          <w:rFonts w:ascii="Times New Roman" w:hAnsi="Times New Roman" w:cs="Times New Roman"/>
          <w:color w:val="000000" w:themeColor="text1"/>
          <w:sz w:val="20"/>
          <w:szCs w:val="20"/>
        </w:rPr>
        <w:t xml:space="preserve"> This approach is reflected in the 2015 Communication, which claims that ASEAN ‘can draw inspiration from the EU’s experience of framing security cooperation at regional level’ (European Commission 2015, p.11).</w:t>
      </w:r>
    </w:p>
    <w:p w14:paraId="4DFFFE14" w14:textId="77777777" w:rsidR="004A6F37" w:rsidRPr="002B0075" w:rsidRDefault="004A6F37" w:rsidP="00514E1A">
      <w:pPr>
        <w:jc w:val="both"/>
        <w:rPr>
          <w:rFonts w:ascii="Times New Roman" w:hAnsi="Times New Roman" w:cs="Times New Roman"/>
          <w:color w:val="000000" w:themeColor="text1"/>
          <w:sz w:val="20"/>
          <w:szCs w:val="20"/>
        </w:rPr>
      </w:pPr>
    </w:p>
    <w:p w14:paraId="70C32C11" w14:textId="3F0648C7"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While the idea of SR remains broad and abstract, the EU seeks to transform this overarching idea into more specific diffusion items at a practical level. For example, the EU promoted soft security regionalism in ASEAN by funding a project known as the EU–ASEAN Migration and Border Management Programme (EA–MBMP) in 2012, extended into a second phase in 2015. EA–MBMP aims to improve intra-ASEAN connectivity and border security through enhancing law enforcement networks and cooperation at main regional hubs (ASEAN</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2015). The EU Chemical, Biological, Radiological and Nuclear Risk Mitigation Centres of Excellence (CBRN </w:t>
      </w:r>
      <w:proofErr w:type="spellStart"/>
      <w:r w:rsidRPr="002B0075">
        <w:rPr>
          <w:rFonts w:ascii="Times New Roman" w:hAnsi="Times New Roman" w:cs="Times New Roman"/>
          <w:color w:val="000000" w:themeColor="text1"/>
          <w:sz w:val="20"/>
          <w:szCs w:val="20"/>
        </w:rPr>
        <w:t>CoE</w:t>
      </w:r>
      <w:proofErr w:type="spellEnd"/>
      <w:r w:rsidRPr="002B0075">
        <w:rPr>
          <w:rFonts w:ascii="Times New Roman" w:hAnsi="Times New Roman" w:cs="Times New Roman"/>
          <w:color w:val="000000" w:themeColor="text1"/>
          <w:sz w:val="20"/>
          <w:szCs w:val="20"/>
        </w:rPr>
        <w:t xml:space="preserve">) initiative also demonstrates how the EU translates the general idea of SR into specific policy. According to the EU, the CBRN </w:t>
      </w:r>
      <w:proofErr w:type="spellStart"/>
      <w:r w:rsidRPr="002B0075">
        <w:rPr>
          <w:rFonts w:ascii="Times New Roman" w:hAnsi="Times New Roman" w:cs="Times New Roman"/>
          <w:color w:val="000000" w:themeColor="text1"/>
          <w:sz w:val="20"/>
          <w:szCs w:val="20"/>
        </w:rPr>
        <w:t>CoE</w:t>
      </w:r>
      <w:proofErr w:type="spellEnd"/>
      <w:r w:rsidRPr="002B0075">
        <w:rPr>
          <w:rFonts w:ascii="Times New Roman" w:hAnsi="Times New Roman" w:cs="Times New Roman"/>
          <w:color w:val="000000" w:themeColor="text1"/>
          <w:sz w:val="20"/>
          <w:szCs w:val="20"/>
        </w:rPr>
        <w:t xml:space="preserve"> was established ‘in response to the need to strengthen the institutional capacity of countries outside the EU to mitigate CBRN risks’ (European Commission</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2019). EU </w:t>
      </w:r>
      <w:proofErr w:type="spellStart"/>
      <w:r w:rsidRPr="002B0075">
        <w:rPr>
          <w:rFonts w:ascii="Times New Roman" w:hAnsi="Times New Roman" w:cs="Times New Roman"/>
          <w:color w:val="000000" w:themeColor="text1"/>
          <w:sz w:val="20"/>
          <w:szCs w:val="20"/>
        </w:rPr>
        <w:t>CoE</w:t>
      </w:r>
      <w:proofErr w:type="spellEnd"/>
      <w:r w:rsidRPr="002B0075">
        <w:rPr>
          <w:rFonts w:ascii="Times New Roman" w:hAnsi="Times New Roman" w:cs="Times New Roman"/>
          <w:color w:val="000000" w:themeColor="text1"/>
          <w:sz w:val="20"/>
          <w:szCs w:val="20"/>
        </w:rPr>
        <w:t xml:space="preserve"> activities can be interpreted as promoting soft security regionalism in the sense that ‘the EU has a mature framework of preventing and managing CBRN challenges’ and that it ‘tries to deliver this policy framework in the Southeast Asian region’.</w:t>
      </w:r>
      <w:r w:rsidR="001A7FFD" w:rsidRPr="002B0075">
        <w:rPr>
          <w:rStyle w:val="a5"/>
          <w:rFonts w:ascii="Times New Roman" w:hAnsi="Times New Roman" w:cs="Times New Roman"/>
          <w:color w:val="000000" w:themeColor="text1"/>
          <w:sz w:val="20"/>
          <w:szCs w:val="20"/>
        </w:rPr>
        <w:footnoteReference w:id="14"/>
      </w:r>
      <w:r w:rsidRPr="002B0075">
        <w:rPr>
          <w:rFonts w:ascii="Times New Roman" w:hAnsi="Times New Roman" w:cs="Times New Roman"/>
          <w:color w:val="000000" w:themeColor="text1"/>
          <w:sz w:val="20"/>
          <w:szCs w:val="20"/>
        </w:rPr>
        <w:t xml:space="preserve"> </w:t>
      </w:r>
    </w:p>
    <w:p w14:paraId="0A7E6A1C" w14:textId="77777777" w:rsidR="004A6F37" w:rsidRPr="002B0075" w:rsidRDefault="004A6F37" w:rsidP="00514E1A">
      <w:pPr>
        <w:jc w:val="both"/>
        <w:rPr>
          <w:rFonts w:ascii="Times New Roman" w:hAnsi="Times New Roman" w:cs="Times New Roman"/>
          <w:color w:val="000000" w:themeColor="text1"/>
          <w:sz w:val="20"/>
          <w:szCs w:val="20"/>
        </w:rPr>
      </w:pPr>
    </w:p>
    <w:p w14:paraId="2EB9773C" w14:textId="7FA578A2"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The third fundamental norm the EU seeks to promote is the (international) rule of law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According to the Treaty of the European Union, ‘the EU is founded on the values of respect for human dignity, freedom, democracy, equality, the rule of law and respect for human rights’ (TEU Article 2), and the EU ‘seeks to advance its principles in the wider world’ (TEU Article 21). The EU’s promotion of the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is primarily regarded as an annex to democracy, good governance and human rights and has rarely been discussed in a security-related context. </w:t>
      </w:r>
    </w:p>
    <w:p w14:paraId="1C200214" w14:textId="77777777" w:rsidR="004A6F37" w:rsidRPr="002B0075" w:rsidRDefault="004A6F37" w:rsidP="00514E1A">
      <w:pPr>
        <w:jc w:val="both"/>
        <w:rPr>
          <w:rFonts w:ascii="Times New Roman" w:hAnsi="Times New Roman" w:cs="Times New Roman"/>
          <w:color w:val="000000" w:themeColor="text1"/>
          <w:sz w:val="20"/>
          <w:szCs w:val="20"/>
        </w:rPr>
      </w:pPr>
    </w:p>
    <w:p w14:paraId="7DE07CDE" w14:textId="7784ABCC" w:rsidR="00A121AE" w:rsidRPr="002B0075" w:rsidRDefault="00A121AE"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In the specific case of EU–ASEAN security relations, it can be observed that, when formulating its discourse on the rule of law, the EU has attached less importance to democracy and good governance. Rather, the EU’s promotion of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to ASEAN has centred around two specific dimensions: first, the EU has prioritized its promotion of respect for ‘international rule of law’ in its security relations with ASEAN.</w:t>
      </w:r>
      <w:r w:rsidR="00B90407" w:rsidRPr="002B0075">
        <w:rPr>
          <w:rStyle w:val="a5"/>
          <w:rFonts w:ascii="Times New Roman" w:hAnsi="Times New Roman" w:cs="Times New Roman"/>
          <w:color w:val="000000" w:themeColor="text1"/>
          <w:sz w:val="20"/>
          <w:szCs w:val="20"/>
        </w:rPr>
        <w:footnoteReference w:id="15"/>
      </w:r>
      <w:r w:rsidRPr="002B0075">
        <w:rPr>
          <w:rFonts w:ascii="Times New Roman" w:hAnsi="Times New Roman" w:cs="Times New Roman"/>
          <w:color w:val="000000" w:themeColor="text1"/>
          <w:sz w:val="20"/>
          <w:szCs w:val="20"/>
        </w:rPr>
        <w:t xml:space="preserve"> Second, the EU has attempted to promote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in ASEAN by supporting and strengthening </w:t>
      </w:r>
      <w:r w:rsidRPr="002B0075">
        <w:rPr>
          <w:rFonts w:ascii="Times New Roman" w:hAnsi="Times New Roman" w:cs="Times New Roman"/>
          <w:color w:val="000000" w:themeColor="text1"/>
          <w:sz w:val="20"/>
          <w:szCs w:val="20"/>
        </w:rPr>
        <w:lastRenderedPageBreak/>
        <w:t>the aspect of domestic law-making and law-enforcement across security-related sectors such as border management, cybersecurity, anti-trafficking, CBRN risk management, and maritime security.</w:t>
      </w:r>
    </w:p>
    <w:p w14:paraId="282339B3" w14:textId="77777777" w:rsidR="00A121AE" w:rsidRPr="002B0075" w:rsidRDefault="00A121AE" w:rsidP="00514E1A">
      <w:pPr>
        <w:jc w:val="both"/>
        <w:rPr>
          <w:rFonts w:ascii="Times New Roman" w:hAnsi="Times New Roman" w:cs="Times New Roman"/>
          <w:color w:val="000000" w:themeColor="text1"/>
          <w:sz w:val="20"/>
          <w:szCs w:val="20"/>
        </w:rPr>
      </w:pPr>
    </w:p>
    <w:p w14:paraId="65EDE990" w14:textId="25BB1354" w:rsidR="00A121AE" w:rsidRPr="002B0075" w:rsidRDefault="00A121AE"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With regards to the promotion of international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the EU’s consideration has been consistently reflected in EU official documents or statements concerning EU–ASEAN security relations. For instance, the 2003 Communication on Southeast Asia stressed the importance of international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in addressing security issues such as terrorism, organized crime, illegal migration and human trafficking (European Commission 2003). Similarly, the Nuremberg Declaration on the EU–ASEAN Enhanced Partnership in 2007 emphasized that ‘cooperation in addressing and combating terrorism, trafficking in human beings, drug trafficking, sea piracy, arms smuggling, money laundering, cybercrime and related trans-national crime’ should be undertaken ‘in accordance with international law’ (Council of the EU</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2007: 3). Whereas the norm of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remained relatively vague in these statements, in recent years the EU has attempted to translate this overarching idea into more specific diffusion items in different security-related policy contexts. </w:t>
      </w:r>
    </w:p>
    <w:p w14:paraId="14E14021" w14:textId="77777777" w:rsidR="00024F75" w:rsidRPr="002B0075" w:rsidRDefault="00024F75" w:rsidP="00514E1A">
      <w:pPr>
        <w:jc w:val="both"/>
        <w:rPr>
          <w:rFonts w:ascii="Times New Roman" w:hAnsi="Times New Roman" w:cs="Times New Roman"/>
          <w:color w:val="000000" w:themeColor="text1"/>
          <w:sz w:val="20"/>
          <w:szCs w:val="20"/>
        </w:rPr>
      </w:pPr>
    </w:p>
    <w:p w14:paraId="732624FB" w14:textId="02E11839" w:rsidR="00A121AE" w:rsidRPr="002B0075" w:rsidRDefault="00A121AE"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Specifically, in the 2012 Guidelines on the EU’s Foreign and Security Policy in East Asia, the EU explicitly linked the norm of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to maritime security issues. With regard to the South China Sea tensions, the EU expressed its ‘perspective of promoting the rules-based international system’ and encouraged ‘the parties concerned to resolve disputes through peaceful and cooperative solutions in accordance with international law (in particular UNCLOS)’ (Council of the EU</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2012: 19). The 2015 Joint Communication on EU–ASEAN relations also noted that the EU ‘has a strong interest in maintaining stability and security in the South China Sea, as well as respect for international law, including the UN Convention on the Law of the Sea (UNCLOS)’ (European Commission</w:t>
      </w:r>
      <w:r w:rsidR="00024F75"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 xml:space="preserve"> 2015: 12). The document also called for ASEAN and China to resolve the dispute by agreeing a Code of Conduct on the South China Sea in line with international law (ibid.). According to an EU diplomat, since the increase of South China Sea tensions in 2012, the EU has paid increasing attention to maritime security issues in ASEAN. In the hope of ‘featuring law enforcement in maritime governance’, the EU has ‘stressed the importance of principles such as international maritime law and navigation rules’ through cooperation mechanisms such as the ASEAN–EU High Level Maritime Forums and ARF.</w:t>
      </w:r>
      <w:r w:rsidR="00B90407" w:rsidRPr="002B0075">
        <w:rPr>
          <w:rStyle w:val="a5"/>
          <w:rFonts w:ascii="Times New Roman" w:hAnsi="Times New Roman" w:cs="Times New Roman"/>
          <w:color w:val="000000" w:themeColor="text1"/>
          <w:sz w:val="20"/>
          <w:szCs w:val="20"/>
        </w:rPr>
        <w:footnoteReference w:id="16"/>
      </w:r>
      <w:r w:rsidRPr="002B0075">
        <w:rPr>
          <w:rFonts w:ascii="Times New Roman" w:hAnsi="Times New Roman" w:cs="Times New Roman"/>
          <w:color w:val="000000" w:themeColor="text1"/>
          <w:sz w:val="20"/>
          <w:szCs w:val="20"/>
        </w:rPr>
        <w:t xml:space="preserve"> </w:t>
      </w:r>
    </w:p>
    <w:p w14:paraId="1965B210" w14:textId="77777777" w:rsidR="00A121AE" w:rsidRPr="002B0075" w:rsidRDefault="00A121AE" w:rsidP="00514E1A">
      <w:pPr>
        <w:jc w:val="both"/>
        <w:rPr>
          <w:rFonts w:ascii="Times New Roman" w:hAnsi="Times New Roman" w:cs="Times New Roman"/>
          <w:color w:val="000000" w:themeColor="text1"/>
          <w:sz w:val="20"/>
          <w:szCs w:val="20"/>
        </w:rPr>
      </w:pPr>
    </w:p>
    <w:p w14:paraId="6D6CD378" w14:textId="244CF960" w:rsidR="00A121AE" w:rsidRPr="002B0075" w:rsidRDefault="00A121AE"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Apart from emphasizing the international dimension of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the EU has also sought to help ASEAN and its member states to strengthen domestic legislation and law-enforcement in various security-related sectors. Notably, in the Plan of Action to implement the Nuremberg Declaration on an EU–ASEAN enhanced partnership (2007–12), the EU stressed its ‘objective of strengthening the capacities of national law enforcement agencies’ in the ASEAN region in multiple security areas. Specifically, the EU announced its intention to ‘step up EU technical assistance, enhance cooperation in information sharing, legislative framework and law enforcement…in support of efforts to tackle the problem of transnational crime</w:t>
      </w:r>
      <w:proofErr w:type="gramStart"/>
      <w:r w:rsidRPr="002B0075">
        <w:rPr>
          <w:rFonts w:ascii="Times New Roman" w:hAnsi="Times New Roman" w:cs="Times New Roman"/>
          <w:color w:val="000000" w:themeColor="text1"/>
          <w:sz w:val="20"/>
          <w:szCs w:val="20"/>
        </w:rPr>
        <w:t>’</w:t>
      </w:r>
      <w:r w:rsidR="009027D5" w:rsidRPr="002B0075">
        <w:rPr>
          <w:rFonts w:ascii="Times New Roman" w:hAnsi="Times New Roman" w:cs="Times New Roman"/>
          <w:color w:val="000000" w:themeColor="text1"/>
          <w:sz w:val="20"/>
          <w:szCs w:val="20"/>
        </w:rPr>
        <w:t>(</w:t>
      </w:r>
      <w:proofErr w:type="gramEnd"/>
      <w:r w:rsidR="009027D5" w:rsidRPr="002B0075">
        <w:rPr>
          <w:rFonts w:ascii="Times New Roman" w:hAnsi="Times New Roman" w:cs="Times New Roman"/>
          <w:color w:val="000000" w:themeColor="text1"/>
          <w:sz w:val="20"/>
          <w:szCs w:val="20"/>
        </w:rPr>
        <w:t>European Commission 2007)</w:t>
      </w:r>
      <w:r w:rsidRPr="002B0075">
        <w:rPr>
          <w:rFonts w:ascii="Times New Roman" w:hAnsi="Times New Roman" w:cs="Times New Roman"/>
          <w:color w:val="000000" w:themeColor="text1"/>
          <w:sz w:val="20"/>
          <w:szCs w:val="20"/>
        </w:rPr>
        <w:t>. From the EU’s perspective, enhancing national legislative framework and law enforcement capacity in security-related issue areas can make a significant contribution to addressing ASEAN’s non-traditional security challenges.</w:t>
      </w:r>
      <w:r w:rsidR="00B90407" w:rsidRPr="002B0075">
        <w:rPr>
          <w:rStyle w:val="a5"/>
          <w:rFonts w:ascii="Times New Roman" w:hAnsi="Times New Roman" w:cs="Times New Roman"/>
          <w:color w:val="000000" w:themeColor="text1"/>
          <w:sz w:val="20"/>
          <w:szCs w:val="20"/>
        </w:rPr>
        <w:footnoteReference w:id="17"/>
      </w:r>
      <w:r w:rsidRPr="002B0075">
        <w:rPr>
          <w:rFonts w:ascii="Times New Roman" w:hAnsi="Times New Roman" w:cs="Times New Roman"/>
          <w:color w:val="000000" w:themeColor="text1"/>
          <w:sz w:val="20"/>
          <w:szCs w:val="20"/>
        </w:rPr>
        <w:t xml:space="preserve"> Notably, the EU has </w:t>
      </w:r>
      <w:r w:rsidRPr="002B0075">
        <w:rPr>
          <w:rFonts w:ascii="Times New Roman" w:hAnsi="Times New Roman" w:cs="Times New Roman"/>
          <w:color w:val="000000" w:themeColor="text1"/>
          <w:sz w:val="20"/>
          <w:szCs w:val="20"/>
        </w:rPr>
        <w:lastRenderedPageBreak/>
        <w:t xml:space="preserve">prioritized the enhancement of legislative frameworks and law enforcement in its cooperation with ASEAN in border management and CBRN risk mitigation. The EU’s promotion of domestic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to ASEAN can be observed in the EU–ASEAN Migration and Border Management Programme II, which aims at ‘improving connectivity through strengthening law enforcement networks and cooperation at main regional transit hubs’ in ASEAN.</w:t>
      </w:r>
      <w:r w:rsidRPr="002B0075">
        <w:rPr>
          <w:rStyle w:val="a5"/>
          <w:rFonts w:ascii="Times New Roman" w:hAnsi="Times New Roman" w:cs="Times New Roman"/>
          <w:color w:val="000000" w:themeColor="text1"/>
          <w:sz w:val="20"/>
          <w:szCs w:val="20"/>
        </w:rPr>
        <w:footnoteReference w:id="18"/>
      </w:r>
      <w:r w:rsidRPr="002B0075">
        <w:rPr>
          <w:rFonts w:ascii="Times New Roman" w:hAnsi="Times New Roman" w:cs="Times New Roman"/>
          <w:color w:val="000000" w:themeColor="text1"/>
          <w:sz w:val="20"/>
          <w:szCs w:val="20"/>
        </w:rPr>
        <w:t xml:space="preserve"> The programme included training programmes and workshops to strengthen the capabilities of law enforcement entities and empower law enforcement officials to address security challenges including migrant smuggling, human trafficking and border management challenges.</w:t>
      </w:r>
      <w:r w:rsidRPr="002B0075">
        <w:rPr>
          <w:rStyle w:val="a5"/>
          <w:rFonts w:ascii="Times New Roman" w:hAnsi="Times New Roman" w:cs="Times New Roman"/>
          <w:color w:val="000000" w:themeColor="text1"/>
          <w:sz w:val="20"/>
          <w:szCs w:val="20"/>
        </w:rPr>
        <w:footnoteReference w:id="19"/>
      </w:r>
      <w:r w:rsidRPr="002B0075">
        <w:rPr>
          <w:rFonts w:ascii="Times New Roman" w:hAnsi="Times New Roman" w:cs="Times New Roman"/>
          <w:color w:val="000000" w:themeColor="text1"/>
          <w:sz w:val="20"/>
          <w:szCs w:val="20"/>
        </w:rPr>
        <w:t xml:space="preserve"> Similarly, in EU–ASEAN cooperation in CBRN risk management, support to enhance national legislative frameworks and law enforcement in CBRN has been embedded in multiple EU CBRN </w:t>
      </w:r>
      <w:proofErr w:type="spellStart"/>
      <w:r w:rsidRPr="002B0075">
        <w:rPr>
          <w:rFonts w:ascii="Times New Roman" w:hAnsi="Times New Roman" w:cs="Times New Roman"/>
          <w:color w:val="000000" w:themeColor="text1"/>
          <w:sz w:val="20"/>
          <w:szCs w:val="20"/>
        </w:rPr>
        <w:t>CoE</w:t>
      </w:r>
      <w:proofErr w:type="spellEnd"/>
      <w:r w:rsidRPr="002B0075">
        <w:rPr>
          <w:rFonts w:ascii="Times New Roman" w:hAnsi="Times New Roman" w:cs="Times New Roman"/>
          <w:color w:val="000000" w:themeColor="text1"/>
          <w:sz w:val="20"/>
          <w:szCs w:val="20"/>
        </w:rPr>
        <w:t xml:space="preserve"> projects in ASEAN (e.g. Project 46, Project 62, Project 81). For instance, the EU CBRN </w:t>
      </w:r>
      <w:proofErr w:type="spellStart"/>
      <w:r w:rsidRPr="002B0075">
        <w:rPr>
          <w:rFonts w:ascii="Times New Roman" w:hAnsi="Times New Roman" w:cs="Times New Roman"/>
          <w:color w:val="000000" w:themeColor="text1"/>
          <w:sz w:val="20"/>
          <w:szCs w:val="20"/>
        </w:rPr>
        <w:t>CoE</w:t>
      </w:r>
      <w:proofErr w:type="spellEnd"/>
      <w:r w:rsidRPr="002B0075">
        <w:rPr>
          <w:rFonts w:ascii="Times New Roman" w:hAnsi="Times New Roman" w:cs="Times New Roman"/>
          <w:color w:val="000000" w:themeColor="text1"/>
          <w:sz w:val="20"/>
          <w:szCs w:val="20"/>
        </w:rPr>
        <w:t xml:space="preserve"> 46 project has a dedicated component, ‘support to strengthen legal framework’, which focused on ‘awareness raising concerning CBRN risk mitigation and technical support to strengthen legal framework’ in the ASEAN region.</w:t>
      </w:r>
      <w:r w:rsidRPr="002B0075">
        <w:rPr>
          <w:rStyle w:val="a5"/>
          <w:rFonts w:ascii="Times New Roman" w:hAnsi="Times New Roman" w:cs="Times New Roman"/>
          <w:color w:val="000000" w:themeColor="text1"/>
          <w:sz w:val="20"/>
          <w:szCs w:val="20"/>
        </w:rPr>
        <w:footnoteReference w:id="20"/>
      </w:r>
    </w:p>
    <w:p w14:paraId="7C991C04" w14:textId="77777777" w:rsidR="004A6F37" w:rsidRPr="002B0075" w:rsidRDefault="004A6F37" w:rsidP="00514E1A">
      <w:pPr>
        <w:jc w:val="both"/>
        <w:rPr>
          <w:rFonts w:ascii="Times New Roman" w:hAnsi="Times New Roman" w:cs="Times New Roman"/>
          <w:color w:val="000000" w:themeColor="text1"/>
          <w:sz w:val="20"/>
          <w:szCs w:val="20"/>
        </w:rPr>
      </w:pPr>
    </w:p>
    <w:p w14:paraId="18D4B3FA" w14:textId="6FCD938C"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Figure 1. EU security norm cluster</w:t>
      </w:r>
      <w:r w:rsidR="00DB03F8" w:rsidRPr="002B0075">
        <w:rPr>
          <w:rFonts w:ascii="Times New Roman" w:hAnsi="Times New Roman" w:cs="Times New Roman"/>
          <w:color w:val="000000" w:themeColor="text1"/>
          <w:sz w:val="20"/>
          <w:szCs w:val="20"/>
        </w:rPr>
        <w:t xml:space="preserve"> in EU-ASEAN security relations</w:t>
      </w:r>
    </w:p>
    <w:p w14:paraId="33092E4D" w14:textId="7483A8F2" w:rsidR="004A6F37" w:rsidRPr="002B0075" w:rsidRDefault="00DB03F8" w:rsidP="00514E1A">
      <w:pPr>
        <w:jc w:val="both"/>
        <w:rPr>
          <w:rFonts w:ascii="Times New Roman" w:hAnsi="Times New Roman" w:cs="Times New Roman"/>
          <w:color w:val="000000" w:themeColor="text1"/>
          <w:sz w:val="20"/>
          <w:szCs w:val="20"/>
        </w:rPr>
      </w:pPr>
      <w:r w:rsidRPr="002B0075">
        <w:rPr>
          <w:rFonts w:ascii="Times New Roman" w:hAnsi="Times New Roman" w:cs="Times New Roman"/>
          <w:noProof/>
          <w:color w:val="000000" w:themeColor="text1"/>
          <w:sz w:val="20"/>
          <w:szCs w:val="20"/>
        </w:rPr>
        <w:lastRenderedPageBreak/>
        <w:drawing>
          <wp:inline distT="0" distB="0" distL="0" distR="0" wp14:anchorId="79F547B1" wp14:editId="2D2C4C50">
            <wp:extent cx="5270500" cy="5862320"/>
            <wp:effectExtent l="0" t="0" r="0" b="508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0" cy="5862320"/>
                    </a:xfrm>
                    <a:prstGeom prst="rect">
                      <a:avLst/>
                    </a:prstGeom>
                  </pic:spPr>
                </pic:pic>
              </a:graphicData>
            </a:graphic>
          </wp:inline>
        </w:drawing>
      </w:r>
    </w:p>
    <w:p w14:paraId="02420775" w14:textId="7ADFD451"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Source: developed by the author </w:t>
      </w:r>
      <w:r w:rsidR="00A121AE" w:rsidRPr="002B0075">
        <w:rPr>
          <w:rFonts w:ascii="Times New Roman" w:hAnsi="Times New Roman" w:cs="Times New Roman"/>
          <w:color w:val="000000" w:themeColor="text1"/>
          <w:sz w:val="20"/>
          <w:szCs w:val="20"/>
        </w:rPr>
        <w:t xml:space="preserve">based on the norm-cluster model </w:t>
      </w:r>
      <w:r w:rsidR="00B3072B" w:rsidRPr="002B0075">
        <w:rPr>
          <w:rFonts w:ascii="Times New Roman" w:hAnsi="Times New Roman" w:cs="Times New Roman"/>
          <w:color w:val="000000" w:themeColor="text1"/>
          <w:sz w:val="20"/>
          <w:szCs w:val="20"/>
        </w:rPr>
        <w:t>(</w:t>
      </w:r>
      <w:r w:rsidR="00A121AE" w:rsidRPr="002B0075">
        <w:rPr>
          <w:rFonts w:ascii="Times New Roman" w:hAnsi="Times New Roman" w:cs="Times New Roman"/>
          <w:color w:val="000000" w:themeColor="text1"/>
          <w:sz w:val="20"/>
          <w:szCs w:val="20"/>
        </w:rPr>
        <w:t>Winston 2018</w:t>
      </w:r>
      <w:r w:rsidR="00B3072B" w:rsidRPr="002B0075">
        <w:rPr>
          <w:rFonts w:ascii="Times New Roman" w:hAnsi="Times New Roman" w:cs="Times New Roman"/>
          <w:color w:val="000000" w:themeColor="text1"/>
          <w:sz w:val="20"/>
          <w:szCs w:val="20"/>
        </w:rPr>
        <w:t>)</w:t>
      </w:r>
    </w:p>
    <w:p w14:paraId="3A24D1EB" w14:textId="77777777" w:rsidR="004A6F37" w:rsidRPr="002B0075" w:rsidRDefault="004A6F37" w:rsidP="00514E1A">
      <w:pPr>
        <w:jc w:val="both"/>
        <w:rPr>
          <w:rFonts w:ascii="Times New Roman" w:hAnsi="Times New Roman" w:cs="Times New Roman"/>
          <w:color w:val="000000" w:themeColor="text1"/>
          <w:sz w:val="20"/>
          <w:szCs w:val="20"/>
        </w:rPr>
      </w:pPr>
    </w:p>
    <w:p w14:paraId="319609FA" w14:textId="69C4FE6D"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To summarize, </w:t>
      </w:r>
      <w:r w:rsidR="008B40FE" w:rsidRPr="002B0075">
        <w:rPr>
          <w:rFonts w:ascii="Times New Roman" w:hAnsi="Times New Roman" w:cs="Times New Roman"/>
          <w:color w:val="000000" w:themeColor="text1"/>
          <w:sz w:val="20"/>
          <w:szCs w:val="20"/>
        </w:rPr>
        <w:t xml:space="preserve">two major problems and three fundamental security-related </w:t>
      </w:r>
      <w:r w:rsidRPr="002B0075">
        <w:rPr>
          <w:rFonts w:ascii="Times New Roman" w:hAnsi="Times New Roman" w:cs="Times New Roman"/>
          <w:color w:val="000000" w:themeColor="text1"/>
          <w:sz w:val="20"/>
          <w:szCs w:val="20"/>
        </w:rPr>
        <w:t xml:space="preserve">norms can be identified as low-specificity diffusion items in the context of EU–ASEAN security cooperation, including SP, SR and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Each norm has been transferred into more specific diffusion items (either mid-level norms such as CA or concrete policy settings</w:t>
      </w:r>
      <w:r w:rsidR="008921D5" w:rsidRPr="002B0075">
        <w:rPr>
          <w:rFonts w:ascii="Times New Roman" w:hAnsi="Times New Roman" w:cs="Times New Roman"/>
          <w:color w:val="000000" w:themeColor="text1"/>
          <w:sz w:val="20"/>
          <w:szCs w:val="20"/>
        </w:rPr>
        <w:t xml:space="preserve"> and behaviours</w:t>
      </w:r>
      <w:r w:rsidRPr="002B0075">
        <w:rPr>
          <w:rFonts w:ascii="Times New Roman" w:hAnsi="Times New Roman" w:cs="Times New Roman"/>
          <w:color w:val="000000" w:themeColor="text1"/>
          <w:sz w:val="20"/>
          <w:szCs w:val="20"/>
        </w:rPr>
        <w:t>).</w:t>
      </w:r>
      <w:r w:rsidR="008B40FE" w:rsidRPr="002B0075">
        <w:rPr>
          <w:rFonts w:ascii="Times New Roman" w:hAnsi="Times New Roman" w:cs="Times New Roman"/>
          <w:color w:val="000000" w:themeColor="text1"/>
          <w:sz w:val="20"/>
          <w:szCs w:val="20"/>
        </w:rPr>
        <w:t xml:space="preserve"> Figure 1 illustrates the structure of the EU’s security norm-cluster in this case study.</w:t>
      </w:r>
      <w:r w:rsidRPr="002B0075">
        <w:rPr>
          <w:rFonts w:ascii="Times New Roman" w:hAnsi="Times New Roman" w:cs="Times New Roman"/>
          <w:color w:val="000000" w:themeColor="text1"/>
          <w:sz w:val="20"/>
          <w:szCs w:val="20"/>
        </w:rPr>
        <w:t xml:space="preserve"> It is important to note that these three overarching norms are distinct but interrelated at an empirical level. In the context of EU–ASEAN security relations, the three norms are often treated as cross-cutting issues and therefore intertwined across a range of security-related policy areas.</w:t>
      </w:r>
    </w:p>
    <w:p w14:paraId="5E326C67" w14:textId="77777777" w:rsidR="004A6F37" w:rsidRPr="002B0075" w:rsidRDefault="004A6F37" w:rsidP="00514E1A">
      <w:pPr>
        <w:jc w:val="both"/>
        <w:rPr>
          <w:rFonts w:ascii="Times New Roman" w:hAnsi="Times New Roman" w:cs="Times New Roman"/>
          <w:color w:val="000000" w:themeColor="text1"/>
          <w:sz w:val="20"/>
          <w:szCs w:val="20"/>
        </w:rPr>
      </w:pPr>
    </w:p>
    <w:p w14:paraId="4F758EEC" w14:textId="21E521CB" w:rsidR="004A6F37" w:rsidRPr="002B0075" w:rsidRDefault="00780204" w:rsidP="004428FA">
      <w:pPr>
        <w:pStyle w:val="aa"/>
        <w:numPr>
          <w:ilvl w:val="1"/>
          <w:numId w:val="15"/>
        </w:numPr>
        <w:ind w:firstLineChars="0"/>
        <w:jc w:val="both"/>
        <w:rPr>
          <w:rFonts w:cs="Times New Roman"/>
          <w:b/>
          <w:bCs/>
          <w:color w:val="000000" w:themeColor="text1"/>
          <w:sz w:val="20"/>
          <w:szCs w:val="20"/>
        </w:rPr>
      </w:pPr>
      <w:r w:rsidRPr="002B0075">
        <w:rPr>
          <w:rFonts w:cs="Times New Roman"/>
          <w:b/>
          <w:bCs/>
          <w:color w:val="000000" w:themeColor="text1"/>
          <w:sz w:val="20"/>
          <w:szCs w:val="20"/>
        </w:rPr>
        <w:t xml:space="preserve">Assessing normative impact: </w:t>
      </w:r>
      <w:r w:rsidR="004A6F37" w:rsidRPr="002B0075">
        <w:rPr>
          <w:rFonts w:cs="Times New Roman"/>
          <w:b/>
          <w:bCs/>
          <w:color w:val="000000" w:themeColor="text1"/>
          <w:sz w:val="20"/>
          <w:szCs w:val="20"/>
        </w:rPr>
        <w:t>Effectiveness of EU diffusion of security norm-cluster</w:t>
      </w:r>
      <w:r w:rsidRPr="002B0075">
        <w:rPr>
          <w:rFonts w:cs="Times New Roman"/>
          <w:b/>
          <w:bCs/>
          <w:color w:val="000000" w:themeColor="text1"/>
          <w:sz w:val="20"/>
          <w:szCs w:val="20"/>
        </w:rPr>
        <w:t xml:space="preserve"> in ASEAN</w:t>
      </w:r>
    </w:p>
    <w:p w14:paraId="6BF8D5F7" w14:textId="77777777" w:rsidR="004A6F37" w:rsidRPr="002B0075" w:rsidRDefault="004A6F37" w:rsidP="00514E1A">
      <w:pPr>
        <w:jc w:val="both"/>
        <w:rPr>
          <w:rFonts w:ascii="Times New Roman" w:hAnsi="Times New Roman" w:cs="Times New Roman"/>
          <w:color w:val="000000" w:themeColor="text1"/>
          <w:sz w:val="20"/>
          <w:szCs w:val="20"/>
        </w:rPr>
      </w:pPr>
    </w:p>
    <w:p w14:paraId="44354397" w14:textId="5AD87C43" w:rsidR="004A6F37" w:rsidRPr="002B0075" w:rsidRDefault="00B3072B"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t>Based on the empirical indicators listed in Table 1, t</w:t>
      </w:r>
      <w:r w:rsidR="004A6F37" w:rsidRPr="002B0075">
        <w:rPr>
          <w:rFonts w:ascii="Times New Roman" w:hAnsi="Times New Roman" w:cs="Times New Roman"/>
          <w:color w:val="000000" w:themeColor="text1"/>
          <w:sz w:val="20"/>
          <w:szCs w:val="20"/>
        </w:rPr>
        <w:t>his research has evaluated the EU’s normative impact across various security-related issue areas</w:t>
      </w:r>
      <w:r w:rsidRPr="002B0075">
        <w:rPr>
          <w:rFonts w:ascii="Times New Roman" w:hAnsi="Times New Roman" w:cs="Times New Roman"/>
          <w:color w:val="000000" w:themeColor="text1"/>
          <w:sz w:val="20"/>
          <w:szCs w:val="20"/>
        </w:rPr>
        <w:t xml:space="preserve"> within the context of EU-ASEAN cooperation</w:t>
      </w:r>
      <w:r w:rsidR="004A6F37" w:rsidRPr="002B0075">
        <w:rPr>
          <w:rFonts w:ascii="Times New Roman" w:hAnsi="Times New Roman" w:cs="Times New Roman"/>
          <w:color w:val="000000" w:themeColor="text1"/>
          <w:sz w:val="20"/>
          <w:szCs w:val="20"/>
        </w:rPr>
        <w:t>. The findings suggest that the effectiveness of the EU’s diffusion varies across the different security-related norm components with different levels of specificity</w:t>
      </w:r>
      <w:r w:rsidR="002F725B" w:rsidRPr="002B0075">
        <w:rPr>
          <w:rFonts w:ascii="Times New Roman" w:hAnsi="Times New Roman" w:cs="Times New Roman"/>
          <w:color w:val="000000" w:themeColor="text1"/>
          <w:sz w:val="20"/>
          <w:szCs w:val="20"/>
        </w:rPr>
        <w:t>, which largely confirms the hypothesis developed in the analytical framework</w:t>
      </w:r>
      <w:r w:rsidR="004A6F37" w:rsidRPr="002B0075">
        <w:rPr>
          <w:rFonts w:ascii="Times New Roman" w:hAnsi="Times New Roman" w:cs="Times New Roman"/>
          <w:color w:val="000000" w:themeColor="text1"/>
          <w:sz w:val="20"/>
          <w:szCs w:val="20"/>
        </w:rPr>
        <w:t xml:space="preserve">. This research </w:t>
      </w:r>
      <w:r w:rsidR="00140BD2" w:rsidRPr="002B0075">
        <w:rPr>
          <w:rFonts w:ascii="Times New Roman" w:hAnsi="Times New Roman" w:cs="Times New Roman"/>
          <w:color w:val="000000" w:themeColor="text1"/>
          <w:sz w:val="20"/>
          <w:szCs w:val="20"/>
        </w:rPr>
        <w:t xml:space="preserve">reveals that </w:t>
      </w:r>
      <w:r w:rsidRPr="002B0075">
        <w:rPr>
          <w:rFonts w:ascii="Times New Roman" w:hAnsi="Times New Roman" w:cs="Times New Roman"/>
          <w:color w:val="000000" w:themeColor="text1"/>
          <w:sz w:val="20"/>
          <w:szCs w:val="20"/>
        </w:rPr>
        <w:t>a</w:t>
      </w:r>
      <w:r w:rsidR="00140BD2" w:rsidRPr="002B0075">
        <w:rPr>
          <w:rFonts w:ascii="Times New Roman" w:hAnsi="Times New Roman" w:cs="Times New Roman"/>
          <w:color w:val="000000" w:themeColor="text1"/>
          <w:sz w:val="20"/>
          <w:szCs w:val="20"/>
        </w:rPr>
        <w:t xml:space="preserve"> partial adoption of EU </w:t>
      </w:r>
      <w:r w:rsidR="00024F75" w:rsidRPr="002B0075">
        <w:rPr>
          <w:rFonts w:ascii="Times New Roman" w:hAnsi="Times New Roman" w:cs="Times New Roman"/>
          <w:color w:val="000000" w:themeColor="text1"/>
          <w:sz w:val="20"/>
          <w:szCs w:val="20"/>
        </w:rPr>
        <w:t>norm-cluster</w:t>
      </w:r>
      <w:r w:rsidR="00140BD2" w:rsidRPr="002B0075">
        <w:rPr>
          <w:rFonts w:ascii="Times New Roman" w:hAnsi="Times New Roman" w:cs="Times New Roman"/>
          <w:color w:val="000000" w:themeColor="text1"/>
          <w:sz w:val="20"/>
          <w:szCs w:val="20"/>
        </w:rPr>
        <w:t xml:space="preserve"> can be observed in ASEAN</w:t>
      </w:r>
      <w:r w:rsidR="00C01483" w:rsidRPr="002B0075">
        <w:rPr>
          <w:rFonts w:ascii="Times New Roman" w:hAnsi="Times New Roman" w:cs="Times New Roman"/>
          <w:color w:val="000000" w:themeColor="text1"/>
          <w:sz w:val="20"/>
          <w:szCs w:val="20"/>
        </w:rPr>
        <w:t xml:space="preserve"> in the sense that</w:t>
      </w:r>
      <w:r w:rsidR="00140BD2" w:rsidRPr="002B0075">
        <w:rPr>
          <w:rFonts w:ascii="Times New Roman" w:hAnsi="Times New Roman" w:cs="Times New Roman"/>
          <w:color w:val="000000" w:themeColor="text1"/>
          <w:sz w:val="20"/>
          <w:szCs w:val="20"/>
        </w:rPr>
        <w:t xml:space="preserve"> some components within the EU’s security norm-cluster are being </w:t>
      </w:r>
      <w:r w:rsidR="00E477EF" w:rsidRPr="002B0075">
        <w:rPr>
          <w:rFonts w:ascii="Times New Roman" w:hAnsi="Times New Roman" w:cs="Times New Roman"/>
          <w:color w:val="000000" w:themeColor="text1"/>
          <w:sz w:val="20"/>
          <w:szCs w:val="20"/>
        </w:rPr>
        <w:t>transferred into ASEAN’s domestic discursive frames</w:t>
      </w:r>
      <w:r w:rsidR="0084044D" w:rsidRPr="002B0075">
        <w:rPr>
          <w:rFonts w:ascii="Times New Roman" w:hAnsi="Times New Roman" w:cs="Times New Roman"/>
          <w:color w:val="000000" w:themeColor="text1"/>
          <w:sz w:val="20"/>
          <w:szCs w:val="20"/>
        </w:rPr>
        <w:t xml:space="preserve"> </w:t>
      </w:r>
      <w:r w:rsidR="00E477EF" w:rsidRPr="002B0075">
        <w:rPr>
          <w:rFonts w:ascii="Times New Roman" w:hAnsi="Times New Roman" w:cs="Times New Roman"/>
          <w:color w:val="000000" w:themeColor="text1"/>
          <w:sz w:val="20"/>
          <w:szCs w:val="20"/>
        </w:rPr>
        <w:t>and, to a lesser extent, legal frameworks</w:t>
      </w:r>
      <w:r w:rsidR="0084044D" w:rsidRPr="002B0075">
        <w:rPr>
          <w:rFonts w:ascii="Times New Roman" w:hAnsi="Times New Roman" w:cs="Times New Roman"/>
          <w:color w:val="000000" w:themeColor="text1"/>
          <w:sz w:val="20"/>
          <w:szCs w:val="20"/>
        </w:rPr>
        <w:t xml:space="preserve"> </w:t>
      </w:r>
      <w:r w:rsidR="00024F75" w:rsidRPr="002B0075">
        <w:rPr>
          <w:rFonts w:ascii="Times New Roman" w:hAnsi="Times New Roman" w:cs="Times New Roman"/>
          <w:color w:val="000000" w:themeColor="text1"/>
          <w:sz w:val="20"/>
          <w:szCs w:val="20"/>
        </w:rPr>
        <w:t>and</w:t>
      </w:r>
      <w:r w:rsidR="0084044D" w:rsidRPr="002B0075">
        <w:rPr>
          <w:rFonts w:ascii="Times New Roman" w:hAnsi="Times New Roman" w:cs="Times New Roman"/>
          <w:color w:val="000000" w:themeColor="text1"/>
          <w:sz w:val="20"/>
          <w:szCs w:val="20"/>
        </w:rPr>
        <w:t xml:space="preserve"> policy implementation</w:t>
      </w:r>
      <w:r w:rsidR="00E477EF" w:rsidRPr="002B0075">
        <w:rPr>
          <w:rFonts w:ascii="Times New Roman" w:hAnsi="Times New Roman" w:cs="Times New Roman"/>
          <w:color w:val="000000" w:themeColor="text1"/>
          <w:sz w:val="20"/>
          <w:szCs w:val="20"/>
        </w:rPr>
        <w:t>.</w:t>
      </w:r>
      <w:r w:rsidR="00140BD2" w:rsidRPr="002B0075">
        <w:rPr>
          <w:rFonts w:ascii="Times New Roman" w:hAnsi="Times New Roman" w:cs="Times New Roman"/>
          <w:color w:val="000000" w:themeColor="text1"/>
          <w:sz w:val="20"/>
          <w:szCs w:val="20"/>
        </w:rPr>
        <w:t xml:space="preserve"> </w:t>
      </w:r>
      <w:r w:rsidR="0043623F" w:rsidRPr="002B0075">
        <w:rPr>
          <w:rFonts w:ascii="Times New Roman" w:hAnsi="Times New Roman" w:cs="Times New Roman"/>
          <w:color w:val="000000" w:themeColor="text1"/>
          <w:sz w:val="20"/>
          <w:szCs w:val="20"/>
        </w:rPr>
        <w:t>I</w:t>
      </w:r>
      <w:r w:rsidR="00140BD2" w:rsidRPr="002B0075">
        <w:rPr>
          <w:rFonts w:ascii="Times New Roman" w:hAnsi="Times New Roman" w:cs="Times New Roman"/>
          <w:color w:val="000000" w:themeColor="text1"/>
          <w:sz w:val="20"/>
          <w:szCs w:val="20"/>
        </w:rPr>
        <w:t>n comparison to diffusion items with lower degree of specificity</w:t>
      </w:r>
      <w:r w:rsidR="00024F75" w:rsidRPr="002B0075">
        <w:rPr>
          <w:rFonts w:ascii="Times New Roman" w:hAnsi="Times New Roman" w:cs="Times New Roman"/>
          <w:color w:val="000000" w:themeColor="text1"/>
          <w:sz w:val="20"/>
          <w:szCs w:val="20"/>
        </w:rPr>
        <w:t xml:space="preserve"> (e.g., overarching ideas)</w:t>
      </w:r>
      <w:r w:rsidR="00140BD2" w:rsidRPr="002B0075">
        <w:rPr>
          <w:rFonts w:ascii="Times New Roman" w:hAnsi="Times New Roman" w:cs="Times New Roman"/>
          <w:color w:val="000000" w:themeColor="text1"/>
          <w:sz w:val="20"/>
          <w:szCs w:val="20"/>
        </w:rPr>
        <w:t>, EU diffusion items with higher degree of specificity</w:t>
      </w:r>
      <w:r w:rsidR="00412FA0" w:rsidRPr="002B0075">
        <w:rPr>
          <w:rFonts w:ascii="Times New Roman" w:hAnsi="Times New Roman" w:cs="Times New Roman"/>
          <w:color w:val="000000" w:themeColor="text1"/>
          <w:sz w:val="20"/>
          <w:szCs w:val="20"/>
        </w:rPr>
        <w:t xml:space="preserve"> (</w:t>
      </w:r>
      <w:r w:rsidR="00A23575" w:rsidRPr="002B0075">
        <w:rPr>
          <w:rFonts w:ascii="Times New Roman" w:hAnsi="Times New Roman" w:cs="Times New Roman"/>
          <w:color w:val="000000" w:themeColor="text1"/>
          <w:sz w:val="20"/>
          <w:szCs w:val="20"/>
        </w:rPr>
        <w:t>e.g.,</w:t>
      </w:r>
      <w:r w:rsidR="00412FA0" w:rsidRPr="002B0075">
        <w:rPr>
          <w:rFonts w:ascii="Times New Roman" w:hAnsi="Times New Roman" w:cs="Times New Roman"/>
          <w:color w:val="000000" w:themeColor="text1"/>
          <w:sz w:val="20"/>
          <w:szCs w:val="20"/>
        </w:rPr>
        <w:t xml:space="preserve"> precise policy-settings)</w:t>
      </w:r>
      <w:r w:rsidR="00140BD2" w:rsidRPr="002B0075">
        <w:rPr>
          <w:rFonts w:ascii="Times New Roman" w:hAnsi="Times New Roman" w:cs="Times New Roman"/>
          <w:color w:val="000000" w:themeColor="text1"/>
          <w:sz w:val="20"/>
          <w:szCs w:val="20"/>
        </w:rPr>
        <w:t xml:space="preserve"> have gained more traction among ASEAN stakeholders.</w:t>
      </w:r>
      <w:r w:rsidR="00E2671B" w:rsidRPr="002B0075">
        <w:rPr>
          <w:rFonts w:ascii="Times New Roman" w:hAnsi="Times New Roman" w:cs="Times New Roman"/>
          <w:color w:val="000000" w:themeColor="text1"/>
          <w:sz w:val="20"/>
          <w:szCs w:val="20"/>
        </w:rPr>
        <w:t xml:space="preserve"> </w:t>
      </w:r>
      <w:r w:rsidR="0043623F" w:rsidRPr="002B0075">
        <w:rPr>
          <w:rFonts w:ascii="Times New Roman" w:hAnsi="Times New Roman" w:cs="Times New Roman"/>
          <w:color w:val="000000" w:themeColor="text1"/>
          <w:sz w:val="20"/>
          <w:szCs w:val="20"/>
        </w:rPr>
        <w:t xml:space="preserve">Furthermore, this research also finds that, instead of passively downloading the EU’s ideas and practices, ASEAN stakeholders have played a crucial role in shaping the diffusion processes through the mechanism of lesson-drawing which takes place at the level of concrete policy settings. </w:t>
      </w:r>
      <w:r w:rsidR="00412FA0" w:rsidRPr="002B0075">
        <w:rPr>
          <w:rFonts w:ascii="Times New Roman" w:hAnsi="Times New Roman" w:cs="Times New Roman"/>
          <w:color w:val="000000" w:themeColor="text1"/>
          <w:sz w:val="20"/>
          <w:szCs w:val="20"/>
        </w:rPr>
        <w:t xml:space="preserve">By evaluating the EU’s diffusion outcomes according to the empirical indicators identified in the analytical framework, </w:t>
      </w:r>
      <w:r w:rsidR="004A6F37" w:rsidRPr="002B0075">
        <w:rPr>
          <w:rFonts w:ascii="Times New Roman" w:hAnsi="Times New Roman" w:cs="Times New Roman"/>
          <w:color w:val="000000" w:themeColor="text1"/>
          <w:sz w:val="20"/>
          <w:szCs w:val="20"/>
        </w:rPr>
        <w:t xml:space="preserve">Table 2, 3 and 4 </w:t>
      </w:r>
      <w:r w:rsidR="000A1B9B" w:rsidRPr="002B0075">
        <w:rPr>
          <w:rFonts w:ascii="Times New Roman" w:hAnsi="Times New Roman" w:cs="Times New Roman"/>
          <w:color w:val="000000" w:themeColor="text1"/>
          <w:sz w:val="20"/>
          <w:szCs w:val="20"/>
        </w:rPr>
        <w:t>provide a summary of</w:t>
      </w:r>
      <w:r w:rsidR="004A6F37" w:rsidRPr="002B0075">
        <w:rPr>
          <w:rFonts w:ascii="Times New Roman" w:hAnsi="Times New Roman" w:cs="Times New Roman"/>
          <w:color w:val="000000" w:themeColor="text1"/>
          <w:sz w:val="20"/>
          <w:szCs w:val="20"/>
        </w:rPr>
        <w:t xml:space="preserve"> the EU’s normative impact across three fundamental security norms and various policy sectors.</w:t>
      </w:r>
    </w:p>
    <w:p w14:paraId="4A6ED032" w14:textId="77777777" w:rsidR="004A6F37" w:rsidRPr="002B0075" w:rsidRDefault="004A6F37" w:rsidP="00514E1A">
      <w:pPr>
        <w:jc w:val="both"/>
        <w:rPr>
          <w:rFonts w:ascii="Times New Roman" w:hAnsi="Times New Roman" w:cs="Times New Roman"/>
          <w:color w:val="000000" w:themeColor="text1"/>
          <w:sz w:val="20"/>
          <w:szCs w:val="20"/>
        </w:rPr>
      </w:pPr>
    </w:p>
    <w:p w14:paraId="1835EDED" w14:textId="5D3C1AA6"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[Insert Table 2</w:t>
      </w:r>
      <w:r w:rsidR="00B3072B" w:rsidRPr="002B0075">
        <w:rPr>
          <w:rFonts w:ascii="Times New Roman" w:hAnsi="Times New Roman" w:cs="Times New Roman"/>
          <w:color w:val="000000" w:themeColor="text1"/>
          <w:sz w:val="20"/>
          <w:szCs w:val="20"/>
        </w:rPr>
        <w:t>, 3 and</w:t>
      </w:r>
      <w:r w:rsidRPr="002B0075">
        <w:rPr>
          <w:rFonts w:ascii="Times New Roman" w:hAnsi="Times New Roman" w:cs="Times New Roman"/>
          <w:color w:val="000000" w:themeColor="text1"/>
          <w:sz w:val="20"/>
          <w:szCs w:val="20"/>
        </w:rPr>
        <w:t xml:space="preserve"> 4]</w:t>
      </w:r>
    </w:p>
    <w:p w14:paraId="67F555D1" w14:textId="77777777" w:rsidR="004A6F37" w:rsidRPr="002B0075" w:rsidRDefault="004A6F37" w:rsidP="00514E1A">
      <w:pPr>
        <w:jc w:val="both"/>
        <w:rPr>
          <w:rFonts w:ascii="Times New Roman" w:hAnsi="Times New Roman" w:cs="Times New Roman"/>
          <w:color w:val="000000" w:themeColor="text1"/>
          <w:sz w:val="20"/>
          <w:szCs w:val="20"/>
        </w:rPr>
      </w:pPr>
    </w:p>
    <w:p w14:paraId="60599C6F" w14:textId="125E9F00" w:rsidR="00CD675D" w:rsidRPr="002B0075" w:rsidRDefault="004A6F37" w:rsidP="00CD675D">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The indicators of effectiveness discussed in the tables 2 – 4 suggest that the EU’s diffusion of</w:t>
      </w:r>
      <w:r w:rsidR="008620E9" w:rsidRPr="002B0075">
        <w:rPr>
          <w:rFonts w:ascii="Times New Roman" w:hAnsi="Times New Roman" w:cs="Times New Roman"/>
          <w:color w:val="000000" w:themeColor="text1"/>
          <w:sz w:val="20"/>
          <w:szCs w:val="20"/>
        </w:rPr>
        <w:t xml:space="preserve"> specific </w:t>
      </w:r>
      <w:r w:rsidRPr="002B0075">
        <w:rPr>
          <w:rFonts w:ascii="Times New Roman" w:hAnsi="Times New Roman" w:cs="Times New Roman"/>
          <w:color w:val="000000" w:themeColor="text1"/>
          <w:sz w:val="20"/>
          <w:szCs w:val="20"/>
        </w:rPr>
        <w:t xml:space="preserve">policy prescriptions </w:t>
      </w:r>
      <w:r w:rsidR="001F20E5" w:rsidRPr="002B0075">
        <w:rPr>
          <w:rFonts w:ascii="Times New Roman" w:hAnsi="Times New Roman" w:cs="Times New Roman"/>
          <w:color w:val="000000" w:themeColor="text1"/>
          <w:sz w:val="20"/>
          <w:szCs w:val="20"/>
        </w:rPr>
        <w:t xml:space="preserve">and </w:t>
      </w:r>
      <w:r w:rsidRPr="002B0075">
        <w:rPr>
          <w:rFonts w:ascii="Times New Roman" w:hAnsi="Times New Roman" w:cs="Times New Roman"/>
          <w:color w:val="000000" w:themeColor="text1"/>
          <w:sz w:val="20"/>
          <w:szCs w:val="20"/>
        </w:rPr>
        <w:t>behaviour</w:t>
      </w:r>
      <w:r w:rsidR="001F20E5"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 with a higher level of specificity </w:t>
      </w:r>
      <w:r w:rsidR="008620E9" w:rsidRPr="002B0075">
        <w:rPr>
          <w:rFonts w:ascii="Times New Roman" w:hAnsi="Times New Roman" w:cs="Times New Roman"/>
          <w:color w:val="000000" w:themeColor="text1"/>
          <w:sz w:val="20"/>
          <w:szCs w:val="20"/>
        </w:rPr>
        <w:t>has resulted in</w:t>
      </w:r>
      <w:r w:rsidRPr="002B0075">
        <w:rPr>
          <w:rFonts w:ascii="Times New Roman" w:hAnsi="Times New Roman" w:cs="Times New Roman"/>
          <w:color w:val="000000" w:themeColor="text1"/>
          <w:sz w:val="20"/>
          <w:szCs w:val="20"/>
        </w:rPr>
        <w:t xml:space="preserve"> </w:t>
      </w:r>
      <w:r w:rsidR="00DB77FE" w:rsidRPr="002B0075">
        <w:rPr>
          <w:rFonts w:ascii="Times New Roman" w:hAnsi="Times New Roman" w:cs="Times New Roman"/>
          <w:color w:val="000000" w:themeColor="text1"/>
          <w:sz w:val="20"/>
          <w:szCs w:val="20"/>
        </w:rPr>
        <w:t xml:space="preserve">some </w:t>
      </w:r>
      <w:r w:rsidRPr="002B0075">
        <w:rPr>
          <w:rFonts w:ascii="Times New Roman" w:hAnsi="Times New Roman" w:cs="Times New Roman"/>
          <w:color w:val="000000" w:themeColor="text1"/>
          <w:sz w:val="20"/>
          <w:szCs w:val="20"/>
        </w:rPr>
        <w:t xml:space="preserve">positive </w:t>
      </w:r>
      <w:r w:rsidR="003238B9" w:rsidRPr="002B0075">
        <w:rPr>
          <w:rFonts w:ascii="Times New Roman" w:hAnsi="Times New Roman" w:cs="Times New Roman"/>
          <w:color w:val="000000" w:themeColor="text1"/>
          <w:sz w:val="20"/>
          <w:szCs w:val="20"/>
        </w:rPr>
        <w:t xml:space="preserve">diffusion </w:t>
      </w:r>
      <w:r w:rsidRPr="002B0075">
        <w:rPr>
          <w:rFonts w:ascii="Times New Roman" w:hAnsi="Times New Roman" w:cs="Times New Roman"/>
          <w:color w:val="000000" w:themeColor="text1"/>
          <w:sz w:val="20"/>
          <w:szCs w:val="20"/>
        </w:rPr>
        <w:t>outcomes. For instance, as shown in table 3, in terms of the EU’s promotion of SR in the sphere of border management, two important indicators can be observed: first, the EU was considered a crucial reference point that has contributed to shaping new policy agenda in ASEAN, exemplified by the ongoing discussion about the development of an ASEAN common visa based on the Schengen model.</w:t>
      </w:r>
      <w:r w:rsidRPr="002B0075">
        <w:rPr>
          <w:rStyle w:val="a5"/>
          <w:rFonts w:ascii="Times New Roman" w:hAnsi="Times New Roman" w:cs="Times New Roman"/>
          <w:color w:val="000000" w:themeColor="text1"/>
          <w:sz w:val="20"/>
          <w:szCs w:val="20"/>
        </w:rPr>
        <w:footnoteReference w:id="21"/>
      </w:r>
      <w:r w:rsidRPr="002B0075">
        <w:rPr>
          <w:rFonts w:ascii="Times New Roman" w:hAnsi="Times New Roman" w:cs="Times New Roman"/>
          <w:color w:val="000000" w:themeColor="text1"/>
          <w:sz w:val="20"/>
          <w:szCs w:val="20"/>
        </w:rPr>
        <w:t xml:space="preserve"> Second, the research</w:t>
      </w:r>
      <w:r w:rsidR="007B37DC" w:rsidRPr="002B0075">
        <w:rPr>
          <w:rFonts w:ascii="Times New Roman" w:hAnsi="Times New Roman" w:cs="Times New Roman"/>
          <w:color w:val="000000" w:themeColor="text1"/>
          <w:sz w:val="20"/>
          <w:szCs w:val="20"/>
        </w:rPr>
        <w:t xml:space="preserve"> findings</w:t>
      </w:r>
      <w:r w:rsidRPr="002B0075">
        <w:rPr>
          <w:rFonts w:ascii="Times New Roman" w:hAnsi="Times New Roman" w:cs="Times New Roman"/>
          <w:color w:val="000000" w:themeColor="text1"/>
          <w:sz w:val="20"/>
          <w:szCs w:val="20"/>
        </w:rPr>
        <w:t xml:space="preserve"> show that the EU’s policy initiatives, especially EA–MBMP projects, have received positive response</w:t>
      </w:r>
      <w:r w:rsidR="003238B9"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 from ASEAN participants</w:t>
      </w:r>
      <w:r w:rsidR="007B37DC" w:rsidRPr="002B0075">
        <w:rPr>
          <w:rFonts w:ascii="Times New Roman" w:hAnsi="Times New Roman" w:cs="Times New Roman"/>
          <w:color w:val="000000" w:themeColor="text1"/>
          <w:sz w:val="20"/>
          <w:szCs w:val="20"/>
        </w:rPr>
        <w:t xml:space="preserve">, resulting in </w:t>
      </w:r>
      <w:r w:rsidR="00AD200B" w:rsidRPr="002B0075">
        <w:rPr>
          <w:rFonts w:ascii="Times New Roman" w:hAnsi="Times New Roman" w:cs="Times New Roman"/>
          <w:color w:val="000000" w:themeColor="text1"/>
          <w:sz w:val="20"/>
          <w:szCs w:val="20"/>
        </w:rPr>
        <w:t>active learning processes among ASEAN member states</w:t>
      </w:r>
      <w:r w:rsidRPr="002B0075">
        <w:rPr>
          <w:rFonts w:ascii="Times New Roman" w:hAnsi="Times New Roman" w:cs="Times New Roman"/>
          <w:color w:val="000000" w:themeColor="text1"/>
          <w:sz w:val="20"/>
          <w:szCs w:val="20"/>
        </w:rPr>
        <w:t>.</w:t>
      </w:r>
      <w:r w:rsidR="00AD200B" w:rsidRPr="002B0075">
        <w:rPr>
          <w:rFonts w:ascii="Times New Roman" w:hAnsi="Times New Roman" w:cs="Times New Roman"/>
          <w:color w:val="000000" w:themeColor="text1"/>
          <w:sz w:val="20"/>
          <w:szCs w:val="20"/>
        </w:rPr>
        <w:t xml:space="preserve"> </w:t>
      </w:r>
      <w:r w:rsidR="00472CFE" w:rsidRPr="002B0075">
        <w:rPr>
          <w:rFonts w:ascii="Times New Roman" w:hAnsi="Times New Roman" w:cs="Times New Roman"/>
          <w:color w:val="000000" w:themeColor="text1"/>
          <w:sz w:val="20"/>
          <w:szCs w:val="20"/>
        </w:rPr>
        <w:t xml:space="preserve">For instance, in August 2018, a meeting was held under the framework of the EA–MBMP. During the meeting, representatives from ASEAN member states, industry, law enforcement departments, academia, the EU, INTERPOL and the Habibie </w:t>
      </w:r>
      <w:proofErr w:type="spellStart"/>
      <w:r w:rsidR="00472CFE" w:rsidRPr="002B0075">
        <w:rPr>
          <w:rFonts w:ascii="Times New Roman" w:hAnsi="Times New Roman" w:cs="Times New Roman"/>
          <w:color w:val="000000" w:themeColor="text1"/>
          <w:sz w:val="20"/>
          <w:szCs w:val="20"/>
        </w:rPr>
        <w:t>Center</w:t>
      </w:r>
      <w:proofErr w:type="spellEnd"/>
      <w:r w:rsidR="00472CFE" w:rsidRPr="002B0075">
        <w:rPr>
          <w:rFonts w:ascii="Times New Roman" w:hAnsi="Times New Roman" w:cs="Times New Roman"/>
          <w:color w:val="000000" w:themeColor="text1"/>
          <w:sz w:val="20"/>
          <w:szCs w:val="20"/>
        </w:rPr>
        <w:t xml:space="preserve"> in Jakarta reviewed a feasibility study concerning an ASEAN common visa and discussed practical issues relating to border security. In a media report, it is explicitly noted that the ASEAN common visa vision ‘borrows from Europe’s Schengen model (Border Management 2018). The project’s press release also noted that a key component of the Comprehensive Feasibility Study on ASEAN Common Visa Workshop was to ‘shaping practical recommendations on mobility and border security’ in ASEAN region by ‘obtaining a greater understanding on how the EU was able to overcome issues and challenges in its implementation of the Schengen Visa Scheme’ (Interpol</w:t>
      </w:r>
      <w:r w:rsidR="00E74AA1" w:rsidRPr="002B0075">
        <w:rPr>
          <w:rFonts w:ascii="Times New Roman" w:hAnsi="Times New Roman" w:cs="Times New Roman"/>
          <w:color w:val="000000" w:themeColor="text1"/>
          <w:sz w:val="20"/>
          <w:szCs w:val="20"/>
        </w:rPr>
        <w:t>,</w:t>
      </w:r>
      <w:r w:rsidR="00472CFE" w:rsidRPr="002B0075">
        <w:rPr>
          <w:rFonts w:ascii="Times New Roman" w:hAnsi="Times New Roman" w:cs="Times New Roman"/>
          <w:color w:val="000000" w:themeColor="text1"/>
          <w:sz w:val="20"/>
          <w:szCs w:val="20"/>
        </w:rPr>
        <w:t xml:space="preserve"> 2017).</w:t>
      </w:r>
      <w:r w:rsidR="0043623F" w:rsidRPr="002B0075">
        <w:rPr>
          <w:rFonts w:ascii="Times New Roman" w:hAnsi="Times New Roman" w:cs="Times New Roman"/>
          <w:color w:val="000000" w:themeColor="text1"/>
          <w:sz w:val="20"/>
          <w:szCs w:val="20"/>
        </w:rPr>
        <w:t xml:space="preserve"> </w:t>
      </w:r>
      <w:r w:rsidR="00CD675D" w:rsidRPr="002B0075">
        <w:rPr>
          <w:rFonts w:ascii="Times New Roman" w:hAnsi="Times New Roman" w:cs="Times New Roman"/>
          <w:color w:val="000000" w:themeColor="text1"/>
          <w:sz w:val="20"/>
          <w:szCs w:val="20"/>
        </w:rPr>
        <w:t xml:space="preserve">The empirical findings reveal that ASEAN stakeholders have sought to play an active role in shaping this dynamic diffusion process. For example, in a number of EU CBRN </w:t>
      </w:r>
      <w:proofErr w:type="spellStart"/>
      <w:r w:rsidR="00CD675D" w:rsidRPr="002B0075">
        <w:rPr>
          <w:rFonts w:ascii="Times New Roman" w:hAnsi="Times New Roman" w:cs="Times New Roman"/>
          <w:color w:val="000000" w:themeColor="text1"/>
          <w:sz w:val="20"/>
          <w:szCs w:val="20"/>
        </w:rPr>
        <w:t>CoE</w:t>
      </w:r>
      <w:proofErr w:type="spellEnd"/>
      <w:r w:rsidR="00CD675D" w:rsidRPr="002B0075">
        <w:rPr>
          <w:rFonts w:ascii="Times New Roman" w:hAnsi="Times New Roman" w:cs="Times New Roman"/>
          <w:color w:val="000000" w:themeColor="text1"/>
          <w:sz w:val="20"/>
          <w:szCs w:val="20"/>
        </w:rPr>
        <w:t xml:space="preserve"> Projects in Southeast Asia (see Table 3), rather than being indifferent to EU ideas and policies, ASEAN stakeholders tended to be active learners who participated in shaping the project agenda and curriculum. According to an interviewed officials, with a vision and aspiration to develop a regional </w:t>
      </w:r>
      <w:r w:rsidR="00CD675D" w:rsidRPr="002B0075">
        <w:rPr>
          <w:rFonts w:ascii="Times New Roman" w:hAnsi="Times New Roman" w:cs="Times New Roman"/>
          <w:color w:val="000000" w:themeColor="text1"/>
          <w:sz w:val="20"/>
          <w:szCs w:val="20"/>
        </w:rPr>
        <w:lastRenderedPageBreak/>
        <w:t>framework to address CBRN challenges, ASEAN member states took the initiative to request CBRN assistance and training from the EU: ‘the need comes from ASEAN countries, not the EU telling them what they need’.</w:t>
      </w:r>
      <w:r w:rsidR="00CD675D" w:rsidRPr="002B0075">
        <w:rPr>
          <w:rStyle w:val="a5"/>
          <w:rFonts w:ascii="Times New Roman" w:hAnsi="Times New Roman" w:cs="Times New Roman"/>
          <w:color w:val="000000" w:themeColor="text1"/>
          <w:sz w:val="20"/>
          <w:szCs w:val="20"/>
        </w:rPr>
        <w:footnoteReference w:id="22"/>
      </w:r>
    </w:p>
    <w:p w14:paraId="07C32216" w14:textId="53D16EE7" w:rsidR="007B37DC" w:rsidRPr="002B0075" w:rsidRDefault="007B37DC" w:rsidP="00514E1A">
      <w:pPr>
        <w:jc w:val="both"/>
        <w:rPr>
          <w:rFonts w:ascii="Times New Roman" w:hAnsi="Times New Roman" w:cs="Times New Roman"/>
          <w:color w:val="000000" w:themeColor="text1"/>
          <w:sz w:val="20"/>
          <w:szCs w:val="20"/>
        </w:rPr>
      </w:pPr>
    </w:p>
    <w:p w14:paraId="49EA2005" w14:textId="0FFCADA9"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Another example of the EU’s effective policy-level diffusion can be observed in its promotion of legislative and regulatory frameworks in ASEAN and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-based counterterrorism measures in conjunction with the UN. By providing financial and technical assistance through the EU–UNODC Joint Initiative within the framework of the C</w:t>
      </w:r>
      <w:r w:rsidR="00E74AA1" w:rsidRPr="002B0075">
        <w:rPr>
          <w:rFonts w:ascii="Times New Roman" w:hAnsi="Times New Roman" w:cs="Times New Roman"/>
          <w:color w:val="000000" w:themeColor="text1"/>
          <w:sz w:val="20"/>
          <w:szCs w:val="20"/>
        </w:rPr>
        <w:t>ounterterrorism</w:t>
      </w:r>
      <w:r w:rsidRPr="002B0075">
        <w:rPr>
          <w:rFonts w:ascii="Times New Roman" w:hAnsi="Times New Roman" w:cs="Times New Roman"/>
          <w:color w:val="000000" w:themeColor="text1"/>
          <w:sz w:val="20"/>
          <w:szCs w:val="20"/>
        </w:rPr>
        <w:t xml:space="preserve"> sub-programme, the EU’s efforts have generated </w:t>
      </w:r>
      <w:proofErr w:type="gramStart"/>
      <w:r w:rsidRPr="002B0075">
        <w:rPr>
          <w:rFonts w:ascii="Times New Roman" w:hAnsi="Times New Roman" w:cs="Times New Roman"/>
          <w:color w:val="000000" w:themeColor="text1"/>
          <w:sz w:val="20"/>
          <w:szCs w:val="20"/>
        </w:rPr>
        <w:t>a number of</w:t>
      </w:r>
      <w:proofErr w:type="gramEnd"/>
      <w:r w:rsidRPr="002B0075">
        <w:rPr>
          <w:rFonts w:ascii="Times New Roman" w:hAnsi="Times New Roman" w:cs="Times New Roman"/>
          <w:color w:val="000000" w:themeColor="text1"/>
          <w:sz w:val="20"/>
          <w:szCs w:val="20"/>
        </w:rPr>
        <w:t xml:space="preserve"> legislative changes in ASEAN member states</w:t>
      </w:r>
      <w:r w:rsidR="001F20E5"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(see Table 4).</w:t>
      </w:r>
      <w:r w:rsidR="00296FF2" w:rsidRPr="002B0075">
        <w:rPr>
          <w:rFonts w:ascii="Times New Roman" w:hAnsi="Times New Roman" w:cs="Times New Roman"/>
          <w:color w:val="000000" w:themeColor="text1"/>
          <w:sz w:val="20"/>
          <w:szCs w:val="20"/>
        </w:rPr>
        <w:t xml:space="preserve"> For instance, such joint initiative resulted in a number of positive outcomes, including</w:t>
      </w:r>
      <w:r w:rsidRPr="002B0075">
        <w:rPr>
          <w:rFonts w:ascii="Times New Roman" w:hAnsi="Times New Roman" w:cs="Times New Roman"/>
          <w:color w:val="000000" w:themeColor="text1"/>
          <w:sz w:val="20"/>
          <w:szCs w:val="20"/>
        </w:rPr>
        <w:t xml:space="preserve"> </w:t>
      </w:r>
      <w:r w:rsidR="00296FF2" w:rsidRPr="002B0075">
        <w:rPr>
          <w:rFonts w:ascii="Times New Roman" w:hAnsi="Times New Roman" w:cs="Times New Roman"/>
          <w:color w:val="000000" w:themeColor="text1"/>
          <w:sz w:val="20"/>
          <w:szCs w:val="20"/>
        </w:rPr>
        <w:t>the drafting of new anti-terrorist financing law according to international standards and adopted in the Philippines, Cambodia and Lao PDR, technical support on extradition, mutual legal assistance laws and ratification of UN Conventions in general recognized by Laos and the Philippines and international stakeholders, extradition law adopted in Lao PDR in 2012 (UNODC 2016</w:t>
      </w:r>
      <w:r w:rsidR="006867FE" w:rsidRPr="002B0075">
        <w:rPr>
          <w:rFonts w:ascii="Times New Roman" w:hAnsi="Times New Roman" w:cs="Times New Roman"/>
          <w:color w:val="000000" w:themeColor="text1"/>
          <w:sz w:val="20"/>
          <w:szCs w:val="20"/>
        </w:rPr>
        <w:t>: 19-20</w:t>
      </w:r>
      <w:r w:rsidR="00296FF2" w:rsidRPr="002B0075">
        <w:rPr>
          <w:rFonts w:ascii="Times New Roman" w:hAnsi="Times New Roman" w:cs="Times New Roman"/>
          <w:color w:val="000000" w:themeColor="text1"/>
          <w:sz w:val="20"/>
          <w:szCs w:val="20"/>
        </w:rPr>
        <w:t>)</w:t>
      </w:r>
      <w:r w:rsidR="006867FE" w:rsidRPr="002B0075">
        <w:rPr>
          <w:rFonts w:ascii="Times New Roman" w:hAnsi="Times New Roman" w:cs="Times New Roman"/>
          <w:color w:val="000000" w:themeColor="text1"/>
          <w:sz w:val="20"/>
          <w:szCs w:val="20"/>
        </w:rPr>
        <w:t>.</w:t>
      </w:r>
      <w:r w:rsidR="006C0176" w:rsidRPr="002B0075">
        <w:rPr>
          <w:rFonts w:ascii="Times New Roman" w:hAnsi="Times New Roman" w:cs="Times New Roman"/>
          <w:color w:val="000000" w:themeColor="text1"/>
          <w:sz w:val="20"/>
          <w:szCs w:val="20"/>
        </w:rPr>
        <w:t xml:space="preserve">This is a telling example of how </w:t>
      </w:r>
      <w:r w:rsidR="006867FE" w:rsidRPr="002B0075">
        <w:rPr>
          <w:rFonts w:ascii="Times New Roman" w:hAnsi="Times New Roman" w:cs="Times New Roman"/>
          <w:color w:val="000000" w:themeColor="text1"/>
          <w:sz w:val="20"/>
          <w:szCs w:val="20"/>
        </w:rPr>
        <w:t>diffusion items with higher level of specificity</w:t>
      </w:r>
      <w:r w:rsidR="006C0176" w:rsidRPr="002B0075">
        <w:rPr>
          <w:rFonts w:ascii="Times New Roman" w:hAnsi="Times New Roman" w:cs="Times New Roman"/>
          <w:color w:val="000000" w:themeColor="text1"/>
          <w:sz w:val="20"/>
          <w:szCs w:val="20"/>
        </w:rPr>
        <w:t xml:space="preserve"> have been translated into the recipient’s domestic </w:t>
      </w:r>
      <w:r w:rsidR="006867FE" w:rsidRPr="002B0075">
        <w:rPr>
          <w:rFonts w:ascii="Times New Roman" w:hAnsi="Times New Roman" w:cs="Times New Roman"/>
          <w:color w:val="000000" w:themeColor="text1"/>
          <w:sz w:val="20"/>
          <w:szCs w:val="20"/>
        </w:rPr>
        <w:t>legal contexts as a result of EU-funded initiatives</w:t>
      </w:r>
      <w:r w:rsidR="006C0176" w:rsidRPr="002B0075">
        <w:rPr>
          <w:rFonts w:ascii="Times New Roman" w:hAnsi="Times New Roman" w:cs="Times New Roman"/>
          <w:color w:val="000000" w:themeColor="text1"/>
          <w:sz w:val="20"/>
          <w:szCs w:val="20"/>
        </w:rPr>
        <w:t xml:space="preserve">. </w:t>
      </w:r>
    </w:p>
    <w:p w14:paraId="35DB4BA4" w14:textId="77777777" w:rsidR="004A6F37" w:rsidRPr="002B0075" w:rsidRDefault="004A6F37" w:rsidP="00514E1A">
      <w:pPr>
        <w:jc w:val="both"/>
        <w:rPr>
          <w:rFonts w:ascii="Times New Roman" w:hAnsi="Times New Roman" w:cs="Times New Roman"/>
          <w:color w:val="000000" w:themeColor="text1"/>
          <w:sz w:val="20"/>
          <w:szCs w:val="20"/>
        </w:rPr>
      </w:pPr>
    </w:p>
    <w:p w14:paraId="38F194AA" w14:textId="2E93D2DB"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By comparing effectiveness indicators across various security-related policy areas</w:t>
      </w:r>
      <w:r w:rsidR="005A1B44" w:rsidRPr="002B0075">
        <w:rPr>
          <w:rFonts w:ascii="Times New Roman" w:hAnsi="Times New Roman" w:cs="Times New Roman"/>
          <w:color w:val="000000" w:themeColor="text1"/>
          <w:sz w:val="20"/>
          <w:szCs w:val="20"/>
        </w:rPr>
        <w:t xml:space="preserve"> as listed in Table 2 – 4,</w:t>
      </w:r>
      <w:r w:rsidRPr="002B0075">
        <w:rPr>
          <w:rFonts w:ascii="Times New Roman" w:hAnsi="Times New Roman" w:cs="Times New Roman"/>
          <w:color w:val="000000" w:themeColor="text1"/>
          <w:sz w:val="20"/>
          <w:szCs w:val="20"/>
        </w:rPr>
        <w:t xml:space="preserve"> the research has identified some general patterns concerning the EU’s normative impact. First, the EU’s normative impact seems to be more tangible in its promotion of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and SR than in the promotion of SP. Specifically, whereas the EU’s diffusion of SP has contributed to generating new agendas and initiatives on preventive diplomacy within ARF and CSCAP and received positive comments from ASEAN stakeholders, there has been no indicator demonstrating that EU diffusion efforts result in identifiable </w:t>
      </w:r>
      <w:r w:rsidR="004D25D7" w:rsidRPr="002B0075">
        <w:rPr>
          <w:rFonts w:ascii="Times New Roman" w:hAnsi="Times New Roman" w:cs="Times New Roman"/>
          <w:color w:val="000000" w:themeColor="text1"/>
          <w:sz w:val="20"/>
          <w:szCs w:val="20"/>
        </w:rPr>
        <w:t>policy changes and implementations</w:t>
      </w:r>
      <w:r w:rsidRPr="002B0075">
        <w:rPr>
          <w:rFonts w:ascii="Times New Roman" w:hAnsi="Times New Roman" w:cs="Times New Roman"/>
          <w:color w:val="000000" w:themeColor="text1"/>
          <w:sz w:val="20"/>
          <w:szCs w:val="20"/>
        </w:rPr>
        <w:t xml:space="preserve"> in ASEAN. Nor has the EU’s promotion of SP generated legislative adjustments in ASEAN and its member states. To the contrary, the EU’s diffusion of </w:t>
      </w:r>
      <w:proofErr w:type="spellStart"/>
      <w:r w:rsidRPr="002B0075">
        <w:rPr>
          <w:rFonts w:ascii="Times New Roman" w:hAnsi="Times New Roman" w:cs="Times New Roman"/>
          <w:color w:val="000000" w:themeColor="text1"/>
          <w:sz w:val="20"/>
          <w:szCs w:val="20"/>
        </w:rPr>
        <w:t>RoL</w:t>
      </w:r>
      <w:proofErr w:type="spellEnd"/>
      <w:r w:rsidRPr="002B0075">
        <w:rPr>
          <w:rFonts w:ascii="Times New Roman" w:hAnsi="Times New Roman" w:cs="Times New Roman"/>
          <w:color w:val="000000" w:themeColor="text1"/>
          <w:sz w:val="20"/>
          <w:szCs w:val="20"/>
        </w:rPr>
        <w:t xml:space="preserve"> and SR norms and policy prescriptions has resulted in new policy implementation, legislative adjustments and ideational shifts in certain policy areas in ASEAN.</w:t>
      </w:r>
    </w:p>
    <w:p w14:paraId="26E11F8B" w14:textId="77777777" w:rsidR="004A6F37" w:rsidRPr="002B0075" w:rsidRDefault="004A6F37" w:rsidP="00514E1A">
      <w:pPr>
        <w:jc w:val="both"/>
        <w:rPr>
          <w:rFonts w:ascii="Times New Roman" w:hAnsi="Times New Roman" w:cs="Times New Roman"/>
          <w:color w:val="000000" w:themeColor="text1"/>
          <w:sz w:val="20"/>
          <w:szCs w:val="20"/>
        </w:rPr>
      </w:pPr>
    </w:p>
    <w:p w14:paraId="2583CC8C" w14:textId="400C5991" w:rsidR="004A6F37" w:rsidRPr="002B0075" w:rsidRDefault="004A6F37" w:rsidP="00514E1A">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Second, an investigation into those indicators shows that ASEAN actors tend to be more receptive to the EU’s diffusion of concrete policy settings. In other words, the EU’s promotion of items with higher degree of specificity seems to be more effective than norm components with a lower degree of specificity. Third, the research finds that the EU is less capable of influencing ASEAN by altering ASEANs’ actual behaviour or encouraging ASEAN to sign up new</w:t>
      </w:r>
      <w:r w:rsidR="00472CFE" w:rsidRPr="002B0075">
        <w:rPr>
          <w:rFonts w:ascii="Times New Roman" w:hAnsi="Times New Roman" w:cs="Times New Roman"/>
          <w:color w:val="000000" w:themeColor="text1"/>
          <w:sz w:val="20"/>
          <w:szCs w:val="20"/>
        </w:rPr>
        <w:t xml:space="preserve"> </w:t>
      </w:r>
      <w:r w:rsidRPr="002B0075">
        <w:rPr>
          <w:rFonts w:ascii="Times New Roman" w:hAnsi="Times New Roman" w:cs="Times New Roman"/>
          <w:color w:val="000000" w:themeColor="text1"/>
          <w:sz w:val="20"/>
          <w:szCs w:val="20"/>
        </w:rPr>
        <w:t>legislation</w:t>
      </w:r>
      <w:r w:rsidR="00472CFE"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 EU norm and policy diffusion seems to play a more effective role in contributing to the construction of new themes and policy agendas, shaping internal debate, creating new institutional networks, improving some ASEAN member states’ domestic capacity and legislative environment, and constructing a positive image among ASEAN players. </w:t>
      </w:r>
      <w:r w:rsidR="008F4A80" w:rsidRPr="002B0075">
        <w:rPr>
          <w:rFonts w:ascii="Times New Roman" w:hAnsi="Times New Roman" w:cs="Times New Roman"/>
          <w:color w:val="000000" w:themeColor="text1"/>
          <w:sz w:val="20"/>
          <w:szCs w:val="20"/>
        </w:rPr>
        <w:t>As a result, it can be argued that ASEAN remains at the early stages (stage 1 and 2) of internalizing EU norm-cluster</w:t>
      </w:r>
      <w:r w:rsidR="00D7753A" w:rsidRPr="002B0075">
        <w:rPr>
          <w:rFonts w:ascii="Times New Roman" w:hAnsi="Times New Roman" w:cs="Times New Roman"/>
          <w:color w:val="000000" w:themeColor="text1"/>
          <w:sz w:val="20"/>
          <w:szCs w:val="20"/>
        </w:rPr>
        <w:t xml:space="preserve">. According to the indicators listed in Table 1, the EU’s norm and policy promotion has resulted in a process of partial adoption of EU norm-cluster in ASEAN. As evidenced in this case study, </w:t>
      </w:r>
      <w:r w:rsidR="00472CFE" w:rsidRPr="002B0075">
        <w:rPr>
          <w:rFonts w:ascii="Times New Roman" w:hAnsi="Times New Roman" w:cs="Times New Roman"/>
          <w:color w:val="000000" w:themeColor="text1"/>
          <w:sz w:val="20"/>
          <w:szCs w:val="20"/>
        </w:rPr>
        <w:t xml:space="preserve">EU security-related norms and policies </w:t>
      </w:r>
      <w:r w:rsidR="002E69DF" w:rsidRPr="002B0075">
        <w:rPr>
          <w:rFonts w:ascii="Times New Roman" w:hAnsi="Times New Roman" w:cs="Times New Roman"/>
          <w:color w:val="000000" w:themeColor="text1"/>
          <w:sz w:val="20"/>
          <w:szCs w:val="20"/>
        </w:rPr>
        <w:t xml:space="preserve">identified in this study </w:t>
      </w:r>
      <w:r w:rsidR="00472CFE" w:rsidRPr="002B0075">
        <w:rPr>
          <w:rFonts w:ascii="Times New Roman" w:hAnsi="Times New Roman" w:cs="Times New Roman"/>
          <w:color w:val="000000" w:themeColor="text1"/>
          <w:sz w:val="20"/>
          <w:szCs w:val="20"/>
        </w:rPr>
        <w:t xml:space="preserve">are essentially being translated into ASEAN’s </w:t>
      </w:r>
      <w:r w:rsidR="00472CFE" w:rsidRPr="002B0075">
        <w:rPr>
          <w:rFonts w:ascii="Times New Roman" w:hAnsi="Times New Roman" w:cs="Times New Roman"/>
          <w:color w:val="000000" w:themeColor="text1"/>
          <w:sz w:val="20"/>
          <w:szCs w:val="20"/>
        </w:rPr>
        <w:lastRenderedPageBreak/>
        <w:t>discourse</w:t>
      </w:r>
      <w:r w:rsidR="002E69DF" w:rsidRPr="002B0075">
        <w:rPr>
          <w:rFonts w:ascii="Times New Roman" w:hAnsi="Times New Roman" w:cs="Times New Roman"/>
          <w:color w:val="000000" w:themeColor="text1"/>
          <w:sz w:val="20"/>
          <w:szCs w:val="20"/>
        </w:rPr>
        <w:t xml:space="preserve"> or domestic discursive frames</w:t>
      </w:r>
      <w:r w:rsidR="00D7753A" w:rsidRPr="002B0075">
        <w:rPr>
          <w:rFonts w:ascii="Times New Roman" w:hAnsi="Times New Roman" w:cs="Times New Roman"/>
          <w:color w:val="000000" w:themeColor="text1"/>
          <w:sz w:val="20"/>
          <w:szCs w:val="20"/>
        </w:rPr>
        <w:t>, with a limited number of diffusion items</w:t>
      </w:r>
      <w:r w:rsidR="002E69DF" w:rsidRPr="002B0075">
        <w:rPr>
          <w:rFonts w:ascii="Times New Roman" w:hAnsi="Times New Roman" w:cs="Times New Roman"/>
          <w:color w:val="000000" w:themeColor="text1"/>
          <w:sz w:val="20"/>
          <w:szCs w:val="20"/>
        </w:rPr>
        <w:t xml:space="preserve"> being translated into</w:t>
      </w:r>
      <w:r w:rsidR="00472CFE" w:rsidRPr="002B0075">
        <w:rPr>
          <w:rFonts w:ascii="Times New Roman" w:hAnsi="Times New Roman" w:cs="Times New Roman"/>
          <w:color w:val="000000" w:themeColor="text1"/>
          <w:sz w:val="20"/>
          <w:szCs w:val="20"/>
        </w:rPr>
        <w:t xml:space="preserve"> law and policy implementation</w:t>
      </w:r>
      <w:r w:rsidR="002E69DF" w:rsidRPr="002B0075">
        <w:rPr>
          <w:rFonts w:ascii="Times New Roman" w:hAnsi="Times New Roman" w:cs="Times New Roman"/>
          <w:color w:val="000000" w:themeColor="text1"/>
          <w:sz w:val="20"/>
          <w:szCs w:val="20"/>
        </w:rPr>
        <w:t xml:space="preserve">. </w:t>
      </w:r>
    </w:p>
    <w:p w14:paraId="271E24D0" w14:textId="7D0B7EBF" w:rsidR="004A6F37" w:rsidRPr="002B0075" w:rsidRDefault="004A6F37" w:rsidP="00514E1A">
      <w:pPr>
        <w:jc w:val="both"/>
        <w:rPr>
          <w:rFonts w:ascii="Times New Roman" w:hAnsi="Times New Roman" w:cs="Times New Roman"/>
          <w:b/>
          <w:bCs/>
          <w:color w:val="000000" w:themeColor="text1"/>
          <w:sz w:val="20"/>
          <w:szCs w:val="20"/>
        </w:rPr>
      </w:pPr>
    </w:p>
    <w:p w14:paraId="16A8B5C2" w14:textId="77777777" w:rsidR="008876C8" w:rsidRPr="002B0075" w:rsidRDefault="008876C8" w:rsidP="008876C8">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Conclusion</w:t>
      </w:r>
    </w:p>
    <w:p w14:paraId="61519231" w14:textId="77777777" w:rsidR="008876C8" w:rsidRPr="002B0075" w:rsidRDefault="008876C8" w:rsidP="008876C8">
      <w:pPr>
        <w:jc w:val="both"/>
        <w:rPr>
          <w:rFonts w:ascii="Times New Roman" w:hAnsi="Times New Roman" w:cs="Times New Roman"/>
          <w:b/>
          <w:bCs/>
          <w:color w:val="000000" w:themeColor="text1"/>
          <w:sz w:val="20"/>
          <w:szCs w:val="20"/>
        </w:rPr>
      </w:pPr>
    </w:p>
    <w:p w14:paraId="3D0A7241" w14:textId="1EFCDDF7" w:rsidR="00B14865" w:rsidRPr="002B0075" w:rsidRDefault="008876C8" w:rsidP="008876C8">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The concept of Normative Power Europe generated a vibrant debate on the EU’s role as a norm-diffuser in world politics. Existing NPE research did not </w:t>
      </w:r>
      <w:r w:rsidR="0096667B" w:rsidRPr="002B0075">
        <w:rPr>
          <w:rFonts w:ascii="Times New Roman" w:hAnsi="Times New Roman" w:cs="Times New Roman"/>
          <w:color w:val="000000" w:themeColor="text1"/>
          <w:sz w:val="20"/>
          <w:szCs w:val="20"/>
        </w:rPr>
        <w:t>fully uncover the</w:t>
      </w:r>
      <w:r w:rsidRPr="002B0075">
        <w:rPr>
          <w:rFonts w:ascii="Times New Roman" w:hAnsi="Times New Roman" w:cs="Times New Roman"/>
          <w:color w:val="000000" w:themeColor="text1"/>
          <w:sz w:val="20"/>
          <w:szCs w:val="20"/>
        </w:rPr>
        <w:t xml:space="preserve"> complexity of EU diffusion items or disentangle the effects of the EU’s norm diffusion, however. By introducing analytical tools from diffusion literature, this study provides a more nuanced framework which </w:t>
      </w:r>
      <w:r w:rsidR="002F3F09" w:rsidRPr="002B0075">
        <w:rPr>
          <w:rFonts w:ascii="Times New Roman" w:hAnsi="Times New Roman" w:cs="Times New Roman"/>
          <w:color w:val="000000" w:themeColor="text1"/>
          <w:sz w:val="20"/>
          <w:szCs w:val="20"/>
        </w:rPr>
        <w:t>helps</w:t>
      </w:r>
      <w:r w:rsidRPr="002B0075">
        <w:rPr>
          <w:rFonts w:ascii="Times New Roman" w:hAnsi="Times New Roman" w:cs="Times New Roman"/>
          <w:color w:val="000000" w:themeColor="text1"/>
          <w:sz w:val="20"/>
          <w:szCs w:val="20"/>
        </w:rPr>
        <w:t xml:space="preserve"> remedy the limitations of NPE scholarship. Recogni</w:t>
      </w:r>
      <w:r w:rsidR="00134920"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ing the elastic nature of international norms, the paper conceptuali</w:t>
      </w:r>
      <w:r w:rsidR="00134920" w:rsidRPr="002B0075">
        <w:rPr>
          <w:rFonts w:ascii="Times New Roman" w:hAnsi="Times New Roman" w:cs="Times New Roman"/>
          <w:color w:val="000000" w:themeColor="text1"/>
          <w:sz w:val="20"/>
          <w:szCs w:val="20"/>
        </w:rPr>
        <w:t>s</w:t>
      </w:r>
      <w:r w:rsidRPr="002B0075">
        <w:rPr>
          <w:rFonts w:ascii="Times New Roman" w:hAnsi="Times New Roman" w:cs="Times New Roman"/>
          <w:color w:val="000000" w:themeColor="text1"/>
          <w:sz w:val="20"/>
          <w:szCs w:val="20"/>
        </w:rPr>
        <w:t xml:space="preserve">ed </w:t>
      </w:r>
      <w:r w:rsidR="00134920" w:rsidRPr="002B0075">
        <w:rPr>
          <w:rFonts w:ascii="Times New Roman" w:hAnsi="Times New Roman" w:cs="Times New Roman"/>
          <w:color w:val="000000" w:themeColor="text1"/>
          <w:sz w:val="20"/>
          <w:szCs w:val="20"/>
        </w:rPr>
        <w:t>EU diffusion items</w:t>
      </w:r>
      <w:r w:rsidRPr="002B0075">
        <w:rPr>
          <w:rFonts w:ascii="Times New Roman" w:hAnsi="Times New Roman" w:cs="Times New Roman"/>
          <w:color w:val="000000" w:themeColor="text1"/>
          <w:sz w:val="20"/>
          <w:szCs w:val="20"/>
        </w:rPr>
        <w:t xml:space="preserve"> not as single norms but as norm</w:t>
      </w:r>
      <w:r w:rsidR="00134920" w:rsidRPr="002B0075">
        <w:rPr>
          <w:rFonts w:ascii="Times New Roman" w:hAnsi="Times New Roman" w:cs="Times New Roman"/>
          <w:color w:val="000000" w:themeColor="text1"/>
          <w:sz w:val="20"/>
          <w:szCs w:val="20"/>
        </w:rPr>
        <w:t>-</w:t>
      </w:r>
      <w:r w:rsidRPr="002B0075">
        <w:rPr>
          <w:rFonts w:ascii="Times New Roman" w:hAnsi="Times New Roman" w:cs="Times New Roman"/>
          <w:color w:val="000000" w:themeColor="text1"/>
          <w:sz w:val="20"/>
          <w:szCs w:val="20"/>
        </w:rPr>
        <w:t>clusters that may contain interrelated specific problems, values and behaviours</w:t>
      </w:r>
      <w:r w:rsidR="00134920" w:rsidRPr="002B0075">
        <w:rPr>
          <w:rFonts w:ascii="Times New Roman" w:hAnsi="Times New Roman" w:cs="Times New Roman"/>
          <w:color w:val="000000" w:themeColor="text1"/>
          <w:sz w:val="20"/>
          <w:szCs w:val="20"/>
        </w:rPr>
        <w:t xml:space="preserve"> with different levels of specificity</w:t>
      </w:r>
      <w:r w:rsidRPr="002B0075">
        <w:rPr>
          <w:rFonts w:ascii="Times New Roman" w:hAnsi="Times New Roman" w:cs="Times New Roman"/>
          <w:color w:val="000000" w:themeColor="text1"/>
          <w:sz w:val="20"/>
          <w:szCs w:val="20"/>
        </w:rPr>
        <w:t xml:space="preserve">. </w:t>
      </w:r>
      <w:r w:rsidR="00134920" w:rsidRPr="002B0075">
        <w:rPr>
          <w:rFonts w:ascii="Times New Roman" w:hAnsi="Times New Roman" w:cs="Times New Roman"/>
          <w:color w:val="000000" w:themeColor="text1"/>
          <w:sz w:val="20"/>
          <w:szCs w:val="20"/>
        </w:rPr>
        <w:t>As shown in the case of EU-ASEAN security cooperation</w:t>
      </w:r>
      <w:r w:rsidRPr="002B0075">
        <w:rPr>
          <w:rFonts w:ascii="Times New Roman" w:hAnsi="Times New Roman" w:cs="Times New Roman"/>
          <w:color w:val="000000" w:themeColor="text1"/>
          <w:sz w:val="20"/>
          <w:szCs w:val="20"/>
        </w:rPr>
        <w:t xml:space="preserve">, the EU highlights two problems associated with ASEAN’s security environment: an increase in transnational and non-traditional security challenges, and a lack of effective regional architecture to address these security problems. Responding to these issues, the EU has attempted to promote three overarching security norms across ASEAN: </w:t>
      </w:r>
      <w:r w:rsidR="00134920" w:rsidRPr="002B0075">
        <w:rPr>
          <w:rFonts w:ascii="Times New Roman" w:hAnsi="Times New Roman" w:cs="Times New Roman"/>
          <w:color w:val="000000" w:themeColor="text1"/>
          <w:sz w:val="20"/>
          <w:szCs w:val="20"/>
        </w:rPr>
        <w:t>sustainable peace</w:t>
      </w:r>
      <w:r w:rsidRPr="002B0075">
        <w:rPr>
          <w:rFonts w:ascii="Times New Roman" w:hAnsi="Times New Roman" w:cs="Times New Roman"/>
          <w:color w:val="000000" w:themeColor="text1"/>
          <w:sz w:val="20"/>
          <w:szCs w:val="20"/>
        </w:rPr>
        <w:t xml:space="preserve">; security regionalism; and rule of law. The </w:t>
      </w:r>
      <w:r w:rsidR="00134920" w:rsidRPr="002B0075">
        <w:rPr>
          <w:rFonts w:ascii="Times New Roman" w:hAnsi="Times New Roman" w:cs="Times New Roman"/>
          <w:color w:val="000000" w:themeColor="text1"/>
          <w:sz w:val="20"/>
          <w:szCs w:val="20"/>
        </w:rPr>
        <w:t xml:space="preserve">article </w:t>
      </w:r>
      <w:r w:rsidRPr="002B0075">
        <w:rPr>
          <w:rFonts w:ascii="Times New Roman" w:hAnsi="Times New Roman" w:cs="Times New Roman"/>
          <w:color w:val="000000" w:themeColor="text1"/>
          <w:sz w:val="20"/>
          <w:szCs w:val="20"/>
        </w:rPr>
        <w:t>then showed that each of these fundamental norms has been translated into specific norm components such as mid-level norms (e.g</w:t>
      </w:r>
      <w:r w:rsidR="00134920" w:rsidRPr="002B0075">
        <w:rPr>
          <w:rFonts w:ascii="Times New Roman" w:hAnsi="Times New Roman" w:cs="Times New Roman"/>
          <w:color w:val="000000" w:themeColor="text1"/>
          <w:sz w:val="20"/>
          <w:szCs w:val="20"/>
        </w:rPr>
        <w:t>., comprehensive approach to security</w:t>
      </w:r>
      <w:r w:rsidRPr="002B0075">
        <w:rPr>
          <w:rFonts w:ascii="Times New Roman" w:hAnsi="Times New Roman" w:cs="Times New Roman"/>
          <w:color w:val="000000" w:themeColor="text1"/>
          <w:sz w:val="20"/>
          <w:szCs w:val="20"/>
        </w:rPr>
        <w:t>) and precise policy settings (</w:t>
      </w:r>
      <w:r w:rsidR="008B724C" w:rsidRPr="002B0075">
        <w:rPr>
          <w:rFonts w:ascii="Times New Roman" w:hAnsi="Times New Roman" w:cs="Times New Roman"/>
          <w:color w:val="000000" w:themeColor="text1"/>
          <w:sz w:val="20"/>
          <w:szCs w:val="20"/>
        </w:rPr>
        <w:t>e.g.,</w:t>
      </w:r>
      <w:r w:rsidRPr="002B0075">
        <w:rPr>
          <w:rFonts w:ascii="Times New Roman" w:hAnsi="Times New Roman" w:cs="Times New Roman"/>
          <w:color w:val="000000" w:themeColor="text1"/>
          <w:sz w:val="20"/>
          <w:szCs w:val="20"/>
        </w:rPr>
        <w:t xml:space="preserve"> border security management, CBRN mitigation policy) throughout the process of </w:t>
      </w:r>
      <w:r w:rsidR="002F3F09" w:rsidRPr="002B0075">
        <w:rPr>
          <w:rFonts w:ascii="Times New Roman" w:hAnsi="Times New Roman" w:cs="Times New Roman"/>
          <w:color w:val="000000" w:themeColor="text1"/>
          <w:sz w:val="20"/>
          <w:szCs w:val="20"/>
        </w:rPr>
        <w:t>the EU’s</w:t>
      </w:r>
      <w:r w:rsidRPr="002B0075">
        <w:rPr>
          <w:rFonts w:ascii="Times New Roman" w:hAnsi="Times New Roman" w:cs="Times New Roman"/>
          <w:color w:val="000000" w:themeColor="text1"/>
          <w:sz w:val="20"/>
          <w:szCs w:val="20"/>
        </w:rPr>
        <w:t xml:space="preserve"> </w:t>
      </w:r>
      <w:r w:rsidR="002F3F09" w:rsidRPr="002B0075">
        <w:rPr>
          <w:rFonts w:ascii="Times New Roman" w:hAnsi="Times New Roman" w:cs="Times New Roman"/>
          <w:color w:val="000000" w:themeColor="text1"/>
          <w:sz w:val="20"/>
          <w:szCs w:val="20"/>
        </w:rPr>
        <w:t>interaction with ASEAN in the security domain</w:t>
      </w:r>
      <w:r w:rsidRPr="002B0075">
        <w:rPr>
          <w:rFonts w:ascii="Times New Roman" w:hAnsi="Times New Roman" w:cs="Times New Roman"/>
          <w:color w:val="000000" w:themeColor="text1"/>
          <w:sz w:val="20"/>
          <w:szCs w:val="20"/>
        </w:rPr>
        <w:t xml:space="preserve">. Viewing EU diffusion </w:t>
      </w:r>
      <w:r w:rsidR="002F3F09" w:rsidRPr="002B0075">
        <w:rPr>
          <w:rFonts w:ascii="Times New Roman" w:hAnsi="Times New Roman" w:cs="Times New Roman"/>
          <w:color w:val="000000" w:themeColor="text1"/>
          <w:sz w:val="20"/>
          <w:szCs w:val="20"/>
        </w:rPr>
        <w:t>items</w:t>
      </w:r>
      <w:r w:rsidRPr="002B0075">
        <w:rPr>
          <w:rFonts w:ascii="Times New Roman" w:hAnsi="Times New Roman" w:cs="Times New Roman"/>
          <w:color w:val="000000" w:themeColor="text1"/>
          <w:sz w:val="20"/>
          <w:szCs w:val="20"/>
        </w:rPr>
        <w:t xml:space="preserve"> in this way contributes to advancing NPE research as it calls for a more nuanced understanding of the norms and actions underpinning the EU’s projection of ideational power in a particular policy context.</w:t>
      </w:r>
      <w:r w:rsidR="00581A09" w:rsidRPr="002B0075">
        <w:rPr>
          <w:rFonts w:ascii="Times New Roman" w:hAnsi="Times New Roman" w:cs="Times New Roman"/>
          <w:color w:val="000000" w:themeColor="text1"/>
          <w:sz w:val="20"/>
          <w:szCs w:val="20"/>
        </w:rPr>
        <w:t xml:space="preserve"> In addition, </w:t>
      </w:r>
      <w:r w:rsidR="00FA79EB" w:rsidRPr="002B0075">
        <w:rPr>
          <w:rFonts w:ascii="Times New Roman" w:hAnsi="Times New Roman" w:cs="Times New Roman"/>
          <w:color w:val="000000" w:themeColor="text1"/>
          <w:sz w:val="20"/>
          <w:szCs w:val="20"/>
        </w:rPr>
        <w:t>this research makes a contribution to furthering our understanding of the EU’s normative impact</w:t>
      </w:r>
      <w:r w:rsidR="008B724C" w:rsidRPr="002B0075">
        <w:rPr>
          <w:rFonts w:ascii="Times New Roman" w:hAnsi="Times New Roman" w:cs="Times New Roman"/>
          <w:color w:val="000000" w:themeColor="text1"/>
          <w:sz w:val="20"/>
          <w:szCs w:val="20"/>
        </w:rPr>
        <w:t xml:space="preserve"> vis-à-vis a third actor in international politics. As demonstrated in this case study, the effectiveness of EU diffusion may vary across the different norm components with different degrees of specificity. </w:t>
      </w:r>
      <w:r w:rsidR="002F3F09" w:rsidRPr="002B0075">
        <w:rPr>
          <w:rFonts w:ascii="Times New Roman" w:hAnsi="Times New Roman" w:cs="Times New Roman"/>
          <w:color w:val="000000" w:themeColor="text1"/>
          <w:sz w:val="20"/>
          <w:szCs w:val="20"/>
        </w:rPr>
        <w:t xml:space="preserve">The case study in this research largely confirms the hypothesis derived from the diffusion literature concerning the causal relationship between the specificity of diffusion items and the effectiveness of diffusion outcomes. </w:t>
      </w:r>
      <w:r w:rsidR="008B724C" w:rsidRPr="002B0075">
        <w:rPr>
          <w:rFonts w:ascii="Times New Roman" w:hAnsi="Times New Roman" w:cs="Times New Roman"/>
          <w:color w:val="000000" w:themeColor="text1"/>
          <w:sz w:val="20"/>
          <w:szCs w:val="20"/>
        </w:rPr>
        <w:t xml:space="preserve">Specifically, in the context of EU-ASEAN security relations, research findings reveal a partial adoption of EU norm-cluster in ASEAN. Notably, a number of EU security norm-components with higher levels of specificity (e.g., precise policy-settings in border management, CBRN risk mitigation) have gained increasing traction among ASEAN stakeholders and have been translated into ASEAN’s domestic discursive frames, legal frameworks or policy implementation. By analysing EU diffusion outcomes in accordance with various empirical indicators, this research </w:t>
      </w:r>
      <w:r w:rsidR="00015016" w:rsidRPr="002B0075">
        <w:rPr>
          <w:rFonts w:ascii="Times New Roman" w:hAnsi="Times New Roman" w:cs="Times New Roman"/>
          <w:color w:val="000000" w:themeColor="text1"/>
          <w:sz w:val="20"/>
          <w:szCs w:val="20"/>
        </w:rPr>
        <w:t xml:space="preserve">has </w:t>
      </w:r>
      <w:r w:rsidR="008B724C" w:rsidRPr="002B0075">
        <w:rPr>
          <w:rFonts w:ascii="Times New Roman" w:hAnsi="Times New Roman" w:cs="Times New Roman"/>
          <w:color w:val="000000" w:themeColor="text1"/>
          <w:sz w:val="20"/>
          <w:szCs w:val="20"/>
        </w:rPr>
        <w:t>advance</w:t>
      </w:r>
      <w:r w:rsidR="00015016" w:rsidRPr="002B0075">
        <w:rPr>
          <w:rFonts w:ascii="Times New Roman" w:hAnsi="Times New Roman" w:cs="Times New Roman"/>
          <w:color w:val="000000" w:themeColor="text1"/>
          <w:sz w:val="20"/>
          <w:szCs w:val="20"/>
        </w:rPr>
        <w:t>d</w:t>
      </w:r>
      <w:r w:rsidR="008B724C" w:rsidRPr="002B0075">
        <w:rPr>
          <w:rFonts w:ascii="Times New Roman" w:hAnsi="Times New Roman" w:cs="Times New Roman"/>
          <w:color w:val="000000" w:themeColor="text1"/>
          <w:sz w:val="20"/>
          <w:szCs w:val="20"/>
        </w:rPr>
        <w:t xml:space="preserve"> our understanding of the EU’s normative impact and the effects of EU diffusion in world politics</w:t>
      </w:r>
      <w:r w:rsidR="00015016" w:rsidRPr="002B0075">
        <w:rPr>
          <w:rFonts w:ascii="Times New Roman" w:hAnsi="Times New Roman" w:cs="Times New Roman"/>
          <w:color w:val="000000" w:themeColor="text1"/>
          <w:sz w:val="20"/>
          <w:szCs w:val="20"/>
        </w:rPr>
        <w:t xml:space="preserve"> at empirical level</w:t>
      </w:r>
      <w:r w:rsidR="008B724C" w:rsidRPr="002B0075">
        <w:rPr>
          <w:rFonts w:ascii="Times New Roman" w:hAnsi="Times New Roman" w:cs="Times New Roman"/>
          <w:color w:val="000000" w:themeColor="text1"/>
          <w:sz w:val="20"/>
          <w:szCs w:val="20"/>
        </w:rPr>
        <w:t>.</w:t>
      </w:r>
    </w:p>
    <w:p w14:paraId="1F193437" w14:textId="24F4F321" w:rsidR="008B724C" w:rsidRPr="002B0075" w:rsidRDefault="008B724C" w:rsidP="008876C8">
      <w:pPr>
        <w:jc w:val="both"/>
        <w:rPr>
          <w:rFonts w:ascii="Times New Roman" w:hAnsi="Times New Roman" w:cs="Times New Roman"/>
          <w:color w:val="000000" w:themeColor="text1"/>
          <w:sz w:val="20"/>
          <w:szCs w:val="20"/>
          <w:lang w:val="en-US"/>
        </w:rPr>
      </w:pPr>
    </w:p>
    <w:p w14:paraId="7B23B2F4" w14:textId="239521D2" w:rsidR="00B14865" w:rsidRPr="002B0075" w:rsidRDefault="00B14865" w:rsidP="00514E1A">
      <w:pPr>
        <w:jc w:val="both"/>
        <w:rPr>
          <w:rFonts w:ascii="Times New Roman" w:hAnsi="Times New Roman" w:cs="Times New Roman"/>
          <w:b/>
          <w:bCs/>
          <w:color w:val="000000" w:themeColor="text1"/>
          <w:sz w:val="20"/>
          <w:szCs w:val="20"/>
        </w:rPr>
      </w:pPr>
    </w:p>
    <w:p w14:paraId="2B3F2D69" w14:textId="31BDF0DC" w:rsidR="00B14865" w:rsidRPr="002B0075" w:rsidRDefault="00B14865" w:rsidP="00514E1A">
      <w:pPr>
        <w:jc w:val="both"/>
        <w:rPr>
          <w:rFonts w:ascii="Times New Roman" w:hAnsi="Times New Roman" w:cs="Times New Roman"/>
          <w:b/>
          <w:bCs/>
          <w:color w:val="000000" w:themeColor="text1"/>
          <w:sz w:val="20"/>
          <w:szCs w:val="20"/>
        </w:rPr>
      </w:pPr>
    </w:p>
    <w:p w14:paraId="5ECDE7FC" w14:textId="1C499401" w:rsidR="00B14865" w:rsidRPr="002B0075" w:rsidRDefault="00B14865" w:rsidP="00514E1A">
      <w:pPr>
        <w:jc w:val="both"/>
        <w:rPr>
          <w:rFonts w:ascii="Times New Roman" w:hAnsi="Times New Roman" w:cs="Times New Roman"/>
          <w:b/>
          <w:bCs/>
          <w:color w:val="000000" w:themeColor="text1"/>
          <w:sz w:val="20"/>
          <w:szCs w:val="20"/>
        </w:rPr>
      </w:pPr>
    </w:p>
    <w:p w14:paraId="4DBF9B97" w14:textId="4AC0D6A8" w:rsidR="00B14865" w:rsidRPr="002B0075" w:rsidRDefault="00B14865" w:rsidP="00514E1A">
      <w:pPr>
        <w:jc w:val="both"/>
        <w:rPr>
          <w:rFonts w:ascii="Times New Roman" w:hAnsi="Times New Roman" w:cs="Times New Roman"/>
          <w:b/>
          <w:bCs/>
          <w:color w:val="000000" w:themeColor="text1"/>
          <w:sz w:val="20"/>
          <w:szCs w:val="20"/>
        </w:rPr>
      </w:pPr>
    </w:p>
    <w:p w14:paraId="62F7CCF6" w14:textId="577EE2B7" w:rsidR="00B14865" w:rsidRPr="002B0075" w:rsidRDefault="00B14865" w:rsidP="00514E1A">
      <w:pPr>
        <w:jc w:val="both"/>
        <w:rPr>
          <w:rFonts w:ascii="Times New Roman" w:hAnsi="Times New Roman" w:cs="Times New Roman"/>
          <w:b/>
          <w:bCs/>
          <w:color w:val="000000" w:themeColor="text1"/>
          <w:sz w:val="20"/>
          <w:szCs w:val="20"/>
        </w:rPr>
      </w:pPr>
    </w:p>
    <w:p w14:paraId="39CC6F28" w14:textId="72D121DA" w:rsidR="00B14865" w:rsidRPr="002B0075" w:rsidRDefault="00B14865" w:rsidP="00514E1A">
      <w:pPr>
        <w:jc w:val="both"/>
        <w:rPr>
          <w:rFonts w:ascii="Times New Roman" w:hAnsi="Times New Roman" w:cs="Times New Roman"/>
          <w:b/>
          <w:bCs/>
          <w:color w:val="000000" w:themeColor="text1"/>
          <w:sz w:val="20"/>
          <w:szCs w:val="20"/>
        </w:rPr>
      </w:pPr>
    </w:p>
    <w:p w14:paraId="5C0C9D9B" w14:textId="6A8FD507" w:rsidR="007A1460" w:rsidRPr="002B0075" w:rsidRDefault="007A1460" w:rsidP="00514E1A">
      <w:pPr>
        <w:jc w:val="both"/>
        <w:rPr>
          <w:rFonts w:ascii="Times New Roman" w:hAnsi="Times New Roman" w:cs="Times New Roman"/>
          <w:b/>
          <w:bCs/>
          <w:color w:val="000000" w:themeColor="text1"/>
          <w:sz w:val="20"/>
          <w:szCs w:val="20"/>
        </w:rPr>
      </w:pPr>
    </w:p>
    <w:p w14:paraId="6100D06F" w14:textId="48656754" w:rsidR="007A1460" w:rsidRPr="002B0075" w:rsidRDefault="007A1460" w:rsidP="00E06367">
      <w:pPr>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br w:type="page"/>
      </w:r>
    </w:p>
    <w:p w14:paraId="77491574" w14:textId="77777777" w:rsidR="007A1460" w:rsidRPr="002B0075" w:rsidRDefault="007A1460" w:rsidP="007A1460">
      <w:pPr>
        <w:ind w:left="408" w:hangingChars="200" w:hanging="408"/>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lastRenderedPageBreak/>
        <w:t>References:</w:t>
      </w:r>
    </w:p>
    <w:p w14:paraId="49C8E8E5" w14:textId="77777777" w:rsidR="007A1460" w:rsidRPr="002B0075" w:rsidRDefault="007A1460" w:rsidP="007A1460">
      <w:pPr>
        <w:ind w:left="400" w:hangingChars="200" w:hanging="400"/>
        <w:jc w:val="both"/>
        <w:rPr>
          <w:rFonts w:ascii="Times New Roman" w:hAnsi="Times New Roman" w:cs="Times New Roman"/>
          <w:color w:val="000000" w:themeColor="text1"/>
          <w:sz w:val="20"/>
          <w:szCs w:val="20"/>
        </w:rPr>
      </w:pPr>
    </w:p>
    <w:p w14:paraId="4BDD77F1" w14:textId="77777777" w:rsidR="00D321E6" w:rsidRPr="002B0075" w:rsidRDefault="00D321E6" w:rsidP="00514E1A">
      <w:pPr>
        <w:jc w:val="both"/>
        <w:rPr>
          <w:rFonts w:ascii="Times New Roman" w:hAnsi="Times New Roman" w:cs="Times New Roman"/>
          <w:b/>
          <w:bCs/>
          <w:color w:val="000000" w:themeColor="text1"/>
          <w:sz w:val="20"/>
          <w:szCs w:val="20"/>
        </w:rPr>
      </w:pPr>
    </w:p>
    <w:p w14:paraId="0A4F28CD"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Acharya, A. (2004) ‘How Ideas Spread: Whose Norms Matter? Norm Localization and Institutional Change in Asian Regionalism’. International Organization, Vol. 58, No. 2, pp. 239–275.</w:t>
      </w:r>
    </w:p>
    <w:p w14:paraId="4F9DFF62"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Acharya, A. (2009). </w:t>
      </w:r>
      <w:r w:rsidRPr="002B0075">
        <w:rPr>
          <w:rFonts w:ascii="Times New Roman" w:hAnsi="Times New Roman" w:cs="Times New Roman"/>
          <w:i/>
          <w:iCs/>
          <w:color w:val="000000" w:themeColor="text1"/>
          <w:sz w:val="20"/>
          <w:szCs w:val="20"/>
          <w:shd w:val="clear" w:color="auto" w:fill="FFFFFF"/>
        </w:rPr>
        <w:t>Constructing a security community in Southeast Asia: ASEAN and the problem of regional order</w:t>
      </w:r>
      <w:r w:rsidRPr="002B0075">
        <w:rPr>
          <w:rFonts w:ascii="Times New Roman" w:hAnsi="Times New Roman" w:cs="Times New Roman"/>
          <w:color w:val="000000" w:themeColor="text1"/>
          <w:sz w:val="20"/>
          <w:szCs w:val="20"/>
          <w:shd w:val="clear" w:color="auto" w:fill="FFFFFF"/>
        </w:rPr>
        <w:t>. Routledge.</w:t>
      </w:r>
    </w:p>
    <w:p w14:paraId="7B5B3D99"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Afionis</w:t>
      </w:r>
      <w:proofErr w:type="spellEnd"/>
      <w:r w:rsidRPr="002B0075">
        <w:rPr>
          <w:rFonts w:ascii="Times New Roman" w:hAnsi="Times New Roman" w:cs="Times New Roman"/>
          <w:color w:val="000000" w:themeColor="text1"/>
          <w:sz w:val="20"/>
          <w:szCs w:val="20"/>
        </w:rPr>
        <w:t>, S. and Stringer, L. (2012) ‘European Union Leadership in Biofuels Regulation: Europe as a Normative Power?’ Journal of Cleaner Production, Vol. 32, pp. 114–123.</w:t>
      </w:r>
    </w:p>
    <w:p w14:paraId="7656FF1B"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Allison, L. (2015) The EU, ASEAN and </w:t>
      </w:r>
      <w:proofErr w:type="spellStart"/>
      <w:r w:rsidRPr="002B0075">
        <w:rPr>
          <w:rFonts w:ascii="Times New Roman" w:hAnsi="Times New Roman" w:cs="Times New Roman"/>
          <w:color w:val="000000" w:themeColor="text1"/>
          <w:sz w:val="20"/>
          <w:szCs w:val="20"/>
        </w:rPr>
        <w:t>Interregionalism</w:t>
      </w:r>
      <w:proofErr w:type="spellEnd"/>
      <w:r w:rsidRPr="002B0075">
        <w:rPr>
          <w:rFonts w:ascii="Times New Roman" w:hAnsi="Times New Roman" w:cs="Times New Roman"/>
          <w:color w:val="000000" w:themeColor="text1"/>
          <w:sz w:val="20"/>
          <w:szCs w:val="20"/>
        </w:rPr>
        <w:t>: Regionalism Support and Norm Diffusion Between the EU and ASEAN. London: Palgrave Macmillan.</w:t>
      </w:r>
    </w:p>
    <w:p w14:paraId="028597A3"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ARF. (1995). ‘the ASEAN Regional Forum: a concept paper’, Brunei Darussalam, August 1995. available at: </w:t>
      </w:r>
      <w:hyperlink r:id="rId12" w:history="1">
        <w:r w:rsidRPr="002B0075">
          <w:rPr>
            <w:rStyle w:val="a6"/>
            <w:rFonts w:ascii="Times New Roman" w:hAnsi="Times New Roman" w:cs="Times New Roman"/>
            <w:color w:val="000000" w:themeColor="text1"/>
            <w:sz w:val="20"/>
            <w:szCs w:val="20"/>
            <w:u w:val="none"/>
          </w:rPr>
          <w:t>https://cil.nus.edu.sg/wp-content/uploads/2019/02/1995-THE-ASEAN-REGIONAL-FORUM-A-CONCEPT-PAPER.pdf</w:t>
        </w:r>
      </w:hyperlink>
    </w:p>
    <w:p w14:paraId="5A17002F"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ASEAN (2015) ‘EU, ASEAN Launch 2nd Phase of Border Management Programme’, 20 October. Available at: « </w:t>
      </w:r>
      <w:hyperlink r:id="rId13" w:history="1">
        <w:r w:rsidRPr="002B0075">
          <w:rPr>
            <w:rFonts w:ascii="Times New Roman" w:hAnsi="Times New Roman" w:cs="Times New Roman"/>
            <w:color w:val="000000" w:themeColor="text1"/>
            <w:sz w:val="20"/>
            <w:szCs w:val="20"/>
          </w:rPr>
          <w:t>https://asean.org/eu-asean-launch-2nd-phase-of-border-management-programme/</w:t>
        </w:r>
      </w:hyperlink>
      <w:r w:rsidRPr="002B0075">
        <w:rPr>
          <w:rFonts w:ascii="Times New Roman" w:hAnsi="Times New Roman" w:cs="Times New Roman"/>
          <w:color w:val="000000" w:themeColor="text1"/>
          <w:sz w:val="20"/>
          <w:szCs w:val="20"/>
        </w:rPr>
        <w:t xml:space="preserve">» </w:t>
      </w:r>
    </w:p>
    <w:p w14:paraId="3F6EFF37" w14:textId="77777777" w:rsidR="00D321E6" w:rsidRPr="002B0075" w:rsidRDefault="00D321E6" w:rsidP="007A1460">
      <w:pPr>
        <w:ind w:left="400" w:hangingChars="200" w:hanging="400"/>
        <w:rPr>
          <w:rFonts w:ascii="Times New Roman" w:hAnsi="Times New Roman" w:cs="Times New Roman"/>
          <w:color w:val="000000" w:themeColor="text1"/>
          <w:sz w:val="20"/>
          <w:szCs w:val="20"/>
          <w:shd w:val="clear" w:color="auto" w:fill="FFFFFF"/>
        </w:rPr>
      </w:pPr>
      <w:proofErr w:type="spellStart"/>
      <w:r w:rsidRPr="002B0075">
        <w:rPr>
          <w:rFonts w:ascii="Times New Roman" w:hAnsi="Times New Roman" w:cs="Times New Roman"/>
          <w:color w:val="000000" w:themeColor="text1"/>
          <w:sz w:val="20"/>
          <w:szCs w:val="20"/>
          <w:shd w:val="clear" w:color="auto" w:fill="FFFFFF"/>
        </w:rPr>
        <w:t>Bicchi</w:t>
      </w:r>
      <w:proofErr w:type="spellEnd"/>
      <w:r w:rsidRPr="002B0075">
        <w:rPr>
          <w:rFonts w:ascii="Times New Roman" w:hAnsi="Times New Roman" w:cs="Times New Roman"/>
          <w:color w:val="000000" w:themeColor="text1"/>
          <w:sz w:val="20"/>
          <w:szCs w:val="20"/>
          <w:shd w:val="clear" w:color="auto" w:fill="FFFFFF"/>
        </w:rPr>
        <w:t>, F. (2006). ‘Our size fits all’: Normative Power Europe and the Mediterranean. Journal of European public policy, 13(2), 286-303.</w:t>
      </w:r>
    </w:p>
    <w:p w14:paraId="2041C04B"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shd w:val="clear" w:color="auto" w:fill="FFFFFF"/>
        </w:rPr>
        <w:t>Birchfield, V. (2013). ‘A normative power Europe framework of transnational policy formation’. Journal of European Public Policy, 20(6), 907-922.</w:t>
      </w:r>
    </w:p>
    <w:p w14:paraId="157AB286"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Björkdahl</w:t>
      </w:r>
      <w:proofErr w:type="spellEnd"/>
      <w:r w:rsidRPr="002B0075">
        <w:rPr>
          <w:rFonts w:ascii="Times New Roman" w:hAnsi="Times New Roman" w:cs="Times New Roman"/>
          <w:color w:val="000000" w:themeColor="text1"/>
          <w:sz w:val="20"/>
          <w:szCs w:val="20"/>
        </w:rPr>
        <w:t xml:space="preserve">, A. </w:t>
      </w:r>
      <w:proofErr w:type="spellStart"/>
      <w:r w:rsidRPr="002B0075">
        <w:rPr>
          <w:rFonts w:ascii="Times New Roman" w:hAnsi="Times New Roman" w:cs="Times New Roman"/>
          <w:color w:val="000000" w:themeColor="text1"/>
          <w:sz w:val="20"/>
          <w:szCs w:val="20"/>
        </w:rPr>
        <w:t>Chaban</w:t>
      </w:r>
      <w:proofErr w:type="spellEnd"/>
      <w:r w:rsidRPr="002B0075">
        <w:rPr>
          <w:rFonts w:ascii="Times New Roman" w:hAnsi="Times New Roman" w:cs="Times New Roman"/>
          <w:color w:val="000000" w:themeColor="text1"/>
          <w:sz w:val="20"/>
          <w:szCs w:val="20"/>
        </w:rPr>
        <w:t xml:space="preserve">, N. Leslie, J. and </w:t>
      </w:r>
      <w:proofErr w:type="spellStart"/>
      <w:r w:rsidRPr="002B0075">
        <w:rPr>
          <w:rFonts w:ascii="Times New Roman" w:hAnsi="Times New Roman" w:cs="Times New Roman"/>
          <w:color w:val="000000" w:themeColor="text1"/>
          <w:sz w:val="20"/>
          <w:szCs w:val="20"/>
        </w:rPr>
        <w:t>Masselot</w:t>
      </w:r>
      <w:proofErr w:type="spellEnd"/>
      <w:r w:rsidRPr="002B0075">
        <w:rPr>
          <w:rFonts w:ascii="Times New Roman" w:hAnsi="Times New Roman" w:cs="Times New Roman"/>
          <w:color w:val="000000" w:themeColor="text1"/>
          <w:sz w:val="20"/>
          <w:szCs w:val="20"/>
        </w:rPr>
        <w:t>, A. (eds) (2015) Importing EU Norms: Conceptual Framework and Empirical Findings. Switzerland: Springer.</w:t>
      </w:r>
    </w:p>
    <w:p w14:paraId="1F1F77C7"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Border Management (2018) ‘Immigration heads’ meeting moots ASEAN common visa, Border Management’, 13 August 2018, available at: </w:t>
      </w:r>
      <w:hyperlink r:id="rId14" w:history="1">
        <w:r w:rsidRPr="002B0075">
          <w:rPr>
            <w:rStyle w:val="a6"/>
            <w:rFonts w:ascii="Times New Roman" w:hAnsi="Times New Roman" w:cs="Times New Roman"/>
            <w:color w:val="000000" w:themeColor="text1"/>
            <w:sz w:val="20"/>
            <w:szCs w:val="20"/>
          </w:rPr>
          <w:t>http://bordermanagement.net/?p=277</w:t>
        </w:r>
      </w:hyperlink>
      <w:r w:rsidRPr="002B0075">
        <w:rPr>
          <w:rFonts w:ascii="Times New Roman" w:hAnsi="Times New Roman" w:cs="Times New Roman"/>
          <w:color w:val="000000" w:themeColor="text1"/>
          <w:sz w:val="20"/>
          <w:szCs w:val="20"/>
        </w:rPr>
        <w:t>.</w:t>
      </w:r>
    </w:p>
    <w:p w14:paraId="1542D082"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proofErr w:type="spellStart"/>
      <w:r w:rsidRPr="002B0075">
        <w:rPr>
          <w:rFonts w:ascii="Times New Roman" w:hAnsi="Times New Roman" w:cs="Times New Roman"/>
          <w:color w:val="000000" w:themeColor="text1"/>
          <w:sz w:val="20"/>
          <w:szCs w:val="20"/>
          <w:shd w:val="clear" w:color="auto" w:fill="FFFFFF"/>
        </w:rPr>
        <w:t>Börzel</w:t>
      </w:r>
      <w:proofErr w:type="spellEnd"/>
      <w:r w:rsidRPr="002B0075">
        <w:rPr>
          <w:rFonts w:ascii="Times New Roman" w:hAnsi="Times New Roman" w:cs="Times New Roman"/>
          <w:color w:val="000000" w:themeColor="text1"/>
          <w:sz w:val="20"/>
          <w:szCs w:val="20"/>
          <w:shd w:val="clear" w:color="auto" w:fill="FFFFFF"/>
        </w:rPr>
        <w:t xml:space="preserve">, T. A., &amp; </w:t>
      </w:r>
      <w:proofErr w:type="spellStart"/>
      <w:r w:rsidRPr="002B0075">
        <w:rPr>
          <w:rFonts w:ascii="Times New Roman" w:hAnsi="Times New Roman" w:cs="Times New Roman"/>
          <w:color w:val="000000" w:themeColor="text1"/>
          <w:sz w:val="20"/>
          <w:szCs w:val="20"/>
          <w:shd w:val="clear" w:color="auto" w:fill="FFFFFF"/>
        </w:rPr>
        <w:t>Risse</w:t>
      </w:r>
      <w:proofErr w:type="spellEnd"/>
      <w:r w:rsidRPr="002B0075">
        <w:rPr>
          <w:rFonts w:ascii="Times New Roman" w:hAnsi="Times New Roman" w:cs="Times New Roman"/>
          <w:color w:val="000000" w:themeColor="text1"/>
          <w:sz w:val="20"/>
          <w:szCs w:val="20"/>
          <w:shd w:val="clear" w:color="auto" w:fill="FFFFFF"/>
        </w:rPr>
        <w:t>, T. (2012). From Europeanisation to diffusion: introduction. </w:t>
      </w:r>
      <w:r w:rsidRPr="002B0075">
        <w:rPr>
          <w:rFonts w:ascii="Times New Roman" w:hAnsi="Times New Roman" w:cs="Times New Roman"/>
          <w:i/>
          <w:iCs/>
          <w:color w:val="000000" w:themeColor="text1"/>
          <w:sz w:val="20"/>
          <w:szCs w:val="20"/>
          <w:shd w:val="clear" w:color="auto" w:fill="FFFFFF"/>
        </w:rPr>
        <w:t>West European Politics</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35</w:t>
      </w:r>
      <w:r w:rsidRPr="002B0075">
        <w:rPr>
          <w:rFonts w:ascii="Times New Roman" w:hAnsi="Times New Roman" w:cs="Times New Roman"/>
          <w:color w:val="000000" w:themeColor="text1"/>
          <w:sz w:val="20"/>
          <w:szCs w:val="20"/>
          <w:shd w:val="clear" w:color="auto" w:fill="FFFFFF"/>
        </w:rPr>
        <w:t>(1), 1-19.</w:t>
      </w:r>
    </w:p>
    <w:p w14:paraId="3F45BC15"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shd w:val="clear" w:color="auto" w:fill="FFFFFF"/>
        </w:rPr>
        <w:t xml:space="preserve">Bull, H. (1982). ‘Civilian power Europe: a contradiction in </w:t>
      </w:r>
      <w:proofErr w:type="gramStart"/>
      <w:r w:rsidRPr="002B0075">
        <w:rPr>
          <w:rFonts w:ascii="Times New Roman" w:hAnsi="Times New Roman" w:cs="Times New Roman"/>
          <w:color w:val="000000" w:themeColor="text1"/>
          <w:sz w:val="20"/>
          <w:szCs w:val="20"/>
          <w:shd w:val="clear" w:color="auto" w:fill="FFFFFF"/>
        </w:rPr>
        <w:t>terms’</w:t>
      </w:r>
      <w:proofErr w:type="gramEnd"/>
      <w:r w:rsidRPr="002B0075">
        <w:rPr>
          <w:rFonts w:ascii="Times New Roman" w:hAnsi="Times New Roman" w:cs="Times New Roman"/>
          <w:color w:val="000000" w:themeColor="text1"/>
          <w:sz w:val="20"/>
          <w:szCs w:val="20"/>
          <w:shd w:val="clear" w:color="auto" w:fill="FFFFFF"/>
        </w:rPr>
        <w:t>. Journal of Common Market Studies, Vol. 21, issue 2, 149-170.</w:t>
      </w:r>
    </w:p>
    <w:p w14:paraId="714D3596"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 xml:space="preserve">Buller, J., &amp; Gamble, A. (2002). Conceptualising </w:t>
      </w:r>
      <w:proofErr w:type="spellStart"/>
      <w:r w:rsidRPr="002B0075">
        <w:rPr>
          <w:rFonts w:ascii="Times New Roman" w:hAnsi="Times New Roman" w:cs="Times New Roman"/>
          <w:color w:val="000000" w:themeColor="text1"/>
          <w:sz w:val="20"/>
          <w:szCs w:val="20"/>
          <w:shd w:val="clear" w:color="auto" w:fill="FFFFFF"/>
        </w:rPr>
        <w:t>europeanisation</w:t>
      </w:r>
      <w:proofErr w:type="spellEnd"/>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Public policy and administration</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17</w:t>
      </w:r>
      <w:r w:rsidRPr="002B0075">
        <w:rPr>
          <w:rFonts w:ascii="Times New Roman" w:hAnsi="Times New Roman" w:cs="Times New Roman"/>
          <w:color w:val="000000" w:themeColor="text1"/>
          <w:sz w:val="20"/>
          <w:szCs w:val="20"/>
          <w:shd w:val="clear" w:color="auto" w:fill="FFFFFF"/>
        </w:rPr>
        <w:t>(2), 4-24.</w:t>
      </w:r>
    </w:p>
    <w:p w14:paraId="3A0DB208"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Bulmer, S., &amp; Burch, M. (2005). The Europeanization of UK government: From quiet revolution to explicit step‐</w:t>
      </w:r>
      <w:proofErr w:type="gramStart"/>
      <w:r w:rsidRPr="002B0075">
        <w:rPr>
          <w:rFonts w:ascii="Times New Roman" w:hAnsi="Times New Roman" w:cs="Times New Roman"/>
          <w:color w:val="000000" w:themeColor="text1"/>
          <w:sz w:val="20"/>
          <w:szCs w:val="20"/>
          <w:shd w:val="clear" w:color="auto" w:fill="FFFFFF"/>
        </w:rPr>
        <w:t>change?.</w:t>
      </w:r>
      <w:proofErr w:type="gramEnd"/>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Public Administration</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83</w:t>
      </w:r>
      <w:r w:rsidRPr="002B0075">
        <w:rPr>
          <w:rFonts w:ascii="Times New Roman" w:hAnsi="Times New Roman" w:cs="Times New Roman"/>
          <w:color w:val="000000" w:themeColor="text1"/>
          <w:sz w:val="20"/>
          <w:szCs w:val="20"/>
          <w:shd w:val="clear" w:color="auto" w:fill="FFFFFF"/>
        </w:rPr>
        <w:t>(4), 861-890.</w:t>
      </w:r>
    </w:p>
    <w:p w14:paraId="3A739E2B"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Caballero-Anthony, M. (2019). </w:t>
      </w:r>
      <w:r w:rsidRPr="002B0075">
        <w:rPr>
          <w:rFonts w:ascii="Times New Roman" w:hAnsi="Times New Roman" w:cs="Times New Roman"/>
          <w:i/>
          <w:iCs/>
          <w:color w:val="000000" w:themeColor="text1"/>
          <w:sz w:val="20"/>
          <w:szCs w:val="20"/>
          <w:shd w:val="clear" w:color="auto" w:fill="FFFFFF"/>
        </w:rPr>
        <w:t>Negotiating governance on non-traditional security in Southeast Asia and beyond</w:t>
      </w:r>
      <w:r w:rsidRPr="002B0075">
        <w:rPr>
          <w:rFonts w:ascii="Times New Roman" w:hAnsi="Times New Roman" w:cs="Times New Roman"/>
          <w:color w:val="000000" w:themeColor="text1"/>
          <w:sz w:val="20"/>
          <w:szCs w:val="20"/>
          <w:shd w:val="clear" w:color="auto" w:fill="FFFFFF"/>
        </w:rPr>
        <w:t>. Columbia University Press.</w:t>
      </w:r>
    </w:p>
    <w:p w14:paraId="0087B97B"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Checkel</w:t>
      </w:r>
      <w:proofErr w:type="spellEnd"/>
      <w:r w:rsidRPr="002B0075">
        <w:rPr>
          <w:rFonts w:ascii="Times New Roman" w:hAnsi="Times New Roman" w:cs="Times New Roman"/>
          <w:color w:val="000000" w:themeColor="text1"/>
          <w:sz w:val="20"/>
          <w:szCs w:val="20"/>
          <w:shd w:val="clear" w:color="auto" w:fill="FFFFFF"/>
        </w:rPr>
        <w:t>, J. T. (1999). ‘Norms, institutions, and national identity in contemporary Europe’. International studies quarterly, 43(1), 83-114.</w:t>
      </w:r>
    </w:p>
    <w:p w14:paraId="71E35FB3"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Council of the EU (2003) ‘European Security Strategy’, 12 December. Available at «</w:t>
      </w:r>
      <w:hyperlink r:id="rId15" w:history="1">
        <w:r w:rsidRPr="002B0075">
          <w:rPr>
            <w:rStyle w:val="a6"/>
            <w:rFonts w:ascii="Times New Roman" w:hAnsi="Times New Roman" w:cs="Times New Roman"/>
            <w:color w:val="000000" w:themeColor="text1"/>
            <w:sz w:val="20"/>
            <w:szCs w:val="20"/>
          </w:rPr>
          <w:t>https://www.consilium.europa.eu/en/documents-publications/publications/european-security-strategy-secure-europe-better-world/</w:t>
        </w:r>
      </w:hyperlink>
      <w:r w:rsidRPr="002B0075">
        <w:rPr>
          <w:rFonts w:ascii="Times New Roman" w:hAnsi="Times New Roman" w:cs="Times New Roman"/>
          <w:color w:val="000000" w:themeColor="text1"/>
          <w:sz w:val="20"/>
          <w:szCs w:val="20"/>
        </w:rPr>
        <w:t xml:space="preserve">» </w:t>
      </w:r>
    </w:p>
    <w:p w14:paraId="3ADB42D3"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Council of the EU (2007) ‘Nuremberg Declaration on an EU–ASEAN Enhanced Partnership’, 15 March. Available at «</w:t>
      </w:r>
      <w:hyperlink r:id="rId16" w:history="1">
        <w:r w:rsidRPr="002B0075">
          <w:rPr>
            <w:rStyle w:val="a6"/>
            <w:rFonts w:ascii="Times New Roman" w:hAnsi="Times New Roman" w:cs="Times New Roman"/>
            <w:color w:val="000000" w:themeColor="text1"/>
            <w:sz w:val="20"/>
            <w:szCs w:val="20"/>
          </w:rPr>
          <w:t>https://ec.europa.eu/commission/presscorner/detail/en/PRES_07_54</w:t>
        </w:r>
      </w:hyperlink>
      <w:r w:rsidRPr="002B0075">
        <w:rPr>
          <w:rFonts w:ascii="Times New Roman" w:hAnsi="Times New Roman" w:cs="Times New Roman"/>
          <w:color w:val="000000" w:themeColor="text1"/>
          <w:sz w:val="20"/>
          <w:szCs w:val="20"/>
        </w:rPr>
        <w:t xml:space="preserve">» </w:t>
      </w:r>
    </w:p>
    <w:p w14:paraId="089F7425"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Council of the EU (2012) ‘Guidelines on the EU’s Foreign and Security Policy in East Asia’, 15 June. Available at «</w:t>
      </w:r>
      <w:hyperlink r:id="rId17" w:history="1">
        <w:r w:rsidRPr="002B0075">
          <w:rPr>
            <w:rStyle w:val="a6"/>
            <w:rFonts w:ascii="Times New Roman" w:hAnsi="Times New Roman" w:cs="Times New Roman"/>
            <w:color w:val="000000" w:themeColor="text1"/>
            <w:sz w:val="20"/>
            <w:szCs w:val="20"/>
          </w:rPr>
          <w:t>http://eeas.europa.eu/archives/docs/asia/docs/guidelines_eu_foreign_sec_pol_east_asia_en.pdf</w:t>
        </w:r>
      </w:hyperlink>
      <w:r w:rsidRPr="002B0075">
        <w:rPr>
          <w:rFonts w:ascii="Times New Roman" w:hAnsi="Times New Roman" w:cs="Times New Roman"/>
          <w:color w:val="000000" w:themeColor="text1"/>
          <w:sz w:val="20"/>
          <w:szCs w:val="20"/>
        </w:rPr>
        <w:t xml:space="preserve">» </w:t>
      </w:r>
    </w:p>
    <w:p w14:paraId="68375A99"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t>Cross, M. (2011) Security Integration in Europe: How Knowledge-based Networks are Transforming the European Union. Michigan: University of Michigan Press.</w:t>
      </w:r>
    </w:p>
    <w:p w14:paraId="2E9B9166"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CSCAP (2015) ‘1st Meeting of the CSCAP Study Group on Preventive Diplomacy: co-chairs report’, 27–29 April. Available at «</w:t>
      </w:r>
      <w:hyperlink r:id="rId18" w:history="1">
        <w:r w:rsidRPr="002B0075">
          <w:rPr>
            <w:rStyle w:val="a6"/>
            <w:rFonts w:ascii="Times New Roman" w:hAnsi="Times New Roman" w:cs="Times New Roman"/>
            <w:color w:val="000000" w:themeColor="text1"/>
            <w:sz w:val="20"/>
            <w:szCs w:val="20"/>
          </w:rPr>
          <w:t>http://www.cscap.org/uploads/docs/Towards%20Preventive%20Dip/1MtgRptSGTowardsPDApril2015.pdf</w:t>
        </w:r>
      </w:hyperlink>
      <w:r w:rsidRPr="002B0075">
        <w:rPr>
          <w:rFonts w:ascii="Times New Roman" w:hAnsi="Times New Roman" w:cs="Times New Roman"/>
          <w:color w:val="000000" w:themeColor="text1"/>
          <w:sz w:val="20"/>
          <w:szCs w:val="20"/>
        </w:rPr>
        <w:t xml:space="preserve">» </w:t>
      </w:r>
    </w:p>
    <w:p w14:paraId="2125CC86"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CSR, 2007. ‘Co-Chairs’ Summary Report of the meeting of the ASEAN Regional Forum Inter-Sessional Support Group on Confidence Building Measures and Preventive Diplomacy’. Helsinki, 28–30 March. </w:t>
      </w:r>
    </w:p>
    <w:p w14:paraId="4223FBAF"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shd w:val="clear" w:color="auto" w:fill="FFFFFF"/>
        </w:rPr>
        <w:t xml:space="preserve">De </w:t>
      </w:r>
      <w:proofErr w:type="spellStart"/>
      <w:r w:rsidRPr="002B0075">
        <w:rPr>
          <w:rFonts w:ascii="Times New Roman" w:hAnsi="Times New Roman" w:cs="Times New Roman"/>
          <w:color w:val="000000" w:themeColor="text1"/>
          <w:sz w:val="20"/>
          <w:szCs w:val="20"/>
          <w:shd w:val="clear" w:color="auto" w:fill="FFFFFF"/>
        </w:rPr>
        <w:t>Zutter</w:t>
      </w:r>
      <w:proofErr w:type="spellEnd"/>
      <w:r w:rsidRPr="002B0075">
        <w:rPr>
          <w:rFonts w:ascii="Times New Roman" w:hAnsi="Times New Roman" w:cs="Times New Roman"/>
          <w:color w:val="000000" w:themeColor="text1"/>
          <w:sz w:val="20"/>
          <w:szCs w:val="20"/>
          <w:shd w:val="clear" w:color="auto" w:fill="FFFFFF"/>
        </w:rPr>
        <w:t>, E. (2010). Normative power spotting: an ontological and methodological appraisal. Journal of European Public Policy, 17(8), 1106-1127.</w:t>
      </w:r>
    </w:p>
    <w:p w14:paraId="797B3B97"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Delcour</w:t>
      </w:r>
      <w:proofErr w:type="spellEnd"/>
      <w:r w:rsidRPr="002B0075">
        <w:rPr>
          <w:rFonts w:ascii="Times New Roman" w:hAnsi="Times New Roman" w:cs="Times New Roman"/>
          <w:color w:val="000000" w:themeColor="text1"/>
          <w:sz w:val="20"/>
          <w:szCs w:val="20"/>
        </w:rPr>
        <w:t xml:space="preserve">, L. and </w:t>
      </w:r>
      <w:proofErr w:type="spellStart"/>
      <w:r w:rsidRPr="002B0075">
        <w:rPr>
          <w:rFonts w:ascii="Times New Roman" w:hAnsi="Times New Roman" w:cs="Times New Roman"/>
          <w:color w:val="000000" w:themeColor="text1"/>
          <w:sz w:val="20"/>
          <w:szCs w:val="20"/>
        </w:rPr>
        <w:t>Tulmets</w:t>
      </w:r>
      <w:proofErr w:type="spellEnd"/>
      <w:r w:rsidRPr="002B0075">
        <w:rPr>
          <w:rFonts w:ascii="Times New Roman" w:hAnsi="Times New Roman" w:cs="Times New Roman"/>
          <w:color w:val="000000" w:themeColor="text1"/>
          <w:sz w:val="20"/>
          <w:szCs w:val="20"/>
        </w:rPr>
        <w:t>, E. (eds) (2019) Policy Transfer and Norm Circulation: Towards an Interdisciplinary and Comparative Approach (London: Routledge).</w:t>
      </w:r>
    </w:p>
    <w:p w14:paraId="07AA19F4"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Diez, T. (2005) ‘Constructing the Self and Changing Others: Reconsidering Normative Power Europe’, Millennium, Vol. 33, No. 3, pp. 613–636.</w:t>
      </w:r>
    </w:p>
    <w:p w14:paraId="23B25021"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Drent</w:t>
      </w:r>
      <w:proofErr w:type="spellEnd"/>
      <w:r w:rsidRPr="002B0075">
        <w:rPr>
          <w:rFonts w:ascii="Times New Roman" w:hAnsi="Times New Roman" w:cs="Times New Roman"/>
          <w:color w:val="000000" w:themeColor="text1"/>
          <w:sz w:val="20"/>
          <w:szCs w:val="20"/>
          <w:shd w:val="clear" w:color="auto" w:fill="FFFFFF"/>
        </w:rPr>
        <w:t>, M. (2011). The EU’s comprehensive approach to security: A culture of co-</w:t>
      </w:r>
      <w:proofErr w:type="gramStart"/>
      <w:r w:rsidRPr="002B0075">
        <w:rPr>
          <w:rFonts w:ascii="Times New Roman" w:hAnsi="Times New Roman" w:cs="Times New Roman"/>
          <w:color w:val="000000" w:themeColor="text1"/>
          <w:sz w:val="20"/>
          <w:szCs w:val="20"/>
          <w:shd w:val="clear" w:color="auto" w:fill="FFFFFF"/>
        </w:rPr>
        <w:t>ordination?.</w:t>
      </w:r>
      <w:proofErr w:type="gramEnd"/>
      <w:r w:rsidRPr="002B0075">
        <w:rPr>
          <w:rFonts w:ascii="Times New Roman" w:hAnsi="Times New Roman" w:cs="Times New Roman"/>
          <w:color w:val="000000" w:themeColor="text1"/>
          <w:sz w:val="20"/>
          <w:szCs w:val="20"/>
          <w:shd w:val="clear" w:color="auto" w:fill="FFFFFF"/>
        </w:rPr>
        <w:t xml:space="preserve"> Studia </w:t>
      </w:r>
      <w:proofErr w:type="spellStart"/>
      <w:r w:rsidRPr="002B0075">
        <w:rPr>
          <w:rFonts w:ascii="Times New Roman" w:hAnsi="Times New Roman" w:cs="Times New Roman"/>
          <w:color w:val="000000" w:themeColor="text1"/>
          <w:sz w:val="20"/>
          <w:szCs w:val="20"/>
          <w:shd w:val="clear" w:color="auto" w:fill="FFFFFF"/>
        </w:rPr>
        <w:t>diplomatica</w:t>
      </w:r>
      <w:proofErr w:type="spellEnd"/>
      <w:r w:rsidRPr="002B0075">
        <w:rPr>
          <w:rFonts w:ascii="Times New Roman" w:hAnsi="Times New Roman" w:cs="Times New Roman"/>
          <w:color w:val="000000" w:themeColor="text1"/>
          <w:sz w:val="20"/>
          <w:szCs w:val="20"/>
          <w:shd w:val="clear" w:color="auto" w:fill="FFFFFF"/>
        </w:rPr>
        <w:t>, 64(2), 3-18.</w:t>
      </w:r>
    </w:p>
    <w:p w14:paraId="0AB8B518"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Duchêne</w:t>
      </w:r>
      <w:proofErr w:type="spellEnd"/>
      <w:r w:rsidRPr="002B0075">
        <w:rPr>
          <w:rFonts w:ascii="Times New Roman" w:hAnsi="Times New Roman" w:cs="Times New Roman"/>
          <w:color w:val="000000" w:themeColor="text1"/>
          <w:sz w:val="20"/>
          <w:szCs w:val="20"/>
          <w:shd w:val="clear" w:color="auto" w:fill="FFFFFF"/>
        </w:rPr>
        <w:t>, F. (1972). Europe’s role in world peace. Europe tomorrow: Sixteen Europeans look ahead, 43.</w:t>
      </w:r>
    </w:p>
    <w:p w14:paraId="6B08088C"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EEAS (2016) Shared Vision, Common Action: A Stronger Europe, 2 June. Available at «</w:t>
      </w:r>
      <w:hyperlink r:id="rId19" w:history="1">
        <w:r w:rsidRPr="002B0075">
          <w:rPr>
            <w:rStyle w:val="a6"/>
            <w:rFonts w:ascii="Times New Roman" w:hAnsi="Times New Roman" w:cs="Times New Roman"/>
            <w:color w:val="000000" w:themeColor="text1"/>
            <w:sz w:val="20"/>
            <w:szCs w:val="20"/>
          </w:rPr>
          <w:t>http://eeas.europa.eu/archives/docs/top_stories/pdf/eugs_review_web.pdf</w:t>
        </w:r>
      </w:hyperlink>
      <w:r w:rsidRPr="002B0075">
        <w:rPr>
          <w:rFonts w:ascii="Times New Roman" w:hAnsi="Times New Roman" w:cs="Times New Roman"/>
          <w:color w:val="000000" w:themeColor="text1"/>
          <w:sz w:val="20"/>
          <w:szCs w:val="20"/>
        </w:rPr>
        <w:t xml:space="preserve">» </w:t>
      </w:r>
    </w:p>
    <w:p w14:paraId="2E3CD0DB"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Erickson, J. L. (2013). ‘Market imperative meets normative power: Human rights and European arms transfer policy’. </w:t>
      </w:r>
      <w:r w:rsidRPr="002B0075">
        <w:rPr>
          <w:rFonts w:ascii="Times New Roman" w:hAnsi="Times New Roman" w:cs="Times New Roman"/>
          <w:i/>
          <w:iCs/>
          <w:color w:val="000000" w:themeColor="text1"/>
          <w:sz w:val="20"/>
          <w:szCs w:val="20"/>
          <w:shd w:val="clear" w:color="auto" w:fill="FFFFFF"/>
        </w:rPr>
        <w:t>European Journal of International Relations</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19</w:t>
      </w:r>
      <w:r w:rsidRPr="002B0075">
        <w:rPr>
          <w:rFonts w:ascii="Times New Roman" w:hAnsi="Times New Roman" w:cs="Times New Roman"/>
          <w:color w:val="000000" w:themeColor="text1"/>
          <w:sz w:val="20"/>
          <w:szCs w:val="20"/>
          <w:shd w:val="clear" w:color="auto" w:fill="FFFFFF"/>
        </w:rPr>
        <w:t>(2), 209-234.</w:t>
      </w:r>
    </w:p>
    <w:p w14:paraId="6E252DE8"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 ASEAN Blue Book (2020) Blue Book: EU-ASEAN Natural Partner, available at: https://euinasean.eu/wp-content/uploads/2020/04/EU-ASEAN-Blue-Book-2020-eDocument.pdf</w:t>
      </w:r>
    </w:p>
    <w:p w14:paraId="235F2102"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European Commission (1996) The EU and the Issue of Conflict in Africa: </w:t>
      </w:r>
      <w:proofErr w:type="gramStart"/>
      <w:r w:rsidRPr="002B0075">
        <w:rPr>
          <w:rFonts w:ascii="Times New Roman" w:hAnsi="Times New Roman" w:cs="Times New Roman"/>
          <w:color w:val="000000" w:themeColor="text1"/>
          <w:sz w:val="20"/>
          <w:szCs w:val="20"/>
        </w:rPr>
        <w:t>Peace-building</w:t>
      </w:r>
      <w:proofErr w:type="gramEnd"/>
      <w:r w:rsidRPr="002B0075">
        <w:rPr>
          <w:rFonts w:ascii="Times New Roman" w:hAnsi="Times New Roman" w:cs="Times New Roman"/>
          <w:color w:val="000000" w:themeColor="text1"/>
          <w:sz w:val="20"/>
          <w:szCs w:val="20"/>
        </w:rPr>
        <w:t>, Conflict Prevention and Beyond, 6 March. Available at «</w:t>
      </w:r>
      <w:hyperlink r:id="rId20" w:history="1">
        <w:r w:rsidRPr="002B0075">
          <w:rPr>
            <w:rStyle w:val="a6"/>
            <w:rFonts w:ascii="Times New Roman" w:hAnsi="Times New Roman" w:cs="Times New Roman"/>
            <w:color w:val="000000" w:themeColor="text1"/>
            <w:sz w:val="20"/>
            <w:szCs w:val="20"/>
          </w:rPr>
          <w:t>http://aei.pitt.edu/4280/1/4280.pdf</w:t>
        </w:r>
      </w:hyperlink>
      <w:r w:rsidRPr="002B0075">
        <w:rPr>
          <w:rFonts w:ascii="Times New Roman" w:hAnsi="Times New Roman" w:cs="Times New Roman"/>
          <w:color w:val="000000" w:themeColor="text1"/>
          <w:sz w:val="20"/>
          <w:szCs w:val="20"/>
        </w:rPr>
        <w:t xml:space="preserve">» </w:t>
      </w:r>
    </w:p>
    <w:p w14:paraId="138209CB"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European Commission (2003) A New Partnership with Southeast Asia, 8 June. Available at «</w:t>
      </w:r>
      <w:hyperlink r:id="rId21" w:history="1">
        <w:r w:rsidRPr="002B0075">
          <w:rPr>
            <w:rStyle w:val="a6"/>
            <w:rFonts w:ascii="Times New Roman" w:hAnsi="Times New Roman" w:cs="Times New Roman"/>
            <w:color w:val="000000" w:themeColor="text1"/>
            <w:sz w:val="20"/>
            <w:szCs w:val="20"/>
          </w:rPr>
          <w:t>http://eeas.europa.eu/archives/docs/library/publications/2004_seasia_en.pdf</w:t>
        </w:r>
      </w:hyperlink>
      <w:r w:rsidRPr="002B0075">
        <w:rPr>
          <w:rFonts w:ascii="Times New Roman" w:hAnsi="Times New Roman" w:cs="Times New Roman"/>
          <w:color w:val="000000" w:themeColor="text1"/>
          <w:sz w:val="20"/>
          <w:szCs w:val="20"/>
        </w:rPr>
        <w:t xml:space="preserve">» </w:t>
      </w:r>
    </w:p>
    <w:p w14:paraId="7EBE6FD5" w14:textId="77777777" w:rsidR="00D321E6" w:rsidRPr="002B0075" w:rsidRDefault="00D321E6" w:rsidP="007A1460">
      <w:pPr>
        <w:ind w:left="400" w:hangingChars="200" w:hanging="40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 xml:space="preserve">European Commission (2007) Plan of Action of Nuremberg on an EU-ASEAN Enhanced Partnership. Available at: </w:t>
      </w:r>
      <w:hyperlink r:id="rId22" w:history="1">
        <w:r w:rsidRPr="002B0075">
          <w:rPr>
            <w:rFonts w:ascii="Times New Roman" w:hAnsi="Times New Roman" w:cs="Times New Roman"/>
            <w:color w:val="000000" w:themeColor="text1"/>
            <w:sz w:val="20"/>
            <w:szCs w:val="20"/>
            <w:shd w:val="clear" w:color="auto" w:fill="FFFFFF"/>
          </w:rPr>
          <w:t>https://ec.europa.eu/research/iscp/pdf/policy/action_plan_07.pdf</w:t>
        </w:r>
      </w:hyperlink>
    </w:p>
    <w:p w14:paraId="6AD53C55"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European Commission (2013) The EU’s Comprehensive Approach to External Conflicts and Crises, 11 December. Available at «</w:t>
      </w:r>
      <w:hyperlink r:id="rId23" w:history="1">
        <w:r w:rsidRPr="002B0075">
          <w:rPr>
            <w:rStyle w:val="a6"/>
            <w:rFonts w:ascii="Times New Roman" w:hAnsi="Times New Roman" w:cs="Times New Roman"/>
            <w:color w:val="000000" w:themeColor="text1"/>
            <w:sz w:val="20"/>
            <w:szCs w:val="20"/>
          </w:rPr>
          <w:t>http://www.eeas.europa.eu/archives/docs/csdp/structures-instruments-agencies/eu-military-staff/save_the_date/docs/joint_communication_on_comprehensive_approach.pdf</w:t>
        </w:r>
      </w:hyperlink>
      <w:r w:rsidRPr="002B0075">
        <w:rPr>
          <w:rFonts w:ascii="Times New Roman" w:hAnsi="Times New Roman" w:cs="Times New Roman"/>
          <w:color w:val="000000" w:themeColor="text1"/>
          <w:sz w:val="20"/>
          <w:szCs w:val="20"/>
        </w:rPr>
        <w:t xml:space="preserve">» </w:t>
      </w:r>
    </w:p>
    <w:p w14:paraId="11786FC2"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European Commission (2015) the EU and ASEAN: A Partnership with a Strategic Purpose, 24 June. Available at «</w:t>
      </w:r>
      <w:hyperlink r:id="rId24" w:history="1">
        <w:r w:rsidRPr="002B0075">
          <w:rPr>
            <w:rStyle w:val="a6"/>
            <w:rFonts w:ascii="Times New Roman" w:hAnsi="Times New Roman" w:cs="Times New Roman"/>
            <w:color w:val="000000" w:themeColor="text1"/>
            <w:sz w:val="20"/>
            <w:szCs w:val="20"/>
          </w:rPr>
          <w:t>https://eur-lex.europa.eu/legal-content/EN/TXT/PDF/?uri=JOIN:2015:22:FIN&amp;from=EN</w:t>
        </w:r>
      </w:hyperlink>
      <w:r w:rsidRPr="002B0075">
        <w:rPr>
          <w:rFonts w:ascii="Times New Roman" w:hAnsi="Times New Roman" w:cs="Times New Roman"/>
          <w:color w:val="000000" w:themeColor="text1"/>
          <w:sz w:val="20"/>
          <w:szCs w:val="20"/>
        </w:rPr>
        <w:t xml:space="preserve">» </w:t>
      </w:r>
    </w:p>
    <w:p w14:paraId="54642816"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European Commission (2019) EU Chemical, Biological, Radiological and Nuclear Risk Mitigation Centres of Excellence. Available at «</w:t>
      </w:r>
      <w:hyperlink r:id="rId25" w:history="1">
        <w:r w:rsidRPr="002B0075">
          <w:rPr>
            <w:rStyle w:val="a6"/>
            <w:rFonts w:ascii="Times New Roman" w:hAnsi="Times New Roman" w:cs="Times New Roman"/>
            <w:color w:val="000000" w:themeColor="text1"/>
            <w:sz w:val="20"/>
            <w:szCs w:val="20"/>
          </w:rPr>
          <w:t>https://ec.europa.eu/jrc/en/research-topic/chemical-biological-radiological-and-nuclear-hazards/cbrn-risk-mitigation-centres-of-excellence</w:t>
        </w:r>
      </w:hyperlink>
      <w:r w:rsidRPr="002B0075">
        <w:rPr>
          <w:rFonts w:ascii="Times New Roman" w:hAnsi="Times New Roman" w:cs="Times New Roman"/>
          <w:color w:val="000000" w:themeColor="text1"/>
          <w:sz w:val="20"/>
          <w:szCs w:val="20"/>
        </w:rPr>
        <w:t xml:space="preserve">» </w:t>
      </w:r>
    </w:p>
    <w:p w14:paraId="2162C031"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European Commission (2021) </w:t>
      </w:r>
      <w:proofErr w:type="spellStart"/>
      <w:r w:rsidRPr="002B0075">
        <w:rPr>
          <w:rFonts w:ascii="Times New Roman" w:hAnsi="Times New Roman" w:cs="Times New Roman"/>
          <w:color w:val="000000" w:themeColor="text1"/>
          <w:sz w:val="20"/>
          <w:szCs w:val="20"/>
        </w:rPr>
        <w:t>IcSP</w:t>
      </w:r>
      <w:proofErr w:type="spellEnd"/>
      <w:r w:rsidRPr="002B0075">
        <w:rPr>
          <w:rFonts w:ascii="Times New Roman" w:hAnsi="Times New Roman" w:cs="Times New Roman"/>
          <w:color w:val="000000" w:themeColor="text1"/>
          <w:sz w:val="20"/>
          <w:szCs w:val="20"/>
        </w:rPr>
        <w:t xml:space="preserve"> map, available at https://icspmap.eu/</w:t>
      </w:r>
    </w:p>
    <w:p w14:paraId="6473D65D"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t>European Court of Auditors (ECA) (2018) The EU Chemical, Biological, Radiological and Nuclear Centres of Excellences: more progress needed, Special Report No.14, available at «</w:t>
      </w:r>
      <w:hyperlink r:id="rId26" w:history="1">
        <w:r w:rsidRPr="002B0075">
          <w:rPr>
            <w:rStyle w:val="a6"/>
            <w:rFonts w:ascii="Times New Roman" w:hAnsi="Times New Roman" w:cs="Times New Roman"/>
            <w:color w:val="000000" w:themeColor="text1"/>
            <w:sz w:val="20"/>
            <w:szCs w:val="20"/>
          </w:rPr>
          <w:t>https://www.eca.europa.eu/Lists/ECADocuments/SR18_14/SR_CBRN_EN.pdf</w:t>
        </w:r>
      </w:hyperlink>
      <w:r w:rsidRPr="002B0075">
        <w:rPr>
          <w:rFonts w:ascii="Times New Roman" w:hAnsi="Times New Roman" w:cs="Times New Roman"/>
          <w:color w:val="000000" w:themeColor="text1"/>
          <w:sz w:val="20"/>
          <w:szCs w:val="20"/>
        </w:rPr>
        <w:t xml:space="preserve">» </w:t>
      </w:r>
    </w:p>
    <w:p w14:paraId="4AF3A153"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European Union (2012) Treaty on European Union, 26 October. Available at «</w:t>
      </w:r>
      <w:hyperlink r:id="rId27" w:history="1">
        <w:r w:rsidRPr="002B0075">
          <w:rPr>
            <w:rStyle w:val="a6"/>
            <w:rFonts w:ascii="Times New Roman" w:hAnsi="Times New Roman" w:cs="Times New Roman"/>
            <w:color w:val="000000" w:themeColor="text1"/>
            <w:sz w:val="20"/>
            <w:szCs w:val="20"/>
          </w:rPr>
          <w:t>https://eur-lex.europa.eu/legal-content/EN/TXT/?uri=celex%3A12012M%2FTXT</w:t>
        </w:r>
      </w:hyperlink>
      <w:r w:rsidRPr="002B0075">
        <w:rPr>
          <w:rFonts w:ascii="Times New Roman" w:hAnsi="Times New Roman" w:cs="Times New Roman"/>
          <w:color w:val="000000" w:themeColor="text1"/>
          <w:sz w:val="20"/>
          <w:szCs w:val="20"/>
        </w:rPr>
        <w:t xml:space="preserve">» </w:t>
      </w:r>
    </w:p>
    <w:p w14:paraId="7F80CA6F"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European Union (2014) ASEAN Regional Forum, Inter-sessional Support Group Meeting on Confidence Building Measures and Preventive Diplomacy, 9 April. Available at «</w:t>
      </w:r>
      <w:hyperlink r:id="rId28" w:history="1">
        <w:r w:rsidRPr="002B0075">
          <w:rPr>
            <w:rStyle w:val="a6"/>
            <w:rFonts w:ascii="Times New Roman" w:hAnsi="Times New Roman" w:cs="Times New Roman"/>
            <w:color w:val="000000" w:themeColor="text1"/>
            <w:sz w:val="20"/>
            <w:szCs w:val="20"/>
          </w:rPr>
          <w:t>https://op.europa.eu/en/publication-detail/-/publication/0181b029-29e3-4747-8763-10b38b7b634c/language-en</w:t>
        </w:r>
      </w:hyperlink>
      <w:r w:rsidRPr="002B0075">
        <w:rPr>
          <w:rFonts w:ascii="Times New Roman" w:hAnsi="Times New Roman" w:cs="Times New Roman"/>
          <w:color w:val="000000" w:themeColor="text1"/>
          <w:sz w:val="20"/>
          <w:szCs w:val="20"/>
        </w:rPr>
        <w:t>».</w:t>
      </w:r>
    </w:p>
    <w:p w14:paraId="0AE30A00"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Faleg</w:t>
      </w:r>
      <w:proofErr w:type="spellEnd"/>
      <w:r w:rsidRPr="002B0075">
        <w:rPr>
          <w:rFonts w:ascii="Times New Roman" w:hAnsi="Times New Roman" w:cs="Times New Roman"/>
          <w:color w:val="000000" w:themeColor="text1"/>
          <w:sz w:val="20"/>
          <w:szCs w:val="20"/>
        </w:rPr>
        <w:t>, G. (2017) EU’s Common Security and Defence Policy (Basingstoke: Palgrave Macmillan).</w:t>
      </w:r>
    </w:p>
    <w:p w14:paraId="43035746"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Finnemore</w:t>
      </w:r>
      <w:proofErr w:type="spellEnd"/>
      <w:r w:rsidRPr="002B0075">
        <w:rPr>
          <w:rFonts w:ascii="Times New Roman" w:hAnsi="Times New Roman" w:cs="Times New Roman"/>
          <w:color w:val="000000" w:themeColor="text1"/>
          <w:sz w:val="20"/>
          <w:szCs w:val="20"/>
        </w:rPr>
        <w:t xml:space="preserve">, M. and </w:t>
      </w:r>
      <w:proofErr w:type="spellStart"/>
      <w:r w:rsidRPr="002B0075">
        <w:rPr>
          <w:rFonts w:ascii="Times New Roman" w:hAnsi="Times New Roman" w:cs="Times New Roman"/>
          <w:color w:val="000000" w:themeColor="text1"/>
          <w:sz w:val="20"/>
          <w:szCs w:val="20"/>
        </w:rPr>
        <w:t>Sikkink</w:t>
      </w:r>
      <w:proofErr w:type="spellEnd"/>
      <w:r w:rsidRPr="002B0075">
        <w:rPr>
          <w:rFonts w:ascii="Times New Roman" w:hAnsi="Times New Roman" w:cs="Times New Roman"/>
          <w:color w:val="000000" w:themeColor="text1"/>
          <w:sz w:val="20"/>
          <w:szCs w:val="20"/>
        </w:rPr>
        <w:t>, K. (1998) ‘International Norm Dynamics and Political Change’, International Organization, Vol. 52, No. 4, pp. 887–917.</w:t>
      </w:r>
    </w:p>
    <w:p w14:paraId="7237F7E3"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Forsberg, T. (2011) ‘Normative Power Europe, Once Again: A Conceptual Analysis of an Ideal Type’, Journal of Common Market Studies, Vol. 49, No. 6, pp. 1183–1204.</w:t>
      </w:r>
    </w:p>
    <w:p w14:paraId="682DA909"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Gilardi</w:t>
      </w:r>
      <w:proofErr w:type="spellEnd"/>
      <w:r w:rsidRPr="002B0075">
        <w:rPr>
          <w:rFonts w:ascii="Times New Roman" w:hAnsi="Times New Roman" w:cs="Times New Roman"/>
          <w:color w:val="000000" w:themeColor="text1"/>
          <w:sz w:val="20"/>
          <w:szCs w:val="20"/>
        </w:rPr>
        <w:t xml:space="preserve">, F. (2012) ‘transnational Diffusion: Norms, Ideas, and Policies.’ In </w:t>
      </w:r>
      <w:proofErr w:type="spellStart"/>
      <w:r w:rsidRPr="002B0075">
        <w:rPr>
          <w:rFonts w:ascii="Times New Roman" w:hAnsi="Times New Roman" w:cs="Times New Roman"/>
          <w:color w:val="000000" w:themeColor="text1"/>
          <w:sz w:val="20"/>
          <w:szCs w:val="20"/>
        </w:rPr>
        <w:t>Carlsnaes</w:t>
      </w:r>
      <w:proofErr w:type="spellEnd"/>
      <w:r w:rsidRPr="002B0075">
        <w:rPr>
          <w:rFonts w:ascii="Times New Roman" w:hAnsi="Times New Roman" w:cs="Times New Roman"/>
          <w:color w:val="000000" w:themeColor="text1"/>
          <w:sz w:val="20"/>
          <w:szCs w:val="20"/>
        </w:rPr>
        <w:t xml:space="preserve">, W. </w:t>
      </w:r>
      <w:proofErr w:type="spellStart"/>
      <w:r w:rsidRPr="002B0075">
        <w:rPr>
          <w:rFonts w:ascii="Times New Roman" w:hAnsi="Times New Roman" w:cs="Times New Roman"/>
          <w:color w:val="000000" w:themeColor="text1"/>
          <w:sz w:val="20"/>
          <w:szCs w:val="20"/>
        </w:rPr>
        <w:t>Risse</w:t>
      </w:r>
      <w:proofErr w:type="spellEnd"/>
      <w:r w:rsidRPr="002B0075">
        <w:rPr>
          <w:rFonts w:ascii="Times New Roman" w:hAnsi="Times New Roman" w:cs="Times New Roman"/>
          <w:color w:val="000000" w:themeColor="text1"/>
          <w:sz w:val="20"/>
          <w:szCs w:val="20"/>
        </w:rPr>
        <w:t>, T. and Simmons, B. (eds) Handbook of International Relations (London: SAGE), pp. 453–477.</w:t>
      </w:r>
    </w:p>
    <w:p w14:paraId="3ABABBED"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Gilardi</w:t>
      </w:r>
      <w:proofErr w:type="spellEnd"/>
      <w:r w:rsidRPr="002B0075">
        <w:rPr>
          <w:rFonts w:ascii="Times New Roman" w:hAnsi="Times New Roman" w:cs="Times New Roman"/>
          <w:color w:val="000000" w:themeColor="text1"/>
          <w:sz w:val="20"/>
          <w:szCs w:val="20"/>
        </w:rPr>
        <w:t xml:space="preserve">, F. and </w:t>
      </w:r>
      <w:proofErr w:type="spellStart"/>
      <w:r w:rsidRPr="002B0075">
        <w:rPr>
          <w:rFonts w:ascii="Times New Roman" w:hAnsi="Times New Roman" w:cs="Times New Roman"/>
          <w:color w:val="000000" w:themeColor="text1"/>
          <w:sz w:val="20"/>
          <w:szCs w:val="20"/>
        </w:rPr>
        <w:t>Füglister</w:t>
      </w:r>
      <w:proofErr w:type="spellEnd"/>
      <w:r w:rsidRPr="002B0075">
        <w:rPr>
          <w:rFonts w:ascii="Times New Roman" w:hAnsi="Times New Roman" w:cs="Times New Roman"/>
          <w:color w:val="000000" w:themeColor="text1"/>
          <w:sz w:val="20"/>
          <w:szCs w:val="20"/>
        </w:rPr>
        <w:t xml:space="preserve">, K. (2008) ‘Empirical </w:t>
      </w:r>
      <w:proofErr w:type="spellStart"/>
      <w:r w:rsidRPr="002B0075">
        <w:rPr>
          <w:rFonts w:ascii="Times New Roman" w:hAnsi="Times New Roman" w:cs="Times New Roman"/>
          <w:color w:val="000000" w:themeColor="text1"/>
          <w:sz w:val="20"/>
          <w:szCs w:val="20"/>
        </w:rPr>
        <w:t>Modeling</w:t>
      </w:r>
      <w:proofErr w:type="spellEnd"/>
      <w:r w:rsidRPr="002B0075">
        <w:rPr>
          <w:rFonts w:ascii="Times New Roman" w:hAnsi="Times New Roman" w:cs="Times New Roman"/>
          <w:color w:val="000000" w:themeColor="text1"/>
          <w:sz w:val="20"/>
          <w:szCs w:val="20"/>
        </w:rPr>
        <w:t xml:space="preserve"> of Policy Diffusion in Federal States: The Dyadic Approach’, Swiss Political Science Review, Vol. 14, No. 3, pp. 413–450.</w:t>
      </w:r>
    </w:p>
    <w:p w14:paraId="28C83E07"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Heinze, T. (2011) ‘Mechanism-Based Thinking on Policy Diffusion: A Review of Current Approaches in Political Science’, KFG Working Papers, No. 34.</w:t>
      </w:r>
    </w:p>
    <w:p w14:paraId="25005E99"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shd w:val="clear" w:color="auto" w:fill="FFFFFF"/>
        </w:rPr>
        <w:t>Hopkins, W. J. (2015). Falling on stony ground: ASEAN’s acceptance of EU constitutional norms. Asia Europe Journal, 13(3), 275-283.</w:t>
      </w:r>
    </w:p>
    <w:p w14:paraId="1A39D512"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Howorth</w:t>
      </w:r>
      <w:proofErr w:type="spellEnd"/>
      <w:r w:rsidRPr="002B0075">
        <w:rPr>
          <w:rFonts w:ascii="Times New Roman" w:hAnsi="Times New Roman" w:cs="Times New Roman"/>
          <w:color w:val="000000" w:themeColor="text1"/>
          <w:sz w:val="20"/>
          <w:szCs w:val="20"/>
        </w:rPr>
        <w:t xml:space="preserve">, J. (2012) ‘Decision-Making in Security and </w:t>
      </w:r>
      <w:proofErr w:type="spellStart"/>
      <w:r w:rsidRPr="002B0075">
        <w:rPr>
          <w:rFonts w:ascii="Times New Roman" w:hAnsi="Times New Roman" w:cs="Times New Roman"/>
          <w:color w:val="000000" w:themeColor="text1"/>
          <w:sz w:val="20"/>
          <w:szCs w:val="20"/>
        </w:rPr>
        <w:t>Defense</w:t>
      </w:r>
      <w:proofErr w:type="spellEnd"/>
      <w:r w:rsidRPr="002B0075">
        <w:rPr>
          <w:rFonts w:ascii="Times New Roman" w:hAnsi="Times New Roman" w:cs="Times New Roman"/>
          <w:color w:val="000000" w:themeColor="text1"/>
          <w:sz w:val="20"/>
          <w:szCs w:val="20"/>
        </w:rPr>
        <w:t xml:space="preserve"> Policy: Towards Supranational Inter-Governmentalism’, Cooperation and Conflict, Vol. 47, No. 4, pp. 433–453.</w:t>
      </w:r>
    </w:p>
    <w:p w14:paraId="37AFE3F0"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Hyde-Price, A. (2006) ‘Normative Power Europe: A Realist Critique’, Journal of European Public Policy, Vol. 13, No. 2, pp. 217–234.</w:t>
      </w:r>
    </w:p>
    <w:p w14:paraId="71C84434"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INTERPOL (2016) Interview with </w:t>
      </w:r>
      <w:proofErr w:type="spellStart"/>
      <w:r w:rsidRPr="002B0075">
        <w:rPr>
          <w:rFonts w:ascii="Times New Roman" w:hAnsi="Times New Roman" w:cs="Times New Roman"/>
          <w:color w:val="000000" w:themeColor="text1"/>
          <w:sz w:val="20"/>
          <w:szCs w:val="20"/>
        </w:rPr>
        <w:t>Ratthakan</w:t>
      </w:r>
      <w:proofErr w:type="spellEnd"/>
      <w:r w:rsidRPr="002B0075">
        <w:rPr>
          <w:rFonts w:ascii="Times New Roman" w:hAnsi="Times New Roman" w:cs="Times New Roman"/>
          <w:color w:val="000000" w:themeColor="text1"/>
          <w:sz w:val="20"/>
          <w:szCs w:val="20"/>
        </w:rPr>
        <w:t xml:space="preserve"> </w:t>
      </w:r>
      <w:proofErr w:type="spellStart"/>
      <w:r w:rsidRPr="002B0075">
        <w:rPr>
          <w:rFonts w:ascii="Times New Roman" w:hAnsi="Times New Roman" w:cs="Times New Roman"/>
          <w:color w:val="000000" w:themeColor="text1"/>
          <w:sz w:val="20"/>
          <w:szCs w:val="20"/>
        </w:rPr>
        <w:t>Tunmak</w:t>
      </w:r>
      <w:proofErr w:type="spellEnd"/>
      <w:r w:rsidRPr="002B0075">
        <w:rPr>
          <w:rFonts w:ascii="Times New Roman" w:hAnsi="Times New Roman" w:cs="Times New Roman"/>
          <w:color w:val="000000" w:themeColor="text1"/>
          <w:sz w:val="20"/>
          <w:szCs w:val="20"/>
        </w:rPr>
        <w:t>, 5 November. Available at «</w:t>
      </w:r>
      <w:hyperlink r:id="rId29" w:history="1">
        <w:r w:rsidRPr="002B0075">
          <w:rPr>
            <w:rStyle w:val="a6"/>
            <w:rFonts w:ascii="Times New Roman" w:hAnsi="Times New Roman" w:cs="Times New Roman"/>
            <w:color w:val="000000" w:themeColor="text1"/>
            <w:sz w:val="20"/>
            <w:szCs w:val="20"/>
          </w:rPr>
          <w:t>https://www.youtube.com/watch?v=8F8Q-l1i5S4&amp;list=PLKSkwAb-NAsIA-yi69eEJNb-505NrpyFK&amp;index=82</w:t>
        </w:r>
      </w:hyperlink>
      <w:r w:rsidRPr="002B0075">
        <w:rPr>
          <w:rFonts w:ascii="Times New Roman" w:hAnsi="Times New Roman" w:cs="Times New Roman"/>
          <w:color w:val="000000" w:themeColor="text1"/>
          <w:sz w:val="20"/>
          <w:szCs w:val="20"/>
        </w:rPr>
        <w:t xml:space="preserve">» </w:t>
      </w:r>
    </w:p>
    <w:p w14:paraId="2AED6CD0"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INTERPOL (2017a) Interview with Secretary of NCB Jakarta, 5 September. Available at «</w:t>
      </w:r>
      <w:hyperlink r:id="rId30" w:history="1">
        <w:r w:rsidRPr="002B0075">
          <w:rPr>
            <w:rStyle w:val="a6"/>
            <w:rFonts w:ascii="Times New Roman" w:hAnsi="Times New Roman" w:cs="Times New Roman"/>
            <w:color w:val="000000" w:themeColor="text1"/>
            <w:sz w:val="20"/>
            <w:szCs w:val="20"/>
          </w:rPr>
          <w:t>https://www.youtube.com/watch?v=RoZpqKpIBb8&amp;list=PLKSkwAb-NAsIA-yi69eEJNb-505NrpyFK&amp;index=13</w:t>
        </w:r>
      </w:hyperlink>
      <w:r w:rsidRPr="002B0075">
        <w:rPr>
          <w:rFonts w:ascii="Times New Roman" w:hAnsi="Times New Roman" w:cs="Times New Roman"/>
          <w:color w:val="000000" w:themeColor="text1"/>
          <w:sz w:val="20"/>
          <w:szCs w:val="20"/>
        </w:rPr>
        <w:t xml:space="preserve">» </w:t>
      </w:r>
    </w:p>
    <w:p w14:paraId="71742D05"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INTERPOL (2017b) Interview with Siti Zulaikha Binti Abdul Wahab, Immigration Department of Malaysia, 12 May. Available at «</w:t>
      </w:r>
      <w:hyperlink r:id="rId31" w:history="1">
        <w:r w:rsidRPr="002B0075">
          <w:rPr>
            <w:rStyle w:val="a6"/>
            <w:rFonts w:ascii="Times New Roman" w:hAnsi="Times New Roman" w:cs="Times New Roman"/>
            <w:color w:val="000000" w:themeColor="text1"/>
            <w:sz w:val="20"/>
            <w:szCs w:val="20"/>
          </w:rPr>
          <w:t>https://www.youtube.com/watch?v=fVcSRgEo3VI&amp;list=PLKSkwAb-NAsIA-yi69eEJNb-505NrpyFK&amp;index=28</w:t>
        </w:r>
      </w:hyperlink>
      <w:r w:rsidRPr="002B0075">
        <w:rPr>
          <w:rFonts w:ascii="Times New Roman" w:hAnsi="Times New Roman" w:cs="Times New Roman"/>
          <w:color w:val="000000" w:themeColor="text1"/>
          <w:sz w:val="20"/>
          <w:szCs w:val="20"/>
        </w:rPr>
        <w:t xml:space="preserve">» </w:t>
      </w:r>
    </w:p>
    <w:p w14:paraId="10F00145"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INTERPOL (2017c) Interview with Tuan </w:t>
      </w:r>
      <w:proofErr w:type="spellStart"/>
      <w:r w:rsidRPr="002B0075">
        <w:rPr>
          <w:rFonts w:ascii="Times New Roman" w:hAnsi="Times New Roman" w:cs="Times New Roman"/>
          <w:color w:val="000000" w:themeColor="text1"/>
          <w:sz w:val="20"/>
          <w:szCs w:val="20"/>
        </w:rPr>
        <w:t>Fardhi</w:t>
      </w:r>
      <w:proofErr w:type="spellEnd"/>
      <w:r w:rsidRPr="002B0075">
        <w:rPr>
          <w:rFonts w:ascii="Times New Roman" w:hAnsi="Times New Roman" w:cs="Times New Roman"/>
          <w:color w:val="000000" w:themeColor="text1"/>
          <w:sz w:val="20"/>
          <w:szCs w:val="20"/>
        </w:rPr>
        <w:t xml:space="preserve"> bin Ahmad, Immigration Department of Malaysia, 12 May. Available at «</w:t>
      </w:r>
      <w:hyperlink r:id="rId32" w:history="1">
        <w:r w:rsidRPr="002B0075">
          <w:rPr>
            <w:rStyle w:val="a6"/>
            <w:rFonts w:ascii="Times New Roman" w:hAnsi="Times New Roman" w:cs="Times New Roman"/>
            <w:color w:val="000000" w:themeColor="text1"/>
            <w:sz w:val="20"/>
            <w:szCs w:val="20"/>
          </w:rPr>
          <w:t>https://www.youtube.com/watch?v=EawEeD_rhpI</w:t>
        </w:r>
      </w:hyperlink>
      <w:r w:rsidRPr="002B0075">
        <w:rPr>
          <w:rFonts w:ascii="Times New Roman" w:hAnsi="Times New Roman" w:cs="Times New Roman"/>
          <w:color w:val="000000" w:themeColor="text1"/>
          <w:sz w:val="20"/>
          <w:szCs w:val="20"/>
        </w:rPr>
        <w:t xml:space="preserve">» </w:t>
      </w:r>
    </w:p>
    <w:p w14:paraId="626D6FA2"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Jetschke</w:t>
      </w:r>
      <w:proofErr w:type="spellEnd"/>
      <w:r w:rsidRPr="002B0075">
        <w:rPr>
          <w:rFonts w:ascii="Times New Roman" w:hAnsi="Times New Roman" w:cs="Times New Roman"/>
          <w:color w:val="000000" w:themeColor="text1"/>
          <w:sz w:val="20"/>
          <w:szCs w:val="20"/>
          <w:shd w:val="clear" w:color="auto" w:fill="FFFFFF"/>
        </w:rPr>
        <w:t>, A., &amp; Murray, P. (2012). Diffusing regional integration: the EU and Southeast Asia. West European Politics, 35(1), 174-191.</w:t>
      </w:r>
    </w:p>
    <w:p w14:paraId="1B608334" w14:textId="2639979E"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 xml:space="preserve">Katsumata, H. (2006). ‘Establishment of the ASEAN Regional Forum: constructing a ‘talking </w:t>
      </w:r>
      <w:proofErr w:type="spellStart"/>
      <w:r w:rsidRPr="002B0075">
        <w:rPr>
          <w:rFonts w:ascii="Times New Roman" w:hAnsi="Times New Roman" w:cs="Times New Roman"/>
          <w:color w:val="000000" w:themeColor="text1"/>
          <w:sz w:val="20"/>
          <w:szCs w:val="20"/>
          <w:shd w:val="clear" w:color="auto" w:fill="FFFFFF"/>
        </w:rPr>
        <w:t>shop’or</w:t>
      </w:r>
      <w:proofErr w:type="spellEnd"/>
      <w:r w:rsidRPr="002B0075">
        <w:rPr>
          <w:rFonts w:ascii="Times New Roman" w:hAnsi="Times New Roman" w:cs="Times New Roman"/>
          <w:color w:val="000000" w:themeColor="text1"/>
          <w:sz w:val="20"/>
          <w:szCs w:val="20"/>
          <w:shd w:val="clear" w:color="auto" w:fill="FFFFFF"/>
        </w:rPr>
        <w:t xml:space="preserve"> a norm brewery?’ </w:t>
      </w:r>
      <w:r w:rsidRPr="002B0075">
        <w:rPr>
          <w:rFonts w:ascii="Times New Roman" w:hAnsi="Times New Roman" w:cs="Times New Roman"/>
          <w:i/>
          <w:iCs/>
          <w:color w:val="000000" w:themeColor="text1"/>
          <w:sz w:val="20"/>
          <w:szCs w:val="20"/>
          <w:shd w:val="clear" w:color="auto" w:fill="FFFFFF"/>
        </w:rPr>
        <w:t>The Pacific Review</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19</w:t>
      </w:r>
      <w:r w:rsidRPr="002B0075">
        <w:rPr>
          <w:rFonts w:ascii="Times New Roman" w:hAnsi="Times New Roman" w:cs="Times New Roman"/>
          <w:color w:val="000000" w:themeColor="text1"/>
          <w:sz w:val="20"/>
          <w:szCs w:val="20"/>
          <w:shd w:val="clear" w:color="auto" w:fill="FFFFFF"/>
        </w:rPr>
        <w:t>(2), 181-198.</w:t>
      </w:r>
    </w:p>
    <w:p w14:paraId="60962433"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Klingler-</w:t>
      </w:r>
      <w:proofErr w:type="spellStart"/>
      <w:r w:rsidRPr="002B0075">
        <w:rPr>
          <w:rFonts w:ascii="Times New Roman" w:hAnsi="Times New Roman" w:cs="Times New Roman"/>
          <w:color w:val="000000" w:themeColor="text1"/>
          <w:sz w:val="20"/>
          <w:szCs w:val="20"/>
        </w:rPr>
        <w:t>Vidra</w:t>
      </w:r>
      <w:proofErr w:type="spellEnd"/>
      <w:r w:rsidRPr="002B0075">
        <w:rPr>
          <w:rFonts w:ascii="Times New Roman" w:hAnsi="Times New Roman" w:cs="Times New Roman"/>
          <w:color w:val="000000" w:themeColor="text1"/>
          <w:sz w:val="20"/>
          <w:szCs w:val="20"/>
        </w:rPr>
        <w:t>, R. and Schleifer, P. (2014) ‘Convergence More or Less: Why do Practices Vary as They Diffuse?’, International Studies Review, Vol. 16, No. 2, pp. 264–274.</w:t>
      </w:r>
    </w:p>
    <w:p w14:paraId="7AF7AF36"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t>Lenz, T. (2013) ‘EU Normative Power and Regionalism: Ideational Diffusion and its Limits’, Cooperation and Conflict, Vol. 48, No. 2, pp. 211–228.</w:t>
      </w:r>
    </w:p>
    <w:p w14:paraId="0B09A009"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Lerch, M. and </w:t>
      </w:r>
      <w:proofErr w:type="spellStart"/>
      <w:r w:rsidRPr="002B0075">
        <w:rPr>
          <w:rFonts w:ascii="Times New Roman" w:hAnsi="Times New Roman" w:cs="Times New Roman"/>
          <w:color w:val="000000" w:themeColor="text1"/>
          <w:sz w:val="20"/>
          <w:szCs w:val="20"/>
        </w:rPr>
        <w:t>Schwellnus</w:t>
      </w:r>
      <w:proofErr w:type="spellEnd"/>
      <w:r w:rsidRPr="002B0075">
        <w:rPr>
          <w:rFonts w:ascii="Times New Roman" w:hAnsi="Times New Roman" w:cs="Times New Roman"/>
          <w:color w:val="000000" w:themeColor="text1"/>
          <w:sz w:val="20"/>
          <w:szCs w:val="20"/>
        </w:rPr>
        <w:t>, G. (2006) ‘Normative by nature? The role of coherence in justifying the EU's external human rights policy’, Journal of European Public Policy, Vol. 13, No. 2, pp. 304–321.</w:t>
      </w:r>
    </w:p>
    <w:p w14:paraId="0B4D1EAA" w14:textId="7FCAF62D"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Lightfoot, S., &amp; Burchell, J. (2005). ‘The European Union and the world summit on sustainable development: normative power Europe in action?’. </w:t>
      </w:r>
      <w:r w:rsidRPr="002B0075">
        <w:rPr>
          <w:rFonts w:ascii="Times New Roman" w:hAnsi="Times New Roman" w:cs="Times New Roman"/>
          <w:i/>
          <w:iCs/>
          <w:color w:val="000000" w:themeColor="text1"/>
          <w:sz w:val="20"/>
          <w:szCs w:val="20"/>
          <w:shd w:val="clear" w:color="auto" w:fill="FFFFFF"/>
        </w:rPr>
        <w:t>JCMS: Journal of Common Market Studies</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43</w:t>
      </w:r>
      <w:r w:rsidRPr="002B0075">
        <w:rPr>
          <w:rFonts w:ascii="Times New Roman" w:hAnsi="Times New Roman" w:cs="Times New Roman"/>
          <w:color w:val="000000" w:themeColor="text1"/>
          <w:sz w:val="20"/>
          <w:szCs w:val="20"/>
          <w:shd w:val="clear" w:color="auto" w:fill="FFFFFF"/>
        </w:rPr>
        <w:t>(1), 75-95.</w:t>
      </w:r>
    </w:p>
    <w:p w14:paraId="289E0560"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Manners, I. (2002) ‘Normative Power Europe: A Contradiction in Terms?’, Journal of Common Market Studies, Vol. 40, No. 2, pp. 235–258.</w:t>
      </w:r>
    </w:p>
    <w:p w14:paraId="5140EE65"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Manners, I. (2008) ‘The Normative Ethics of the European Union’, International Affairs, Vol. 84, No. 1, pp. 45–60.</w:t>
      </w:r>
    </w:p>
    <w:p w14:paraId="43066D36" w14:textId="0118BB0B" w:rsidR="00D321E6" w:rsidRPr="002B0075" w:rsidRDefault="00D321E6" w:rsidP="007A1460">
      <w:pPr>
        <w:ind w:left="400" w:hangingChars="200" w:hanging="40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Manners, I. (2009). ‘The EU’s normative power in changing world politics.’ Normative Power Europe in a Changing World: A Discussion, Netherlands Institute of International Relations pp.9-24.</w:t>
      </w:r>
    </w:p>
    <w:p w14:paraId="2CCC3AB0" w14:textId="0B0D1E05" w:rsidR="0096667B" w:rsidRPr="002B0075" w:rsidRDefault="0096667B" w:rsidP="007A1460">
      <w:pPr>
        <w:ind w:left="400" w:hangingChars="200" w:hanging="40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Manners, I. (2013). Assessing the decennial, reassessing the global: Understanding European Union normative power in global politics. Cooperation and conflict, 48(2), 304-329.</w:t>
      </w:r>
    </w:p>
    <w:p w14:paraId="11455938" w14:textId="3E43160E" w:rsidR="0096667B" w:rsidRPr="002B0075" w:rsidRDefault="0096667B" w:rsidP="007A1460">
      <w:pPr>
        <w:ind w:left="400" w:hangingChars="200" w:hanging="40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Manners, I. (2015). Sociology of knowledge and production of normative power in the European Union’s external actions. Journal of European Integration, 37(2), 299-318.</w:t>
      </w:r>
    </w:p>
    <w:p w14:paraId="2EB1FECA" w14:textId="5249C94D" w:rsidR="0096667B" w:rsidRPr="002B0075" w:rsidRDefault="0096667B" w:rsidP="007A1460">
      <w:pPr>
        <w:ind w:left="400" w:hangingChars="200" w:hanging="40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Manners, I. (2021). Normative Power Approach to European Union External Action. In The External Action of the European Union: Concepts, Approaches, Theories (pp. 61-76). Palgrave Macmillan.</w:t>
      </w:r>
    </w:p>
    <w:p w14:paraId="68988642"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Maritime Executive (2018) ASEAN Considers Common Visa Program, 16 August. Available at «</w:t>
      </w:r>
      <w:hyperlink r:id="rId33" w:history="1">
        <w:r w:rsidRPr="002B0075">
          <w:rPr>
            <w:rStyle w:val="a6"/>
            <w:rFonts w:ascii="Times New Roman" w:hAnsi="Times New Roman" w:cs="Times New Roman"/>
            <w:color w:val="000000" w:themeColor="text1"/>
            <w:sz w:val="20"/>
            <w:szCs w:val="20"/>
          </w:rPr>
          <w:t>https://www.maritime-executive.com/article/asean-considers-common-visa-program</w:t>
        </w:r>
      </w:hyperlink>
      <w:r w:rsidRPr="002B0075">
        <w:rPr>
          <w:rFonts w:ascii="Times New Roman" w:hAnsi="Times New Roman" w:cs="Times New Roman"/>
          <w:color w:val="000000" w:themeColor="text1"/>
          <w:sz w:val="20"/>
          <w:szCs w:val="20"/>
        </w:rPr>
        <w:t>»</w:t>
      </w:r>
    </w:p>
    <w:p w14:paraId="3E63836B"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Merlingen</w:t>
      </w:r>
      <w:proofErr w:type="spellEnd"/>
      <w:r w:rsidRPr="002B0075">
        <w:rPr>
          <w:rFonts w:ascii="Times New Roman" w:hAnsi="Times New Roman" w:cs="Times New Roman"/>
          <w:color w:val="000000" w:themeColor="text1"/>
          <w:sz w:val="20"/>
          <w:szCs w:val="20"/>
          <w:shd w:val="clear" w:color="auto" w:fill="FFFFFF"/>
        </w:rPr>
        <w:t xml:space="preserve">, M., &amp; </w:t>
      </w:r>
      <w:proofErr w:type="spellStart"/>
      <w:r w:rsidRPr="002B0075">
        <w:rPr>
          <w:rFonts w:ascii="Times New Roman" w:hAnsi="Times New Roman" w:cs="Times New Roman"/>
          <w:color w:val="000000" w:themeColor="text1"/>
          <w:sz w:val="20"/>
          <w:szCs w:val="20"/>
          <w:shd w:val="clear" w:color="auto" w:fill="FFFFFF"/>
        </w:rPr>
        <w:t>Ostrauskaite</w:t>
      </w:r>
      <w:proofErr w:type="spellEnd"/>
      <w:r w:rsidRPr="002B0075">
        <w:rPr>
          <w:rFonts w:ascii="Times New Roman" w:hAnsi="Times New Roman" w:cs="Times New Roman"/>
          <w:color w:val="000000" w:themeColor="text1"/>
          <w:sz w:val="20"/>
          <w:szCs w:val="20"/>
          <w:shd w:val="clear" w:color="auto" w:fill="FFFFFF"/>
        </w:rPr>
        <w:t>, R. (2005). Power/knowledge in international peacebuilding: the case of the EU police mission in Bosnia. Alternatives, 30(3), 297-323.</w:t>
      </w:r>
    </w:p>
    <w:p w14:paraId="0AB579DD"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Merlingen</w:t>
      </w:r>
      <w:proofErr w:type="spellEnd"/>
      <w:r w:rsidRPr="002B0075">
        <w:rPr>
          <w:rFonts w:ascii="Times New Roman" w:hAnsi="Times New Roman" w:cs="Times New Roman"/>
          <w:color w:val="000000" w:themeColor="text1"/>
          <w:sz w:val="20"/>
          <w:szCs w:val="20"/>
          <w:shd w:val="clear" w:color="auto" w:fill="FFFFFF"/>
        </w:rPr>
        <w:t xml:space="preserve">, M., &amp; </w:t>
      </w:r>
      <w:proofErr w:type="spellStart"/>
      <w:r w:rsidRPr="002B0075">
        <w:rPr>
          <w:rFonts w:ascii="Times New Roman" w:hAnsi="Times New Roman" w:cs="Times New Roman"/>
          <w:color w:val="000000" w:themeColor="text1"/>
          <w:sz w:val="20"/>
          <w:szCs w:val="20"/>
          <w:shd w:val="clear" w:color="auto" w:fill="FFFFFF"/>
        </w:rPr>
        <w:t>Ostrauskaitė</w:t>
      </w:r>
      <w:proofErr w:type="spellEnd"/>
      <w:r w:rsidRPr="002B0075">
        <w:rPr>
          <w:rFonts w:ascii="Times New Roman" w:hAnsi="Times New Roman" w:cs="Times New Roman"/>
          <w:color w:val="000000" w:themeColor="text1"/>
          <w:sz w:val="20"/>
          <w:szCs w:val="20"/>
          <w:shd w:val="clear" w:color="auto" w:fill="FFFFFF"/>
        </w:rPr>
        <w:t>, R. (2009). EU peacebuilding in Georgia: Limits and achievements. TMC Asser Institute.</w:t>
      </w:r>
    </w:p>
    <w:p w14:paraId="6F10CC87" w14:textId="0B815C13"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 xml:space="preserve">Mos, M. (2013). ‘Conflicted normative power Europe: The European Union and sexual minority </w:t>
      </w:r>
      <w:proofErr w:type="gramStart"/>
      <w:r w:rsidRPr="002B0075">
        <w:rPr>
          <w:rFonts w:ascii="Times New Roman" w:hAnsi="Times New Roman" w:cs="Times New Roman"/>
          <w:color w:val="000000" w:themeColor="text1"/>
          <w:sz w:val="20"/>
          <w:szCs w:val="20"/>
          <w:shd w:val="clear" w:color="auto" w:fill="FFFFFF"/>
        </w:rPr>
        <w:t>rights’</w:t>
      </w:r>
      <w:proofErr w:type="gramEnd"/>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Journal of Contemporary European Research</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9</w:t>
      </w:r>
      <w:r w:rsidRPr="002B0075">
        <w:rPr>
          <w:rFonts w:ascii="Times New Roman" w:hAnsi="Times New Roman" w:cs="Times New Roman"/>
          <w:color w:val="000000" w:themeColor="text1"/>
          <w:sz w:val="20"/>
          <w:szCs w:val="20"/>
          <w:shd w:val="clear" w:color="auto" w:fill="FFFFFF"/>
        </w:rPr>
        <w:t>(1).</w:t>
      </w:r>
    </w:p>
    <w:p w14:paraId="72834E8D" w14:textId="737B99C2"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shd w:val="clear" w:color="auto" w:fill="FFFFFF"/>
        </w:rPr>
        <w:t>Murray, P. (2015). ‘Europe and the world: The problem of the fourth wall in EU-ASEAN norms promotion’. Journal of Contemporary European Studies, 23(2), 238-252.</w:t>
      </w:r>
    </w:p>
    <w:p w14:paraId="32696CA3" w14:textId="59E99FFC"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proofErr w:type="spellStart"/>
      <w:r w:rsidRPr="002B0075">
        <w:rPr>
          <w:rFonts w:ascii="Times New Roman" w:hAnsi="Times New Roman" w:cs="Times New Roman"/>
          <w:color w:val="000000" w:themeColor="text1"/>
          <w:sz w:val="20"/>
          <w:szCs w:val="20"/>
          <w:shd w:val="clear" w:color="auto" w:fill="FFFFFF"/>
        </w:rPr>
        <w:t>Narine</w:t>
      </w:r>
      <w:proofErr w:type="spellEnd"/>
      <w:r w:rsidRPr="002B0075">
        <w:rPr>
          <w:rFonts w:ascii="Times New Roman" w:hAnsi="Times New Roman" w:cs="Times New Roman"/>
          <w:color w:val="000000" w:themeColor="text1"/>
          <w:sz w:val="20"/>
          <w:szCs w:val="20"/>
          <w:shd w:val="clear" w:color="auto" w:fill="FFFFFF"/>
        </w:rPr>
        <w:t>, S. (2009). ‘ASEAN in the twenty-first century: a sceptical review’. </w:t>
      </w:r>
      <w:r w:rsidRPr="002B0075">
        <w:rPr>
          <w:rFonts w:ascii="Times New Roman" w:hAnsi="Times New Roman" w:cs="Times New Roman"/>
          <w:i/>
          <w:iCs/>
          <w:color w:val="000000" w:themeColor="text1"/>
          <w:sz w:val="20"/>
          <w:szCs w:val="20"/>
          <w:shd w:val="clear" w:color="auto" w:fill="FFFFFF"/>
        </w:rPr>
        <w:t>Cambridge Review of International Affairs</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22</w:t>
      </w:r>
      <w:r w:rsidRPr="002B0075">
        <w:rPr>
          <w:rFonts w:ascii="Times New Roman" w:hAnsi="Times New Roman" w:cs="Times New Roman"/>
          <w:color w:val="000000" w:themeColor="text1"/>
          <w:sz w:val="20"/>
          <w:szCs w:val="20"/>
          <w:shd w:val="clear" w:color="auto" w:fill="FFFFFF"/>
        </w:rPr>
        <w:t>(3), 369-386.</w:t>
      </w:r>
    </w:p>
    <w:p w14:paraId="117974F8"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Newman, E. and Stefan, C. G. (2019) ‘Normative Power Europe? The EU’s Embrace of the Responsibility to Protect in a Transitional International Order’, Journal of Common Market Studies, pp. 1–19.</w:t>
      </w:r>
    </w:p>
    <w:p w14:paraId="7B891A11"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NTERPOL (2017), ‘Shaping border security focus of Interpol workshop on ASEAN common visa’, 13 May 2017, Interpol HQ.</w:t>
      </w:r>
    </w:p>
    <w:p w14:paraId="55BA056C"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Orbie</w:t>
      </w:r>
      <w:proofErr w:type="spellEnd"/>
      <w:r w:rsidRPr="002B0075">
        <w:rPr>
          <w:rFonts w:ascii="Times New Roman" w:hAnsi="Times New Roman" w:cs="Times New Roman"/>
          <w:color w:val="000000" w:themeColor="text1"/>
          <w:sz w:val="20"/>
          <w:szCs w:val="20"/>
        </w:rPr>
        <w:t>, J. (2011) ‘Promoting Labour Standards Through Trade: Normative Power or Regulatory State Europe?’, In Whitman, R. (ed) Normative Power Europe (London: Palgrave Macmillan), pp. 161–184.</w:t>
      </w:r>
    </w:p>
    <w:p w14:paraId="5C6ED4D4"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Pace, M. (2009) ‘Paradoxes and Contradictions in EU Democracy Promotion in the Mediterranean: The Limits of EU Normative Power’, Democratization, Vol. 16, No. 1, pp. 39–58.</w:t>
      </w:r>
    </w:p>
    <w:p w14:paraId="22E7A5A1"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Parker, O. and Rosamond, B. (2013) ‘Normative Power Europe Meets Economic Liberalism’, Cooperation and Conflict, Vol. 48, No. 2, pp. 229–246.</w:t>
      </w:r>
    </w:p>
    <w:p w14:paraId="2BC9D872" w14:textId="43A11510"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proofErr w:type="spellStart"/>
      <w:r w:rsidRPr="002B0075">
        <w:rPr>
          <w:rFonts w:ascii="Times New Roman" w:hAnsi="Times New Roman" w:cs="Times New Roman"/>
          <w:color w:val="000000" w:themeColor="text1"/>
          <w:sz w:val="20"/>
          <w:szCs w:val="20"/>
          <w:shd w:val="clear" w:color="auto" w:fill="FFFFFF"/>
        </w:rPr>
        <w:lastRenderedPageBreak/>
        <w:t>Pennisi</w:t>
      </w:r>
      <w:proofErr w:type="spellEnd"/>
      <w:r w:rsidRPr="002B0075">
        <w:rPr>
          <w:rFonts w:ascii="Times New Roman" w:hAnsi="Times New Roman" w:cs="Times New Roman"/>
          <w:color w:val="000000" w:themeColor="text1"/>
          <w:sz w:val="20"/>
          <w:szCs w:val="20"/>
          <w:shd w:val="clear" w:color="auto" w:fill="FFFFFF"/>
        </w:rPr>
        <w:t xml:space="preserve"> di </w:t>
      </w:r>
      <w:proofErr w:type="spellStart"/>
      <w:r w:rsidRPr="002B0075">
        <w:rPr>
          <w:rFonts w:ascii="Times New Roman" w:hAnsi="Times New Roman" w:cs="Times New Roman"/>
          <w:color w:val="000000" w:themeColor="text1"/>
          <w:sz w:val="20"/>
          <w:szCs w:val="20"/>
          <w:shd w:val="clear" w:color="auto" w:fill="FFFFFF"/>
        </w:rPr>
        <w:t>Floristella</w:t>
      </w:r>
      <w:proofErr w:type="spellEnd"/>
      <w:r w:rsidRPr="002B0075">
        <w:rPr>
          <w:rFonts w:ascii="Times New Roman" w:hAnsi="Times New Roman" w:cs="Times New Roman"/>
          <w:color w:val="000000" w:themeColor="text1"/>
          <w:sz w:val="20"/>
          <w:szCs w:val="20"/>
          <w:shd w:val="clear" w:color="auto" w:fill="FFFFFF"/>
        </w:rPr>
        <w:t xml:space="preserve">, A. (2015). ‘Building the ASEAN </w:t>
      </w:r>
      <w:proofErr w:type="spellStart"/>
      <w:r w:rsidRPr="002B0075">
        <w:rPr>
          <w:rFonts w:ascii="Times New Roman" w:hAnsi="Times New Roman" w:cs="Times New Roman"/>
          <w:color w:val="000000" w:themeColor="text1"/>
          <w:sz w:val="20"/>
          <w:szCs w:val="20"/>
          <w:shd w:val="clear" w:color="auto" w:fill="FFFFFF"/>
        </w:rPr>
        <w:t>Center</w:t>
      </w:r>
      <w:proofErr w:type="spellEnd"/>
      <w:r w:rsidRPr="002B0075">
        <w:rPr>
          <w:rFonts w:ascii="Times New Roman" w:hAnsi="Times New Roman" w:cs="Times New Roman"/>
          <w:color w:val="000000" w:themeColor="text1"/>
          <w:sz w:val="20"/>
          <w:szCs w:val="20"/>
          <w:shd w:val="clear" w:color="auto" w:fill="FFFFFF"/>
        </w:rPr>
        <w:t xml:space="preserve"> for Humanitarian Assistance and Emergency Response: is ASEAN learning from the experience of the European Civil Protection Mechanism?’ KFG Working Paper Series, No. 62</w:t>
      </w:r>
    </w:p>
    <w:p w14:paraId="798167C6" w14:textId="406E01B5"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Powel, B. T. (2009). ‘A clash of norms: normative power and EU democracy promotion in Tunisia’. </w:t>
      </w:r>
      <w:r w:rsidRPr="002B0075">
        <w:rPr>
          <w:rFonts w:ascii="Times New Roman" w:hAnsi="Times New Roman" w:cs="Times New Roman"/>
          <w:i/>
          <w:iCs/>
          <w:color w:val="000000" w:themeColor="text1"/>
          <w:sz w:val="20"/>
          <w:szCs w:val="20"/>
          <w:shd w:val="clear" w:color="auto" w:fill="FFFFFF"/>
        </w:rPr>
        <w:t>Democratization</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16</w:t>
      </w:r>
      <w:r w:rsidRPr="002B0075">
        <w:rPr>
          <w:rFonts w:ascii="Times New Roman" w:hAnsi="Times New Roman" w:cs="Times New Roman"/>
          <w:color w:val="000000" w:themeColor="text1"/>
          <w:sz w:val="20"/>
          <w:szCs w:val="20"/>
          <w:shd w:val="clear" w:color="auto" w:fill="FFFFFF"/>
        </w:rPr>
        <w:t>(1), 193-214.</w:t>
      </w:r>
    </w:p>
    <w:p w14:paraId="74771961"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Prantl</w:t>
      </w:r>
      <w:proofErr w:type="spellEnd"/>
      <w:r w:rsidRPr="002B0075">
        <w:rPr>
          <w:rFonts w:ascii="Times New Roman" w:hAnsi="Times New Roman" w:cs="Times New Roman"/>
          <w:color w:val="000000" w:themeColor="text1"/>
          <w:sz w:val="20"/>
          <w:szCs w:val="20"/>
        </w:rPr>
        <w:t>, J. and Nakano, R. (2011) ‘Global Norm Diffusion in East Asia: How China and Japan Implement the Responsibility to Protect’, International Relations, Vol. 25, No. 2, pp. 204–223.</w:t>
      </w:r>
    </w:p>
    <w:p w14:paraId="18158139"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Risse</w:t>
      </w:r>
      <w:proofErr w:type="spellEnd"/>
      <w:r w:rsidRPr="002B0075">
        <w:rPr>
          <w:rFonts w:ascii="Times New Roman" w:hAnsi="Times New Roman" w:cs="Times New Roman"/>
          <w:color w:val="000000" w:themeColor="text1"/>
          <w:sz w:val="20"/>
          <w:szCs w:val="20"/>
        </w:rPr>
        <w:t>, T. (2016) ‘The Diffusion of Regionalism’ In </w:t>
      </w:r>
      <w:proofErr w:type="spellStart"/>
      <w:r w:rsidRPr="002B0075">
        <w:rPr>
          <w:rFonts w:ascii="Times New Roman" w:hAnsi="Times New Roman" w:cs="Times New Roman"/>
          <w:color w:val="000000" w:themeColor="text1"/>
          <w:sz w:val="20"/>
          <w:szCs w:val="20"/>
        </w:rPr>
        <w:t>Börzel</w:t>
      </w:r>
      <w:proofErr w:type="spellEnd"/>
      <w:r w:rsidRPr="002B0075">
        <w:rPr>
          <w:rFonts w:ascii="Times New Roman" w:hAnsi="Times New Roman" w:cs="Times New Roman"/>
          <w:color w:val="000000" w:themeColor="text1"/>
          <w:sz w:val="20"/>
          <w:szCs w:val="20"/>
        </w:rPr>
        <w:t xml:space="preserve">, T. and </w:t>
      </w:r>
      <w:proofErr w:type="spellStart"/>
      <w:r w:rsidRPr="002B0075">
        <w:rPr>
          <w:rFonts w:ascii="Times New Roman" w:hAnsi="Times New Roman" w:cs="Times New Roman"/>
          <w:color w:val="000000" w:themeColor="text1"/>
          <w:sz w:val="20"/>
          <w:szCs w:val="20"/>
        </w:rPr>
        <w:t>Risse</w:t>
      </w:r>
      <w:proofErr w:type="spellEnd"/>
      <w:r w:rsidRPr="002B0075">
        <w:rPr>
          <w:rFonts w:ascii="Times New Roman" w:hAnsi="Times New Roman" w:cs="Times New Roman"/>
          <w:color w:val="000000" w:themeColor="text1"/>
          <w:sz w:val="20"/>
          <w:szCs w:val="20"/>
        </w:rPr>
        <w:t>, T. (ed) The Oxford Handbook of Comparative Regionalism (Oxford: OUP), pp. 87–108.</w:t>
      </w:r>
    </w:p>
    <w:p w14:paraId="0C0B193D"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proofErr w:type="spellStart"/>
      <w:r w:rsidRPr="002B0075">
        <w:rPr>
          <w:rFonts w:ascii="Times New Roman" w:hAnsi="Times New Roman" w:cs="Times New Roman"/>
          <w:color w:val="000000" w:themeColor="text1"/>
          <w:sz w:val="20"/>
          <w:szCs w:val="20"/>
          <w:shd w:val="clear" w:color="auto" w:fill="FFFFFF"/>
        </w:rPr>
        <w:t>Schimmelfennig</w:t>
      </w:r>
      <w:proofErr w:type="spellEnd"/>
      <w:r w:rsidRPr="002B0075">
        <w:rPr>
          <w:rFonts w:ascii="Times New Roman" w:hAnsi="Times New Roman" w:cs="Times New Roman"/>
          <w:color w:val="000000" w:themeColor="text1"/>
          <w:sz w:val="20"/>
          <w:szCs w:val="20"/>
          <w:shd w:val="clear" w:color="auto" w:fill="FFFFFF"/>
        </w:rPr>
        <w:t xml:space="preserve">, F., &amp; </w:t>
      </w:r>
      <w:proofErr w:type="spellStart"/>
      <w:r w:rsidRPr="002B0075">
        <w:rPr>
          <w:rFonts w:ascii="Times New Roman" w:hAnsi="Times New Roman" w:cs="Times New Roman"/>
          <w:color w:val="000000" w:themeColor="text1"/>
          <w:sz w:val="20"/>
          <w:szCs w:val="20"/>
          <w:shd w:val="clear" w:color="auto" w:fill="FFFFFF"/>
        </w:rPr>
        <w:t>Sedelmeier</w:t>
      </w:r>
      <w:proofErr w:type="spellEnd"/>
      <w:r w:rsidRPr="002B0075">
        <w:rPr>
          <w:rFonts w:ascii="Times New Roman" w:hAnsi="Times New Roman" w:cs="Times New Roman"/>
          <w:color w:val="000000" w:themeColor="text1"/>
          <w:sz w:val="20"/>
          <w:szCs w:val="20"/>
          <w:shd w:val="clear" w:color="auto" w:fill="FFFFFF"/>
        </w:rPr>
        <w:t>, U. (Eds.). (2005). </w:t>
      </w:r>
      <w:r w:rsidRPr="002B0075">
        <w:rPr>
          <w:rFonts w:ascii="Times New Roman" w:hAnsi="Times New Roman" w:cs="Times New Roman"/>
          <w:i/>
          <w:iCs/>
          <w:color w:val="000000" w:themeColor="text1"/>
          <w:sz w:val="20"/>
          <w:szCs w:val="20"/>
          <w:shd w:val="clear" w:color="auto" w:fill="FFFFFF"/>
        </w:rPr>
        <w:t>The Europeanization of central and eastern Europe</w:t>
      </w:r>
      <w:r w:rsidRPr="002B0075">
        <w:rPr>
          <w:rFonts w:ascii="Times New Roman" w:hAnsi="Times New Roman" w:cs="Times New Roman"/>
          <w:color w:val="000000" w:themeColor="text1"/>
          <w:sz w:val="20"/>
          <w:szCs w:val="20"/>
          <w:shd w:val="clear" w:color="auto" w:fill="FFFFFF"/>
        </w:rPr>
        <w:t>. Cornell university press.</w:t>
      </w:r>
    </w:p>
    <w:p w14:paraId="20D3EF1C" w14:textId="0F592A51"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Sicurelli</w:t>
      </w:r>
      <w:proofErr w:type="spellEnd"/>
      <w:r w:rsidRPr="002B0075">
        <w:rPr>
          <w:rFonts w:ascii="Times New Roman" w:hAnsi="Times New Roman" w:cs="Times New Roman"/>
          <w:color w:val="000000" w:themeColor="text1"/>
          <w:sz w:val="20"/>
          <w:szCs w:val="20"/>
          <w:shd w:val="clear" w:color="auto" w:fill="FFFFFF"/>
        </w:rPr>
        <w:t>, D. (2020). ‘External conditions for EU normative power through trade. The case of CEPA negotiations with Indonesia’. Asia Europe Journal, 18(1), 57-73.</w:t>
      </w:r>
    </w:p>
    <w:p w14:paraId="7D88D69E"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Simmons, B. A. and Elkins, Z. (2004) ‘The Globalization of Liberalization: Policy Diffusion in the International Political Economy’, American Political Science Review, Vol. 98, No. 1, pp. 171–189.</w:t>
      </w:r>
    </w:p>
    <w:p w14:paraId="059E5640" w14:textId="02EE295D"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Sjursen</w:t>
      </w:r>
      <w:proofErr w:type="spellEnd"/>
      <w:r w:rsidRPr="002B0075">
        <w:rPr>
          <w:rFonts w:ascii="Times New Roman" w:hAnsi="Times New Roman" w:cs="Times New Roman"/>
          <w:color w:val="000000" w:themeColor="text1"/>
          <w:sz w:val="20"/>
          <w:szCs w:val="20"/>
          <w:shd w:val="clear" w:color="auto" w:fill="FFFFFF"/>
        </w:rPr>
        <w:t>, H. (2006). ‘The EU as a ‘normative’ power: how can this be?’. Journal of European public policy, 13(2), 235-251.</w:t>
      </w:r>
    </w:p>
    <w:p w14:paraId="265F89A0"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Solingen, E. (2012) ‘Of Dominoes and Firewalls: The Domestic, Regional, and Global Politics of International Diffusion’, International Studies Quarterly, Vol. 56, No. 4, pp. 631–644.</w:t>
      </w:r>
    </w:p>
    <w:p w14:paraId="3A2F97B1"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Strang, D. (1991) ‘Adding Social Structure to Diffusion Models: An Event History Framework’, Sociological Methods &amp; Research, Vol. 19, No. 3, pp. 324–353.</w:t>
      </w:r>
    </w:p>
    <w:p w14:paraId="4EDB2F9A"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Strating</w:t>
      </w:r>
      <w:proofErr w:type="spellEnd"/>
      <w:r w:rsidRPr="002B0075">
        <w:rPr>
          <w:rFonts w:ascii="Times New Roman" w:hAnsi="Times New Roman" w:cs="Times New Roman"/>
          <w:color w:val="000000" w:themeColor="text1"/>
          <w:sz w:val="20"/>
          <w:szCs w:val="20"/>
        </w:rPr>
        <w:t>, R. (2018) ‘Maritime Territorialization, UNCLOS and the Timor Sea Dispute’, Contemporary Southeast Asia, Vol.40, No.1, pp. 101–125.</w:t>
      </w:r>
    </w:p>
    <w:p w14:paraId="49BDF9AA"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Tocci</w:t>
      </w:r>
      <w:proofErr w:type="spellEnd"/>
      <w:r w:rsidRPr="002B0075">
        <w:rPr>
          <w:rFonts w:ascii="Times New Roman" w:hAnsi="Times New Roman" w:cs="Times New Roman"/>
          <w:color w:val="000000" w:themeColor="text1"/>
          <w:sz w:val="20"/>
          <w:szCs w:val="20"/>
          <w:shd w:val="clear" w:color="auto" w:fill="FFFFFF"/>
        </w:rPr>
        <w:t>, N. (Ed.). (2008). Who is a Normative Foreign Policy Actor? (pp. 1-329). Brussels: Centre for European Policy Studies.</w:t>
      </w:r>
    </w:p>
    <w:p w14:paraId="181FDCFB"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shd w:val="clear" w:color="auto" w:fill="FFFFFF"/>
        </w:rPr>
        <w:t>Wagnsson</w:t>
      </w:r>
      <w:proofErr w:type="spellEnd"/>
      <w:r w:rsidRPr="002B0075">
        <w:rPr>
          <w:rFonts w:ascii="Times New Roman" w:hAnsi="Times New Roman" w:cs="Times New Roman"/>
          <w:color w:val="000000" w:themeColor="text1"/>
          <w:sz w:val="20"/>
          <w:szCs w:val="20"/>
          <w:shd w:val="clear" w:color="auto" w:fill="FFFFFF"/>
        </w:rPr>
        <w:t>, C., &amp; Hellman, M. (2018). Normative power Europe caving in? EU under pressure of Russian information warfare. JCMS: Journal of Common Market Studies, 56(5), 1161-1177.</w:t>
      </w:r>
    </w:p>
    <w:p w14:paraId="196D4414" w14:textId="77777777" w:rsidR="00D321E6" w:rsidRPr="002B0075" w:rsidRDefault="00D321E6" w:rsidP="00D321E6">
      <w:pPr>
        <w:ind w:left="720" w:hanging="720"/>
        <w:rPr>
          <w:rFonts w:ascii="Times New Roman" w:hAnsi="Times New Roman" w:cs="Times New Roman"/>
          <w:color w:val="000000" w:themeColor="text1"/>
          <w:sz w:val="20"/>
          <w:szCs w:val="20"/>
          <w:shd w:val="clear" w:color="auto" w:fill="FFFFFF"/>
        </w:rPr>
      </w:pPr>
      <w:r w:rsidRPr="002B0075">
        <w:rPr>
          <w:rFonts w:ascii="Times New Roman" w:hAnsi="Times New Roman" w:cs="Times New Roman"/>
          <w:color w:val="000000" w:themeColor="text1"/>
          <w:sz w:val="20"/>
          <w:szCs w:val="20"/>
          <w:shd w:val="clear" w:color="auto" w:fill="FFFFFF"/>
        </w:rPr>
        <w:t xml:space="preserve">Wallace, H. (2000). Europeanisation and globalisation: complementary or contradictory </w:t>
      </w:r>
      <w:proofErr w:type="gramStart"/>
      <w:r w:rsidRPr="002B0075">
        <w:rPr>
          <w:rFonts w:ascii="Times New Roman" w:hAnsi="Times New Roman" w:cs="Times New Roman"/>
          <w:color w:val="000000" w:themeColor="text1"/>
          <w:sz w:val="20"/>
          <w:szCs w:val="20"/>
          <w:shd w:val="clear" w:color="auto" w:fill="FFFFFF"/>
        </w:rPr>
        <w:t>trends?.</w:t>
      </w:r>
      <w:proofErr w:type="gramEnd"/>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New Political Economy</w:t>
      </w:r>
      <w:r w:rsidRPr="002B0075">
        <w:rPr>
          <w:rFonts w:ascii="Times New Roman" w:hAnsi="Times New Roman" w:cs="Times New Roman"/>
          <w:color w:val="000000" w:themeColor="text1"/>
          <w:sz w:val="20"/>
          <w:szCs w:val="20"/>
          <w:shd w:val="clear" w:color="auto" w:fill="FFFFFF"/>
        </w:rPr>
        <w:t>, </w:t>
      </w:r>
      <w:r w:rsidRPr="002B0075">
        <w:rPr>
          <w:rFonts w:ascii="Times New Roman" w:hAnsi="Times New Roman" w:cs="Times New Roman"/>
          <w:i/>
          <w:iCs/>
          <w:color w:val="000000" w:themeColor="text1"/>
          <w:sz w:val="20"/>
          <w:szCs w:val="20"/>
          <w:shd w:val="clear" w:color="auto" w:fill="FFFFFF"/>
        </w:rPr>
        <w:t>5</w:t>
      </w:r>
      <w:r w:rsidRPr="002B0075">
        <w:rPr>
          <w:rFonts w:ascii="Times New Roman" w:hAnsi="Times New Roman" w:cs="Times New Roman"/>
          <w:color w:val="000000" w:themeColor="text1"/>
          <w:sz w:val="20"/>
          <w:szCs w:val="20"/>
          <w:shd w:val="clear" w:color="auto" w:fill="FFFFFF"/>
        </w:rPr>
        <w:t>(3), 369-382.</w:t>
      </w:r>
    </w:p>
    <w:p w14:paraId="0FD98444"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Whitman, R. (2011) Normative Power Europe: Empirical and Theoretical Perspectives (Basingstoke: Palgrave).  </w:t>
      </w:r>
    </w:p>
    <w:p w14:paraId="26B3E5BE"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Wiener, A. (2009) ‘Enacting Meaning-In-Use: Qualitative Research on Norms and International Relations’, Review of International Studies, Vol. 35, No. 1, pp. 175–193.</w:t>
      </w:r>
    </w:p>
    <w:p w14:paraId="5E8176F9"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Wiener, A. (2018) Contestation and Constitution of Norms in Global International Relations (Cambridge: Cambridge University Press).</w:t>
      </w:r>
    </w:p>
    <w:p w14:paraId="27BE1D34" w14:textId="77777777" w:rsidR="00D321E6" w:rsidRPr="002B0075" w:rsidRDefault="00D321E6" w:rsidP="007A1460">
      <w:pPr>
        <w:ind w:left="400" w:hangingChars="200" w:hanging="400"/>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shd w:val="clear" w:color="auto" w:fill="FFFFFF"/>
        </w:rPr>
        <w:t xml:space="preserve">Wiener, A., &amp; </w:t>
      </w:r>
      <w:proofErr w:type="spellStart"/>
      <w:r w:rsidRPr="002B0075">
        <w:rPr>
          <w:rFonts w:ascii="Times New Roman" w:hAnsi="Times New Roman" w:cs="Times New Roman"/>
          <w:color w:val="000000" w:themeColor="text1"/>
          <w:sz w:val="20"/>
          <w:szCs w:val="20"/>
          <w:shd w:val="clear" w:color="auto" w:fill="FFFFFF"/>
        </w:rPr>
        <w:t>Puetter</w:t>
      </w:r>
      <w:proofErr w:type="spellEnd"/>
      <w:r w:rsidRPr="002B0075">
        <w:rPr>
          <w:rFonts w:ascii="Times New Roman" w:hAnsi="Times New Roman" w:cs="Times New Roman"/>
          <w:color w:val="000000" w:themeColor="text1"/>
          <w:sz w:val="20"/>
          <w:szCs w:val="20"/>
          <w:shd w:val="clear" w:color="auto" w:fill="FFFFFF"/>
        </w:rPr>
        <w:t>, U. (2009). The quality of norms is what actors make of it critical-constructivist research on norms. J. Int'l L &amp; Int'l Rel., 5, 1.</w:t>
      </w:r>
    </w:p>
    <w:p w14:paraId="43731933"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Winston, C. (2018) ‘Norm Structure, Diffusion, and Evolution: A Conceptual Approach’, European Journal of International Relations, Vol. 24, No. 3, pp. 638–661.</w:t>
      </w:r>
    </w:p>
    <w:p w14:paraId="319A940B" w14:textId="77777777" w:rsidR="00D321E6" w:rsidRPr="002B0075" w:rsidRDefault="00D321E6" w:rsidP="007A1460">
      <w:pPr>
        <w:ind w:left="400" w:hangingChars="200" w:hanging="4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Zimmermann, L. (2016) ‘Same or different? Norm Diffusion Between Resistance, Compliance, and Localization in Post-Conflict States’, International Studies Perspectives, Vol. 17, No. 1, pp. 98–115.</w:t>
      </w:r>
    </w:p>
    <w:p w14:paraId="122E2DA9" w14:textId="77777777" w:rsidR="00D321E6" w:rsidRPr="002B0075" w:rsidRDefault="00D321E6" w:rsidP="00D321E6">
      <w:pPr>
        <w:ind w:left="400" w:hangingChars="200" w:hanging="400"/>
        <w:jc w:val="both"/>
        <w:rPr>
          <w:rFonts w:ascii="Times New Roman" w:hAnsi="Times New Roman" w:cs="Times New Roman"/>
          <w:color w:val="000000" w:themeColor="text1"/>
          <w:sz w:val="20"/>
          <w:szCs w:val="20"/>
        </w:rPr>
      </w:pPr>
      <w:proofErr w:type="spellStart"/>
      <w:r w:rsidRPr="002B0075">
        <w:rPr>
          <w:rFonts w:ascii="Times New Roman" w:hAnsi="Times New Roman" w:cs="Times New Roman"/>
          <w:color w:val="000000" w:themeColor="text1"/>
          <w:sz w:val="20"/>
          <w:szCs w:val="20"/>
        </w:rPr>
        <w:t>Zwolski</w:t>
      </w:r>
      <w:proofErr w:type="spellEnd"/>
      <w:r w:rsidRPr="002B0075">
        <w:rPr>
          <w:rFonts w:ascii="Times New Roman" w:hAnsi="Times New Roman" w:cs="Times New Roman"/>
          <w:color w:val="000000" w:themeColor="text1"/>
          <w:sz w:val="20"/>
          <w:szCs w:val="20"/>
        </w:rPr>
        <w:t>, K. (2012) ‘The EU and a Holistic Security Approach after Lisbon’, Journal of European Public Policy, Vol. 19, No. 7, pp. 988–1005.</w:t>
      </w:r>
    </w:p>
    <w:p w14:paraId="1B232D38" w14:textId="702C7BD2" w:rsidR="007A1460" w:rsidRPr="002B0075" w:rsidRDefault="007A1460" w:rsidP="00514E1A">
      <w:pPr>
        <w:jc w:val="both"/>
        <w:rPr>
          <w:rFonts w:ascii="Times New Roman" w:hAnsi="Times New Roman" w:cs="Times New Roman"/>
          <w:color w:val="000000" w:themeColor="text1"/>
          <w:sz w:val="20"/>
          <w:szCs w:val="20"/>
        </w:rPr>
      </w:pPr>
    </w:p>
    <w:p w14:paraId="75970B17" w14:textId="77777777" w:rsidR="007A1460" w:rsidRPr="002B0075" w:rsidRDefault="007A1460">
      <w:pPr>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br w:type="page"/>
      </w:r>
    </w:p>
    <w:p w14:paraId="78450003" w14:textId="77777777" w:rsidR="007A1460" w:rsidRPr="002B0075" w:rsidRDefault="007A1460" w:rsidP="00514E1A">
      <w:pPr>
        <w:jc w:val="both"/>
        <w:rPr>
          <w:rFonts w:ascii="Times New Roman" w:hAnsi="Times New Roman" w:cs="Times New Roman"/>
          <w:color w:val="000000" w:themeColor="text1"/>
          <w:sz w:val="20"/>
          <w:szCs w:val="20"/>
        </w:rPr>
        <w:sectPr w:rsidR="007A1460" w:rsidRPr="002B0075" w:rsidSect="004A4DF8">
          <w:footerReference w:type="default" r:id="rId34"/>
          <w:pgSz w:w="11900" w:h="16840"/>
          <w:pgMar w:top="1440" w:right="1800" w:bottom="1440" w:left="1800" w:header="851" w:footer="992" w:gutter="0"/>
          <w:cols w:space="425"/>
          <w:docGrid w:type="lines" w:linePitch="312"/>
        </w:sectPr>
      </w:pPr>
    </w:p>
    <w:p w14:paraId="3191670E" w14:textId="045E5FFD" w:rsidR="007A1460" w:rsidRPr="002B0075" w:rsidRDefault="007A1460" w:rsidP="007A1460">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t>Annex - Table 1. Indicators for assessing the effectiveness of EU diffusion</w:t>
      </w:r>
    </w:p>
    <w:p w14:paraId="322B5502" w14:textId="77777777" w:rsidR="007A1460" w:rsidRPr="002B0075" w:rsidRDefault="007A1460" w:rsidP="007A1460">
      <w:pPr>
        <w:jc w:val="both"/>
        <w:rPr>
          <w:rFonts w:ascii="Times New Roman" w:hAnsi="Times New Roman" w:cs="Times New Roman"/>
          <w:color w:val="000000" w:themeColor="text1"/>
          <w:sz w:val="20"/>
          <w:szCs w:val="20"/>
        </w:rPr>
      </w:pPr>
      <w:r w:rsidRPr="002B0075">
        <w:rPr>
          <w:rFonts w:ascii="Times New Roman" w:hAnsi="Times New Roman" w:cs="Times New Roman" w:hint="eastAsia"/>
          <w:noProof/>
          <w:color w:val="000000" w:themeColor="text1"/>
          <w:sz w:val="20"/>
          <w:szCs w:val="20"/>
        </w:rPr>
        <mc:AlternateContent>
          <mc:Choice Requires="wps">
            <w:drawing>
              <wp:anchor distT="0" distB="0" distL="114300" distR="114300" simplePos="0" relativeHeight="251659264" behindDoc="0" locked="0" layoutInCell="1" allowOverlap="1" wp14:anchorId="23B12F2C" wp14:editId="5F6B77EF">
                <wp:simplePos x="0" y="0"/>
                <wp:positionH relativeFrom="column">
                  <wp:posOffset>-93345</wp:posOffset>
                </wp:positionH>
                <wp:positionV relativeFrom="paragraph">
                  <wp:posOffset>262011</wp:posOffset>
                </wp:positionV>
                <wp:extent cx="937846" cy="386861"/>
                <wp:effectExtent l="0" t="0" r="2540" b="0"/>
                <wp:wrapNone/>
                <wp:docPr id="1" name="文本框 1"/>
                <wp:cNvGraphicFramePr/>
                <a:graphic xmlns:a="http://schemas.openxmlformats.org/drawingml/2006/main">
                  <a:graphicData uri="http://schemas.microsoft.com/office/word/2010/wordprocessingShape">
                    <wps:wsp>
                      <wps:cNvSpPr txBox="1"/>
                      <wps:spPr>
                        <a:xfrm>
                          <a:off x="0" y="0"/>
                          <a:ext cx="937846" cy="386861"/>
                        </a:xfrm>
                        <a:prstGeom prst="rect">
                          <a:avLst/>
                        </a:prstGeom>
                        <a:solidFill>
                          <a:schemeClr val="lt1"/>
                        </a:solidFill>
                        <a:ln w="6350">
                          <a:noFill/>
                        </a:ln>
                      </wps:spPr>
                      <wps:txbx>
                        <w:txbxContent>
                          <w:p w14:paraId="0A1E78EA" w14:textId="77777777" w:rsidR="002F725B" w:rsidRPr="008E08FA" w:rsidRDefault="002F725B" w:rsidP="007A1460">
                            <w:pPr>
                              <w:rPr>
                                <w:rFonts w:ascii="Times New Roman" w:hAnsi="Times New Roman" w:cs="Times New Roman"/>
                                <w:sz w:val="22"/>
                                <w:szCs w:val="22"/>
                              </w:rPr>
                            </w:pPr>
                            <w:r w:rsidRPr="008E08FA">
                              <w:rPr>
                                <w:rFonts w:ascii="Times New Roman" w:hAnsi="Times New Roman" w:cs="Times New Roman"/>
                                <w:sz w:val="22"/>
                                <w:szCs w:val="22"/>
                              </w:rPr>
                              <w:t>Rejection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12F2C" id="_x0000_t202" coordsize="21600,21600" o:spt="202" path="m,l,21600r21600,l21600,xe">
                <v:stroke joinstyle="miter"/>
                <v:path gradientshapeok="t" o:connecttype="rect"/>
              </v:shapetype>
              <v:shape id="文本框 1" o:spid="_x0000_s1026" type="#_x0000_t202" style="position:absolute;left:0;text-align:left;margin-left:-7.35pt;margin-top:20.65pt;width:73.85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mUAIAAHkEAAAOAAAAZHJzL2Uyb0RvYy54bWysVEtu2zAQ3RfoHQjua/kXxxEsB64DFwWC&#10;JIBTZE1TpC2A4rAkbck9QHuDrLrpvufyOTqkZMdNuyq6oYac4Ru+eTOaXNelIjthXQE6o71OlxKh&#10;OeSFXmf00+Pi3ZgS55nOmQItMroXjl5P376ZVCYVfdiAyoUlCKJdWpmMbrw3aZI4vhElcx0wQqNT&#10;gi2Zx61dJ7llFaKXKul3u6OkApsbC1w4h6c3jZNOI76Ugvt7KZ3wRGUU3+bjauO6CmsynbB0bZnZ&#10;FLx9BvuHV5Ss0Jj0BHXDPCNbW/wBVRbcggPpOxzKBKQsuIgckE2v+4rNcsOMiFywOM6cyuT+Hyy/&#10;2z1YUuSoHSWalSjR4fnb4fvPw4+vpBfKUxmXYtTSYJyv30MdQttzh4eBdS1tGb7Ih6AfC70/FVfU&#10;nnA8vBpcjocjSji6BuPReBRRkpfLxjr/QUBJgpFRi9rFkrLdrfOYEEOPISGXA1Xki0KpuAn9IubK&#10;kh1DpZU/gv8WpTSpMjoaXHQjsIZwvUFWGhMEqg2lYPl6Vbc8V5Dvkb6Fpn+c4YsCH3nLnH9gFhsG&#10;GeMQ+HtcpAJMAq1FyQbsl7+dh3jUEb2UVNiAGXWft8wKStRHjQpf9YbD0LFxM7y47OPGnntW5x69&#10;LeeAzFFFfF00Q7xXR1NaKJ9wVmYhK7qY5pg7o/5ozn0zFjhrXMxmMQh71DB/q5eGB+hQ6SDBY/3E&#10;rGl18ijwHRxblaWv5Gpiw00Ns60HWUQtQ4GbqrZ1x/6OErezGAbofB+jXv4Y018AAAD//wMAUEsD&#10;BBQABgAIAAAAIQAk5dnU4QAAAAoBAAAPAAAAZHJzL2Rvd25yZXYueG1sTI/LTsMwEEX3SPyDNUhs&#10;UOs8CkUhToUQD4kdDS1i58ZDEhGPo9hNwt8zXcFuRnN059x8M9tOjDj41pGCeBmBQKqcaalW8F4+&#10;LW5B+KDJ6M4RKvhBD5vi/CzXmXETveG4DbXgEPKZVtCE0GdS+qpBq/3S9Uh8+3KD1YHXoZZm0BOH&#10;204mUXQjrW6JPzS6x4cGq+/t0Sr4vKo/Xv38vJvS67R/fBnL9d6USl1ezPd3IALO4Q+Gkz6rQ8FO&#10;B3ck40WnYBGv1owqWMUpiBOQplzuwEOUJCCLXP6vUPwCAAD//wMAUEsBAi0AFAAGAAgAAAAhALaD&#10;OJL+AAAA4QEAABMAAAAAAAAAAAAAAAAAAAAAAFtDb250ZW50X1R5cGVzXS54bWxQSwECLQAUAAYA&#10;CAAAACEAOP0h/9YAAACUAQAACwAAAAAAAAAAAAAAAAAvAQAAX3JlbHMvLnJlbHNQSwECLQAUAAYA&#10;CAAAACEADzaP5lACAAB5BAAADgAAAAAAAAAAAAAAAAAuAgAAZHJzL2Uyb0RvYy54bWxQSwECLQAU&#10;AAYACAAAACEAJOXZ1OEAAAAKAQAADwAAAAAAAAAAAAAAAACqBAAAZHJzL2Rvd25yZXYueG1sUEsF&#10;BgAAAAAEAAQA8wAAALgFAAAAAA==&#10;" fillcolor="white [3201]" stroked="f" strokeweight=".5pt">
                <v:textbox>
                  <w:txbxContent>
                    <w:p w14:paraId="0A1E78EA" w14:textId="77777777" w:rsidR="002F725B" w:rsidRPr="008E08FA" w:rsidRDefault="002F725B" w:rsidP="007A1460">
                      <w:pPr>
                        <w:rPr>
                          <w:rFonts w:ascii="Times New Roman" w:hAnsi="Times New Roman" w:cs="Times New Roman"/>
                          <w:sz w:val="22"/>
                          <w:szCs w:val="22"/>
                        </w:rPr>
                      </w:pPr>
                      <w:r w:rsidRPr="008E08FA">
                        <w:rPr>
                          <w:rFonts w:ascii="Times New Roman" w:hAnsi="Times New Roman" w:cs="Times New Roman"/>
                          <w:sz w:val="22"/>
                          <w:szCs w:val="22"/>
                        </w:rPr>
                        <w:t>Rejection</w:t>
                      </w:r>
                    </w:p>
                  </w:txbxContent>
                </v:textbox>
              </v:shape>
            </w:pict>
          </mc:Fallback>
        </mc:AlternateContent>
      </w:r>
    </w:p>
    <w:p w14:paraId="43690E29" w14:textId="77777777" w:rsidR="007A1460" w:rsidRPr="002B0075" w:rsidRDefault="007A1460" w:rsidP="007A1460">
      <w:pPr>
        <w:jc w:val="both"/>
        <w:rPr>
          <w:rFonts w:ascii="Times New Roman" w:hAnsi="Times New Roman" w:cs="Times New Roman"/>
          <w:color w:val="000000" w:themeColor="text1"/>
          <w:sz w:val="20"/>
          <w:szCs w:val="20"/>
        </w:rPr>
      </w:pPr>
    </w:p>
    <w:tbl>
      <w:tblPr>
        <w:tblStyle w:val="2"/>
        <w:tblpPr w:leftFromText="180" w:rightFromText="180" w:horzAnchor="margin" w:tblpXSpec="center" w:tblpY="628"/>
        <w:tblW w:w="11056" w:type="dxa"/>
        <w:tblLook w:val="04A0" w:firstRow="1" w:lastRow="0" w:firstColumn="1" w:lastColumn="0" w:noHBand="0" w:noVBand="1"/>
      </w:tblPr>
      <w:tblGrid>
        <w:gridCol w:w="2409"/>
        <w:gridCol w:w="4253"/>
        <w:gridCol w:w="4394"/>
      </w:tblGrid>
      <w:tr w:rsidR="002B0075" w:rsidRPr="002B0075" w14:paraId="0508DB8D" w14:textId="77777777" w:rsidTr="002F7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30510BF8" w14:textId="77777777" w:rsidR="007A1460" w:rsidRPr="002B0075" w:rsidRDefault="007A1460" w:rsidP="002F725B">
            <w:pPr>
              <w:ind w:firstLine="320"/>
              <w:jc w:val="both"/>
              <w:rPr>
                <w:rFonts w:ascii="Times New Roman" w:hAnsi="Times New Roman" w:cs="Times New Roman"/>
                <w:b w:val="0"/>
                <w:bCs w:val="0"/>
                <w:color w:val="000000" w:themeColor="text1"/>
                <w:sz w:val="16"/>
                <w:szCs w:val="16"/>
              </w:rPr>
            </w:pPr>
            <w:r w:rsidRPr="002B0075">
              <w:rPr>
                <w:rFonts w:ascii="Times New Roman" w:hAnsi="Times New Roman" w:cs="Times New Roman" w:hint="eastAsia"/>
                <w:b w:val="0"/>
                <w:bCs w:val="0"/>
                <w:color w:val="000000" w:themeColor="text1"/>
                <w:sz w:val="16"/>
                <w:szCs w:val="16"/>
              </w:rPr>
              <w:t xml:space="preserve"> </w:t>
            </w:r>
            <w:r w:rsidRPr="002B0075">
              <w:rPr>
                <w:rFonts w:ascii="Times New Roman" w:hAnsi="Times New Roman" w:cs="Times New Roman"/>
                <w:b w:val="0"/>
                <w:bCs w:val="0"/>
                <w:color w:val="000000" w:themeColor="text1"/>
                <w:sz w:val="16"/>
                <w:szCs w:val="16"/>
              </w:rPr>
              <w:t xml:space="preserve">  Degree of effective diffusion </w:t>
            </w:r>
          </w:p>
        </w:tc>
        <w:tc>
          <w:tcPr>
            <w:tcW w:w="4253" w:type="dxa"/>
          </w:tcPr>
          <w:p w14:paraId="3044F11A" w14:textId="77777777" w:rsidR="007A1460" w:rsidRPr="002B0075" w:rsidRDefault="007A1460" w:rsidP="002F725B">
            <w:pPr>
              <w:ind w:firstLine="3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6"/>
                <w:szCs w:val="16"/>
              </w:rPr>
            </w:pPr>
            <w:r w:rsidRPr="002B0075">
              <w:rPr>
                <w:rFonts w:ascii="Times New Roman" w:hAnsi="Times New Roman" w:cs="Times New Roman"/>
                <w:b w:val="0"/>
                <w:bCs w:val="0"/>
                <w:color w:val="000000" w:themeColor="text1"/>
                <w:sz w:val="16"/>
                <w:szCs w:val="16"/>
              </w:rPr>
              <w:t>Indicator of effectiveness</w:t>
            </w:r>
          </w:p>
        </w:tc>
        <w:tc>
          <w:tcPr>
            <w:tcW w:w="4394" w:type="dxa"/>
          </w:tcPr>
          <w:p w14:paraId="5FE23B46" w14:textId="77777777" w:rsidR="007A1460" w:rsidRPr="002B0075" w:rsidRDefault="007A1460" w:rsidP="002F725B">
            <w:pPr>
              <w:ind w:firstLine="3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6"/>
                <w:szCs w:val="16"/>
              </w:rPr>
            </w:pPr>
            <w:r w:rsidRPr="002B0075">
              <w:rPr>
                <w:rFonts w:ascii="Times New Roman" w:hAnsi="Times New Roman" w:cs="Times New Roman"/>
                <w:b w:val="0"/>
                <w:bCs w:val="0"/>
                <w:color w:val="000000" w:themeColor="text1"/>
                <w:sz w:val="16"/>
                <w:szCs w:val="16"/>
              </w:rPr>
              <w:t>Source of information</w:t>
            </w:r>
          </w:p>
        </w:tc>
      </w:tr>
      <w:tr w:rsidR="002B0075" w:rsidRPr="002B0075" w14:paraId="1943014C" w14:textId="77777777" w:rsidTr="002F7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3FDB7203" w14:textId="77777777" w:rsidR="007A1460" w:rsidRPr="002B0075" w:rsidRDefault="007A1460" w:rsidP="002F725B">
            <w:pPr>
              <w:pStyle w:val="aa"/>
              <w:widowControl/>
              <w:ind w:left="360" w:firstLineChars="0" w:firstLine="0"/>
              <w:jc w:val="both"/>
              <w:rPr>
                <w:rFonts w:cs="Times New Roman"/>
                <w:b w:val="0"/>
                <w:bCs w:val="0"/>
                <w:color w:val="000000" w:themeColor="text1"/>
                <w:sz w:val="16"/>
                <w:szCs w:val="16"/>
                <w:lang w:val="en-US"/>
              </w:rPr>
            </w:pPr>
            <w:r w:rsidRPr="002B0075">
              <w:rPr>
                <w:rFonts w:cs="Times New Roman"/>
                <w:color w:val="000000" w:themeColor="text1"/>
                <w:sz w:val="16"/>
                <w:szCs w:val="16"/>
                <w:lang w:val="en-US"/>
              </w:rPr>
              <w:t xml:space="preserve">Stage 1: </w:t>
            </w:r>
            <w:r w:rsidRPr="002B0075">
              <w:rPr>
                <w:rFonts w:cs="Times New Roman" w:hint="eastAsia"/>
                <w:b w:val="0"/>
                <w:bCs w:val="0"/>
                <w:color w:val="000000" w:themeColor="text1"/>
                <w:sz w:val="16"/>
                <w:szCs w:val="16"/>
                <w:lang w:val="en-US"/>
              </w:rPr>
              <w:t>D</w:t>
            </w:r>
            <w:r w:rsidRPr="002B0075">
              <w:rPr>
                <w:rFonts w:cs="Times New Roman"/>
                <w:b w:val="0"/>
                <w:bCs w:val="0"/>
                <w:color w:val="000000" w:themeColor="text1"/>
                <w:sz w:val="16"/>
                <w:szCs w:val="16"/>
                <w:lang w:val="en-US"/>
              </w:rPr>
              <w:t>iffusion items translated into the recipient’s domestic discursive frames</w:t>
            </w:r>
          </w:p>
        </w:tc>
        <w:tc>
          <w:tcPr>
            <w:tcW w:w="4253" w:type="dxa"/>
          </w:tcPr>
          <w:p w14:paraId="60B1A2FF" w14:textId="77777777" w:rsidR="007A1460" w:rsidRPr="002B0075" w:rsidRDefault="007A1460" w:rsidP="007A1460">
            <w:pPr>
              <w:pStyle w:val="aa"/>
              <w:numPr>
                <w:ilvl w:val="0"/>
                <w:numId w:val="16"/>
              </w:numPr>
              <w:ind w:firstLineChars="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6"/>
                <w:szCs w:val="16"/>
              </w:rPr>
            </w:pPr>
            <w:r w:rsidRPr="002B0075">
              <w:rPr>
                <w:rFonts w:cs="Times New Roman"/>
                <w:color w:val="000000" w:themeColor="text1"/>
                <w:sz w:val="16"/>
                <w:szCs w:val="16"/>
              </w:rPr>
              <w:t>The EU’s policies and initiatives have received positive responses and feedbacks from ASEAN stakeholders.</w:t>
            </w:r>
          </w:p>
          <w:p w14:paraId="19C6FC89" w14:textId="77777777" w:rsidR="007A1460" w:rsidRPr="002B0075" w:rsidRDefault="007A1460" w:rsidP="007A1460">
            <w:pPr>
              <w:pStyle w:val="aa"/>
              <w:numPr>
                <w:ilvl w:val="0"/>
                <w:numId w:val="16"/>
              </w:numPr>
              <w:ind w:firstLineChars="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6"/>
                <w:szCs w:val="16"/>
              </w:rPr>
            </w:pPr>
            <w:r w:rsidRPr="002B0075">
              <w:rPr>
                <w:rFonts w:cs="Times New Roman"/>
                <w:color w:val="000000" w:themeColor="text1"/>
                <w:sz w:val="16"/>
                <w:szCs w:val="16"/>
                <w:lang w:val="en-US"/>
              </w:rPr>
              <w:t>The EU has influenced the construction of policy problems or policy agendas in a given issue area in ASEAN</w:t>
            </w:r>
          </w:p>
          <w:p w14:paraId="01D2DCD4" w14:textId="77777777" w:rsidR="007A1460" w:rsidRPr="002B0075" w:rsidRDefault="007A1460" w:rsidP="007A1460">
            <w:pPr>
              <w:pStyle w:val="aa"/>
              <w:numPr>
                <w:ilvl w:val="0"/>
                <w:numId w:val="16"/>
              </w:numPr>
              <w:ind w:firstLineChars="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6"/>
                <w:szCs w:val="16"/>
              </w:rPr>
            </w:pPr>
            <w:r w:rsidRPr="002B0075">
              <w:rPr>
                <w:rFonts w:cs="Times New Roman"/>
                <w:color w:val="000000" w:themeColor="text1"/>
                <w:sz w:val="16"/>
                <w:szCs w:val="16"/>
                <w:lang w:val="en-US"/>
              </w:rPr>
              <w:t>The EU demonstrably changed the opinions of ASEAN stakeholders in internal debates concerning a given issue area</w:t>
            </w:r>
          </w:p>
        </w:tc>
        <w:tc>
          <w:tcPr>
            <w:tcW w:w="4394" w:type="dxa"/>
          </w:tcPr>
          <w:p w14:paraId="116E6851"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ASEAN official documents</w:t>
            </w:r>
          </w:p>
          <w:p w14:paraId="53A4A0DA"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Evaluation reports of EU-ASEAN cooperation programmes</w:t>
            </w:r>
          </w:p>
          <w:p w14:paraId="6DBBA93A"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Media articles</w:t>
            </w:r>
          </w:p>
          <w:p w14:paraId="535814B3"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Interview data</w:t>
            </w:r>
          </w:p>
          <w:p w14:paraId="751EEFF7"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hint="eastAsia"/>
                <w:color w:val="000000" w:themeColor="text1"/>
                <w:sz w:val="16"/>
                <w:szCs w:val="16"/>
              </w:rPr>
              <w:t>S</w:t>
            </w:r>
            <w:r w:rsidRPr="002B0075">
              <w:rPr>
                <w:rFonts w:ascii="Times New Roman" w:hAnsi="Times New Roman" w:cs="Times New Roman"/>
                <w:color w:val="000000" w:themeColor="text1"/>
                <w:sz w:val="16"/>
                <w:szCs w:val="16"/>
              </w:rPr>
              <w:t>econdary sources</w:t>
            </w:r>
          </w:p>
          <w:p w14:paraId="3EE8C7DF"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p w14:paraId="03489AA5"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p w14:paraId="13615D3F"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r>
      <w:tr w:rsidR="002B0075" w:rsidRPr="002B0075" w14:paraId="6610A987" w14:textId="77777777" w:rsidTr="002F725B">
        <w:tc>
          <w:tcPr>
            <w:cnfStyle w:val="001000000000" w:firstRow="0" w:lastRow="0" w:firstColumn="1" w:lastColumn="0" w:oddVBand="0" w:evenVBand="0" w:oddHBand="0" w:evenHBand="0" w:firstRowFirstColumn="0" w:firstRowLastColumn="0" w:lastRowFirstColumn="0" w:lastRowLastColumn="0"/>
            <w:tcW w:w="2409" w:type="dxa"/>
          </w:tcPr>
          <w:p w14:paraId="3A958F0F" w14:textId="77777777" w:rsidR="007A1460" w:rsidRPr="002B0075" w:rsidRDefault="007A1460" w:rsidP="002F725B">
            <w:pPr>
              <w:pStyle w:val="aa"/>
              <w:widowControl/>
              <w:ind w:left="360" w:firstLineChars="0" w:firstLine="0"/>
              <w:jc w:val="both"/>
              <w:rPr>
                <w:rFonts w:cs="Times New Roman"/>
                <w:b w:val="0"/>
                <w:bCs w:val="0"/>
                <w:color w:val="000000" w:themeColor="text1"/>
                <w:sz w:val="16"/>
                <w:szCs w:val="16"/>
                <w:lang w:val="en-US"/>
              </w:rPr>
            </w:pPr>
            <w:r w:rsidRPr="002B0075">
              <w:rPr>
                <w:rFonts w:cs="Times New Roman"/>
                <w:color w:val="000000" w:themeColor="text1"/>
                <w:sz w:val="16"/>
                <w:szCs w:val="16"/>
                <w:lang w:val="en-US"/>
              </w:rPr>
              <w:t xml:space="preserve">Stage 2: </w:t>
            </w:r>
            <w:r w:rsidRPr="002B0075">
              <w:rPr>
                <w:rFonts w:cs="Times New Roman" w:hint="eastAsia"/>
                <w:b w:val="0"/>
                <w:bCs w:val="0"/>
                <w:color w:val="000000" w:themeColor="text1"/>
                <w:sz w:val="16"/>
                <w:szCs w:val="16"/>
                <w:lang w:val="en-US"/>
              </w:rPr>
              <w:t>D</w:t>
            </w:r>
            <w:r w:rsidRPr="002B0075">
              <w:rPr>
                <w:rFonts w:cs="Times New Roman"/>
                <w:b w:val="0"/>
                <w:bCs w:val="0"/>
                <w:color w:val="000000" w:themeColor="text1"/>
                <w:sz w:val="16"/>
                <w:szCs w:val="16"/>
                <w:lang w:val="en-US"/>
              </w:rPr>
              <w:t>iffusion items translated into law</w:t>
            </w:r>
          </w:p>
        </w:tc>
        <w:tc>
          <w:tcPr>
            <w:tcW w:w="4253" w:type="dxa"/>
          </w:tcPr>
          <w:p w14:paraId="169E131C" w14:textId="77777777" w:rsidR="007A1460" w:rsidRPr="002B0075" w:rsidRDefault="007A1460" w:rsidP="007A1460">
            <w:pPr>
              <w:pStyle w:val="aa"/>
              <w:widowControl/>
              <w:numPr>
                <w:ilvl w:val="0"/>
                <w:numId w:val="16"/>
              </w:numPr>
              <w:ind w:firstLineChars="0"/>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6"/>
                <w:szCs w:val="16"/>
                <w:lang w:val="en-US"/>
              </w:rPr>
            </w:pPr>
            <w:r w:rsidRPr="002B0075">
              <w:rPr>
                <w:rFonts w:cs="Times New Roman"/>
                <w:color w:val="000000" w:themeColor="text1"/>
                <w:sz w:val="16"/>
                <w:szCs w:val="16"/>
                <w:lang w:val="en-US"/>
              </w:rPr>
              <w:t>ASEAN’s adoption of international legal documents or the development of new domestic laws and regulations as a result of EU norm and policy diffusion</w:t>
            </w:r>
          </w:p>
        </w:tc>
        <w:tc>
          <w:tcPr>
            <w:tcW w:w="4394" w:type="dxa"/>
          </w:tcPr>
          <w:p w14:paraId="494FD8C9" w14:textId="77777777" w:rsidR="007A1460" w:rsidRPr="002B0075" w:rsidRDefault="007A1460" w:rsidP="002F725B">
            <w:pPr>
              <w:ind w:firstLine="3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ASEAN official documents</w:t>
            </w:r>
          </w:p>
          <w:p w14:paraId="173C7907" w14:textId="77777777" w:rsidR="007A1460" w:rsidRPr="002B0075" w:rsidRDefault="007A1460" w:rsidP="002F725B">
            <w:pPr>
              <w:ind w:firstLine="3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Evaluation reports of EU-ASEAN cooperation programmes</w:t>
            </w:r>
          </w:p>
          <w:p w14:paraId="05FBCB80" w14:textId="77777777" w:rsidR="007A1460" w:rsidRPr="002B0075" w:rsidRDefault="007A1460" w:rsidP="002F725B">
            <w:pPr>
              <w:ind w:firstLine="3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Media articles</w:t>
            </w:r>
          </w:p>
          <w:p w14:paraId="27BAABB1" w14:textId="77777777" w:rsidR="007A1460" w:rsidRPr="002B0075" w:rsidRDefault="007A1460" w:rsidP="002F725B">
            <w:pPr>
              <w:ind w:firstLine="3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Interview data</w:t>
            </w:r>
          </w:p>
          <w:p w14:paraId="3F597600" w14:textId="77777777" w:rsidR="007A1460" w:rsidRPr="002B0075" w:rsidRDefault="007A1460" w:rsidP="002F725B">
            <w:pPr>
              <w:ind w:firstLine="3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Secondary sources</w:t>
            </w:r>
          </w:p>
        </w:tc>
      </w:tr>
      <w:tr w:rsidR="002B0075" w:rsidRPr="002B0075" w14:paraId="56EF31DA" w14:textId="77777777" w:rsidTr="002F7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28447D7B" w14:textId="77777777" w:rsidR="007A1460" w:rsidRPr="002B0075" w:rsidRDefault="007A1460" w:rsidP="002F725B">
            <w:pPr>
              <w:pStyle w:val="aa"/>
              <w:widowControl/>
              <w:ind w:left="360" w:firstLineChars="0" w:firstLine="0"/>
              <w:jc w:val="both"/>
              <w:rPr>
                <w:rFonts w:cs="Times New Roman"/>
                <w:b w:val="0"/>
                <w:bCs w:val="0"/>
                <w:color w:val="000000" w:themeColor="text1"/>
                <w:sz w:val="16"/>
                <w:szCs w:val="16"/>
                <w:lang w:val="en-US"/>
              </w:rPr>
            </w:pPr>
            <w:r w:rsidRPr="002B0075">
              <w:rPr>
                <w:rFonts w:cs="Times New Roman"/>
                <w:color w:val="000000" w:themeColor="text1"/>
                <w:sz w:val="16"/>
                <w:szCs w:val="16"/>
                <w:lang w:val="en-US"/>
              </w:rPr>
              <w:t xml:space="preserve">Stage 3: </w:t>
            </w:r>
            <w:r w:rsidRPr="002B0075">
              <w:rPr>
                <w:rFonts w:cs="Times New Roman" w:hint="eastAsia"/>
                <w:b w:val="0"/>
                <w:bCs w:val="0"/>
                <w:color w:val="000000" w:themeColor="text1"/>
                <w:sz w:val="16"/>
                <w:szCs w:val="16"/>
                <w:lang w:val="en-US"/>
              </w:rPr>
              <w:t>D</w:t>
            </w:r>
            <w:r w:rsidRPr="002B0075">
              <w:rPr>
                <w:rFonts w:cs="Times New Roman"/>
                <w:b w:val="0"/>
                <w:bCs w:val="0"/>
                <w:color w:val="000000" w:themeColor="text1"/>
                <w:sz w:val="16"/>
                <w:szCs w:val="16"/>
                <w:lang w:val="en-US"/>
              </w:rPr>
              <w:t>iffusion items translated into implementation</w:t>
            </w:r>
          </w:p>
        </w:tc>
        <w:tc>
          <w:tcPr>
            <w:tcW w:w="4253" w:type="dxa"/>
          </w:tcPr>
          <w:p w14:paraId="668E9E90" w14:textId="77777777" w:rsidR="007A1460" w:rsidRPr="002B0075" w:rsidRDefault="007A1460" w:rsidP="007A1460">
            <w:pPr>
              <w:pStyle w:val="aa"/>
              <w:widowControl/>
              <w:numPr>
                <w:ilvl w:val="0"/>
                <w:numId w:val="16"/>
              </w:numPr>
              <w:ind w:firstLineChars="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6"/>
                <w:szCs w:val="16"/>
                <w:lang w:val="en-US"/>
              </w:rPr>
            </w:pPr>
            <w:r w:rsidRPr="002B0075">
              <w:rPr>
                <w:rFonts w:cs="Times New Roman"/>
                <w:color w:val="000000" w:themeColor="text1"/>
                <w:sz w:val="16"/>
                <w:szCs w:val="16"/>
                <w:lang w:val="en-US"/>
              </w:rPr>
              <w:t>New policy implementations or policy changes in ASEAN as a result of EU norm and policy diffusion</w:t>
            </w:r>
          </w:p>
          <w:p w14:paraId="0865F413" w14:textId="77777777" w:rsidR="007A1460" w:rsidRPr="002B0075" w:rsidRDefault="007A1460" w:rsidP="002F725B">
            <w:pPr>
              <w:pStyle w:val="aa"/>
              <w:widowControl/>
              <w:ind w:left="360" w:firstLineChars="0" w:firstLine="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6"/>
                <w:szCs w:val="16"/>
                <w:lang w:val="en-US"/>
              </w:rPr>
            </w:pPr>
          </w:p>
        </w:tc>
        <w:tc>
          <w:tcPr>
            <w:tcW w:w="4394" w:type="dxa"/>
          </w:tcPr>
          <w:p w14:paraId="4A5136BF"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ASEAN official documents</w:t>
            </w:r>
          </w:p>
          <w:p w14:paraId="28AE1FEB"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Evaluation reports of EU-ASEAN cooperation programmes</w:t>
            </w:r>
          </w:p>
          <w:p w14:paraId="3B0B4EBE"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Media articles</w:t>
            </w:r>
          </w:p>
          <w:p w14:paraId="3BD896BB"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Interview data</w:t>
            </w:r>
          </w:p>
          <w:p w14:paraId="7F1B5740" w14:textId="77777777" w:rsidR="007A1460" w:rsidRPr="002B0075" w:rsidRDefault="007A1460" w:rsidP="002F725B">
            <w:pPr>
              <w:ind w:firstLine="3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2B0075">
              <w:rPr>
                <w:rFonts w:ascii="Times New Roman" w:hAnsi="Times New Roman" w:cs="Times New Roman"/>
                <w:color w:val="000000" w:themeColor="text1"/>
                <w:sz w:val="16"/>
                <w:szCs w:val="16"/>
              </w:rPr>
              <w:t>Secondary sources</w:t>
            </w:r>
          </w:p>
        </w:tc>
      </w:tr>
    </w:tbl>
    <w:p w14:paraId="31585EEC" w14:textId="77777777" w:rsidR="007A1460" w:rsidRPr="002B0075" w:rsidRDefault="007A1460" w:rsidP="007A1460">
      <w:pPr>
        <w:rPr>
          <w:rFonts w:ascii="Times New Roman" w:hAnsi="Times New Roman" w:cs="Times New Roman"/>
          <w:color w:val="000000" w:themeColor="text1"/>
          <w:sz w:val="20"/>
          <w:szCs w:val="20"/>
        </w:rPr>
      </w:pPr>
      <w:r w:rsidRPr="002B0075">
        <w:rPr>
          <w:rFonts w:ascii="Times New Roman" w:hAnsi="Times New Roman" w:cs="Times New Roman" w:hint="eastAsia"/>
          <w:noProof/>
          <w:color w:val="000000" w:themeColor="text1"/>
          <w:sz w:val="20"/>
          <w:szCs w:val="20"/>
        </w:rPr>
        <mc:AlternateContent>
          <mc:Choice Requires="wps">
            <w:drawing>
              <wp:anchor distT="0" distB="0" distL="114300" distR="114300" simplePos="0" relativeHeight="251660288" behindDoc="0" locked="0" layoutInCell="1" allowOverlap="1" wp14:anchorId="38E4FA92" wp14:editId="436D7859">
                <wp:simplePos x="0" y="0"/>
                <wp:positionH relativeFrom="column">
                  <wp:posOffset>-200709</wp:posOffset>
                </wp:positionH>
                <wp:positionV relativeFrom="paragraph">
                  <wp:posOffset>3529965</wp:posOffset>
                </wp:positionV>
                <wp:extent cx="1043354" cy="386861"/>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3354" cy="386861"/>
                        </a:xfrm>
                        <a:prstGeom prst="rect">
                          <a:avLst/>
                        </a:prstGeom>
                        <a:solidFill>
                          <a:schemeClr val="lt1"/>
                        </a:solidFill>
                        <a:ln w="6350">
                          <a:noFill/>
                        </a:ln>
                      </wps:spPr>
                      <wps:txbx>
                        <w:txbxContent>
                          <w:p w14:paraId="4E116C5E" w14:textId="77777777" w:rsidR="002F725B" w:rsidRPr="008E08FA" w:rsidRDefault="002F725B" w:rsidP="007A1460">
                            <w:pPr>
                              <w:rPr>
                                <w:rFonts w:ascii="Times New Roman" w:hAnsi="Times New Roman" w:cs="Times New Roman"/>
                                <w:sz w:val="22"/>
                                <w:szCs w:val="22"/>
                              </w:rPr>
                            </w:pPr>
                            <w:r>
                              <w:rPr>
                                <w:rFonts w:ascii="Times New Roman" w:hAnsi="Times New Roman" w:cs="Times New Roman"/>
                                <w:sz w:val="22"/>
                                <w:szCs w:val="22"/>
                              </w:rPr>
                              <w:t>Full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FA92" id="文本框 5" o:spid="_x0000_s1027" type="#_x0000_t202" style="position:absolute;margin-left:-15.8pt;margin-top:277.95pt;width:82.15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sqUwIAAIEEAAAOAAAAZHJzL2Uyb0RvYy54bWysVM2O0zAQviPxDpbvNOkvJWq6Kl0VIa12&#10;V+qiPbuO00RyPMZ2m5QHgDfYExfuPFefg7HTdMvCCXFxxp7xN57vm8nsqqkk2QtjS1Ap7fdiSoTi&#10;kJVqm9JPD6s3U0qsYypjEpRI6UFYejV//WpW60QMoACZCUMQRNmk1iktnNNJFFleiIrZHmih0JmD&#10;qZjDrdlGmWE1olcyGsTxJKrBZNoAF9bi6XXrpPOAn+eCu7s8t8IRmVJ8mwurCevGr9F8xpKtYboo&#10;+ekZ7B9eUbFSYdIz1DVzjOxM+QdUVXIDFnLX41BFkOclF6EGrKYfv6hmXTAtQi1IjtVnmuz/g+W3&#10;+3tDyiylY0oUq1Ci49O34/efxx9fydjTU2ubYNRaY5xr3kODMnfnFg991U1uKv/Fegj6kejDmVzR&#10;OML9pXg0HI5HlHD0DaeT6STARM+3tbHug4CKeCOlBsULnLL9jXX4EgztQnwyC7LMVqWUYeMbRiyl&#10;IXuGUkvXgf8WJRWpUzoZjuMArMBfb5GlwgS+1rYmb7lm0wRqzvVuIDsgDQbaPrKar0p86w2z7p4Z&#10;bBysHIfB3eGSS8BccLIoKcB8+du5j0c90UtJjY2YUvt5x4ygRH5UqPS7/mjkOzdsRuO3A9yYS8/m&#10;0qN21RKQgD6OnebB9PFOdmZuoHrEmVn4rOhiimPulLrOXLp2PHDmuFgsQhD2qmbuRq0199CecK/E&#10;Q/PIjD7J5VDoW+haliUvVGtj/U0Fi52DvAySep5bVk/0Y58HpU8z6Qfpch+inv8c818AAAD//wMA&#10;UEsDBBQABgAIAAAAIQBK05QA4wAAAAsBAAAPAAAAZHJzL2Rvd25yZXYueG1sTI/LTsMwEEX3SPyD&#10;NUhsUOukUdISMqkQ4iGxo+Ehdm48JBHxOIrdNPw97gqWo3t075liO5teTDS6zjJCvIxAENdWd9wg&#10;vFYPiw0I5xVr1VsmhB9ysC3PzwqVa3vkF5p2vhGhhF2uEFrvh1xKV7dklFvagThkX3Y0yodzbKQe&#10;1TGUm16uoiiTRnUcFlo10F1L9ffuYBA+r5qPZzc/vh2TNBnun6Zq/a4rxMuL+fYGhKfZ/8Fw0g/q&#10;UAanvT2wdqJHWCRxFlCENE2vQZyIZLUGsUfI4mwDsizk/x/KXwAAAP//AwBQSwECLQAUAAYACAAA&#10;ACEAtoM4kv4AAADhAQAAEwAAAAAAAAAAAAAAAAAAAAAAW0NvbnRlbnRfVHlwZXNdLnhtbFBLAQIt&#10;ABQABgAIAAAAIQA4/SH/1gAAAJQBAAALAAAAAAAAAAAAAAAAAC8BAABfcmVscy8ucmVsc1BLAQIt&#10;ABQABgAIAAAAIQCMQYsqUwIAAIEEAAAOAAAAAAAAAAAAAAAAAC4CAABkcnMvZTJvRG9jLnhtbFBL&#10;AQItABQABgAIAAAAIQBK05QA4wAAAAsBAAAPAAAAAAAAAAAAAAAAAK0EAABkcnMvZG93bnJldi54&#10;bWxQSwUGAAAAAAQABADzAAAAvQUAAAAA&#10;" fillcolor="white [3201]" stroked="f" strokeweight=".5pt">
                <v:textbox>
                  <w:txbxContent>
                    <w:p w14:paraId="4E116C5E" w14:textId="77777777" w:rsidR="002F725B" w:rsidRPr="008E08FA" w:rsidRDefault="002F725B" w:rsidP="007A1460">
                      <w:pPr>
                        <w:rPr>
                          <w:rFonts w:ascii="Times New Roman" w:hAnsi="Times New Roman" w:cs="Times New Roman"/>
                          <w:sz w:val="22"/>
                          <w:szCs w:val="22"/>
                        </w:rPr>
                      </w:pPr>
                      <w:r>
                        <w:rPr>
                          <w:rFonts w:ascii="Times New Roman" w:hAnsi="Times New Roman" w:cs="Times New Roman"/>
                          <w:sz w:val="22"/>
                          <w:szCs w:val="22"/>
                        </w:rPr>
                        <w:t>Full adoption</w:t>
                      </w:r>
                    </w:p>
                  </w:txbxContent>
                </v:textbox>
              </v:shape>
            </w:pict>
          </mc:Fallback>
        </mc:AlternateContent>
      </w:r>
      <w:r w:rsidRPr="002B0075">
        <w:rPr>
          <w:rFonts w:ascii="Times New Roman" w:hAnsi="Times New Roman" w:cs="Times New Roman" w:hint="eastAsia"/>
          <w:noProof/>
          <w:color w:val="000000" w:themeColor="text1"/>
          <w:sz w:val="20"/>
          <w:szCs w:val="20"/>
        </w:rPr>
        <mc:AlternateContent>
          <mc:Choice Requires="wps">
            <w:drawing>
              <wp:anchor distT="0" distB="0" distL="114300" distR="114300" simplePos="0" relativeHeight="251663360" behindDoc="0" locked="0" layoutInCell="1" allowOverlap="1" wp14:anchorId="59AEC8D8" wp14:editId="215BF07F">
                <wp:simplePos x="0" y="0"/>
                <wp:positionH relativeFrom="column">
                  <wp:posOffset>283210</wp:posOffset>
                </wp:positionH>
                <wp:positionV relativeFrom="paragraph">
                  <wp:posOffset>2064434</wp:posOffset>
                </wp:positionV>
                <wp:extent cx="45719" cy="1383470"/>
                <wp:effectExtent l="12700" t="0" r="31115" b="26670"/>
                <wp:wrapNone/>
                <wp:docPr id="8" name="下箭头 8"/>
                <wp:cNvGraphicFramePr/>
                <a:graphic xmlns:a="http://schemas.openxmlformats.org/drawingml/2006/main">
                  <a:graphicData uri="http://schemas.microsoft.com/office/word/2010/wordprocessingShape">
                    <wps:wsp>
                      <wps:cNvSpPr/>
                      <wps:spPr>
                        <a:xfrm>
                          <a:off x="0" y="0"/>
                          <a:ext cx="45719" cy="1383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ED54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8" o:spid="_x0000_s1026" type="#_x0000_t67" style="position:absolute;left:0;text-align:left;margin-left:22.3pt;margin-top:162.55pt;width:3.6pt;height:108.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YxhAIAADEFAAAOAAAAZHJzL2Uyb0RvYy54bWysVM1u1DAQviPxDpbvNJvtlrarZqtVqyKk&#10;ql3Rop5dx24iHI8Zeze7vAKvwRVOHHggEK/B2MmmpZQLIgfH4/n//I2PjteNYSuFvgZb8HxnxJmy&#10;Esra3hX87fXZiwPOfBC2FAasKvhGeX48e/7sqHVTNYYKTKmQURDrp60reBWCm2aZl5VqhN8Bpywp&#10;NWAjAol4l5UoWoremGw8Gr3MWsDSIUjlPZ2edko+S/G1VjJcau1VYKbgVFtIK6b1Nq7Z7EhM71C4&#10;qpZ9GeIfqmhEbSnpEOpUBMGWWP8RqqklggcddiQ0GWhdS5V6oG7y0aNurirhVOqFwPFugMn/v7Dy&#10;YrVAVpcFp4uyoqEr+v7t488vn398+soOIjyt81OyunIL7CVP29jrWmMT/9QFWydINwOkah2YpMPJ&#10;3n5+yJkkTb57sDvZT5Bn984OfXiloGFxU/ASWjtHhDahKVbnPlBWst/akRAr6mpIu7AxKpZh7Bul&#10;qRXKOk7eiUTqxCBbCbr+8l3eHVeiVN3R3oi+2CQlGKyTlILFqLo2ZojbB4jk/D1uF6K3jW4qcW9w&#10;HP2toM5xsE4ZwYbBsakt4FPOJuR94bqz3wLTwRGRuYVyQ5eL0LHeO3lWE8jnwoeFQKI5DQSNbrik&#10;RRtoCw79jrMK8MNT59Ge2Edazloam4L790uBijPz2hIvD/PJJM5ZEujyxyTgQ83tQ41dNidAV5PT&#10;I+Fk2kb7YLZbjdDc0ITPY1ZSCSspd8FlwK1wErpxpjdCqvk8mdFsORHO7ZWTMXhENfLnen0j0PVM&#10;C0TRC9iOmJg+4lpnGz0tzJcBdJ2IeI9rjzfNZSJM/4bEwX8oJ6v7l272CwAA//8DAFBLAwQUAAYA&#10;CAAAACEA5jgQTuEAAAAOAQAADwAAAGRycy9kb3ducmV2LnhtbEyPQU/DMAyF70j8h8hI3FjSrZtQ&#10;13RCbJy4wKCIY9aYtiJxqibbyr/HnNjFluXn5/eVm8k7ccIx9oE0ZDMFAqkJtqdWw/vb0909iJgM&#10;WeMCoYYfjLCprq9KU9hwplc87VMr2IRiYTR0KQ2FlLHp0Js4CwMS777C6E3icWylHc2Zzb2Tc6VW&#10;0pue+ENnBnzssPneH72GT9xO9VhTesb08rFDmamdq7W+vZm2ay4PaxAJp/R/AX8MnB8qDnYIR7JR&#10;OA15vmKlhsV8mYFgwTJjngP3fKFAVqW8xKh+AQAA//8DAFBLAQItABQABgAIAAAAIQC2gziS/gAA&#10;AOEBAAATAAAAAAAAAAAAAAAAAAAAAABbQ29udGVudF9UeXBlc10ueG1sUEsBAi0AFAAGAAgAAAAh&#10;ADj9If/WAAAAlAEAAAsAAAAAAAAAAAAAAAAALwEAAF9yZWxzLy5yZWxzUEsBAi0AFAAGAAgAAAAh&#10;ACmGtjGEAgAAMQUAAA4AAAAAAAAAAAAAAAAALgIAAGRycy9lMm9Eb2MueG1sUEsBAi0AFAAGAAgA&#10;AAAhAOY4EE7hAAAADgEAAA8AAAAAAAAAAAAAAAAA3gQAAGRycy9kb3ducmV2LnhtbFBLBQYAAAAA&#10;BAAEAPMAAADsBQAAAAA=&#10;" adj="21243" fillcolor="black [3200]" strokecolor="black [1600]" strokeweight="1pt"/>
            </w:pict>
          </mc:Fallback>
        </mc:AlternateContent>
      </w:r>
      <w:r w:rsidRPr="002B0075">
        <w:rPr>
          <w:rFonts w:ascii="Times New Roman" w:hAnsi="Times New Roman" w:cs="Times New Roman" w:hint="eastAsia"/>
          <w:noProof/>
          <w:color w:val="000000" w:themeColor="text1"/>
          <w:sz w:val="20"/>
          <w:szCs w:val="20"/>
        </w:rPr>
        <mc:AlternateContent>
          <mc:Choice Requires="wps">
            <w:drawing>
              <wp:anchor distT="0" distB="0" distL="114300" distR="114300" simplePos="0" relativeHeight="251661312" behindDoc="0" locked="0" layoutInCell="1" allowOverlap="1" wp14:anchorId="5F25EC6F" wp14:editId="4CEC5649">
                <wp:simplePos x="0" y="0"/>
                <wp:positionH relativeFrom="column">
                  <wp:posOffset>-419735</wp:posOffset>
                </wp:positionH>
                <wp:positionV relativeFrom="paragraph">
                  <wp:posOffset>1606257</wp:posOffset>
                </wp:positionV>
                <wp:extent cx="1266092" cy="562708"/>
                <wp:effectExtent l="0" t="0" r="4445" b="0"/>
                <wp:wrapNone/>
                <wp:docPr id="4" name="文本框 4"/>
                <wp:cNvGraphicFramePr/>
                <a:graphic xmlns:a="http://schemas.openxmlformats.org/drawingml/2006/main">
                  <a:graphicData uri="http://schemas.microsoft.com/office/word/2010/wordprocessingShape">
                    <wps:wsp>
                      <wps:cNvSpPr txBox="1"/>
                      <wps:spPr>
                        <a:xfrm>
                          <a:off x="0" y="0"/>
                          <a:ext cx="1266092" cy="562708"/>
                        </a:xfrm>
                        <a:prstGeom prst="rect">
                          <a:avLst/>
                        </a:prstGeom>
                        <a:solidFill>
                          <a:schemeClr val="lt1"/>
                        </a:solidFill>
                        <a:ln w="6350">
                          <a:noFill/>
                        </a:ln>
                      </wps:spPr>
                      <wps:txbx>
                        <w:txbxContent>
                          <w:p w14:paraId="0D77374E" w14:textId="77777777" w:rsidR="002F725B" w:rsidRPr="008E08FA" w:rsidRDefault="002F725B" w:rsidP="007A1460">
                            <w:pPr>
                              <w:ind w:firstLineChars="100" w:firstLine="220"/>
                              <w:rPr>
                                <w:rFonts w:ascii="Times New Roman" w:hAnsi="Times New Roman" w:cs="Times New Roman"/>
                                <w:sz w:val="22"/>
                                <w:szCs w:val="22"/>
                              </w:rPr>
                            </w:pPr>
                            <w:r>
                              <w:rPr>
                                <w:rFonts w:ascii="Times New Roman" w:hAnsi="Times New Roman" w:cs="Times New Roman"/>
                                <w:sz w:val="22"/>
                                <w:szCs w:val="22"/>
                              </w:rPr>
                              <w:t>Partial adoption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EC6F" id="文本框 4" o:spid="_x0000_s1028" type="#_x0000_t202" style="position:absolute;margin-left:-33.05pt;margin-top:126.5pt;width:99.7pt;height:4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9qVQIAAIEEAAAOAAAAZHJzL2Uyb0RvYy54bWysVMFu2zAMvQ/YPwi6L3a8JG2NOEWWIsOA&#10;oi2QDj0rshwbkEVNUmJnH7D9wU677L7vyneMkuM063YadpEpkXoi3yM9vW5rSXbC2ApURoeDmBKh&#10;OOSV2mT04+PyzSUl1jGVMwlKZHQvLL2evX41bXQqEihB5sIQBFE2bXRGS+d0GkWWl6JmdgBaKHQW&#10;YGrmcGs2UW5Yg+i1jJI4nkQNmFwb4MJaPL3pnHQW8ItCcHdfFFY4IjOKubmwmrCu/RrNpizdGKbL&#10;ih/TYP+QRc0qhY+eoG6YY2Rrqj+g6oobsFC4AYc6gqKouAg1YDXD+EU1q5JpEWpBcqw+0WT/Hyy/&#10;2z0YUuUZHVGiWI0SHb59PXz/efjxhYw8PY22KUatNMa59h20KHN/bvHQV90WpvZfrIegH4nen8gV&#10;rSPcX0omk/gqoYSjbzxJLuJLDxM939bGuvcCauKNjBoUL3DKdrfWdaF9iH/MgqzyZSVl2PiGEQtp&#10;yI6h1NKFHBH8tyipSJPRydtxHIAV+OsdslSYi6+1q8lbrl23gZqkr3cN+R5pMND1kdV8WWGut8y6&#10;B2awcbByHAZ3j0shAd+Co0VJCebz3859POqJXkoabMSM2k9bZgQl8oNCpa+Go5Hv3LAZjS8S3Jhz&#10;z/rco7b1ApCAIY6d5sH08U72ZmGgfsKZmftX0cUUx7cz6npz4brxwJnjYj4PQdirmrlbtdLcQ3vC&#10;vRKP7RMz+iiXQ6HvoG9Zlr5QrYv1NxXMtw6KKkjqee5YPdKPfR6a4jiTfpDO9yHq+c8x+wUAAP//&#10;AwBQSwMEFAAGAAgAAAAhAGzaCUHiAAAACwEAAA8AAABkcnMvZG93bnJldi54bWxMj8tOwzAQRfdI&#10;/IM1SGxQ67SmAYVMKoR4SOxoeIidGw9JRDyOYjcJf4+7guVoju49N9/OthMjDb51jLBaJiCIK2da&#10;rhFey4fFNQgfNBvdOSaEH/KwLU5Pcp0ZN/ELjbtQixjCPtMITQh9JqWvGrLaL11PHH9fbrA6xHOo&#10;pRn0FMNtJ9dJkkqrW44Nje7prqHqe3ewCJ8X9ceznx/fJrVR/f3TWF69mxLx/Gy+vQERaA5/MBz1&#10;ozoU0WnvDmy86BAWabqKKMJ6o+KoI6GUArFHUJerFGSRy/8bil8AAAD//wMAUEsBAi0AFAAGAAgA&#10;AAAhALaDOJL+AAAA4QEAABMAAAAAAAAAAAAAAAAAAAAAAFtDb250ZW50X1R5cGVzXS54bWxQSwEC&#10;LQAUAAYACAAAACEAOP0h/9YAAACUAQAACwAAAAAAAAAAAAAAAAAvAQAAX3JlbHMvLnJlbHNQSwEC&#10;LQAUAAYACAAAACEA4kaPalUCAACBBAAADgAAAAAAAAAAAAAAAAAuAgAAZHJzL2Uyb0RvYy54bWxQ&#10;SwECLQAUAAYACAAAACEAbNoJQeIAAAALAQAADwAAAAAAAAAAAAAAAACvBAAAZHJzL2Rvd25yZXYu&#10;eG1sUEsFBgAAAAAEAAQA8wAAAL4FAAAAAA==&#10;" fillcolor="white [3201]" stroked="f" strokeweight=".5pt">
                <v:textbox>
                  <w:txbxContent>
                    <w:p w14:paraId="0D77374E" w14:textId="77777777" w:rsidR="002F725B" w:rsidRPr="008E08FA" w:rsidRDefault="002F725B" w:rsidP="007A1460">
                      <w:pPr>
                        <w:ind w:firstLineChars="100" w:firstLine="220"/>
                        <w:rPr>
                          <w:rFonts w:ascii="Times New Roman" w:hAnsi="Times New Roman" w:cs="Times New Roman"/>
                          <w:sz w:val="22"/>
                          <w:szCs w:val="22"/>
                        </w:rPr>
                      </w:pPr>
                      <w:r>
                        <w:rPr>
                          <w:rFonts w:ascii="Times New Roman" w:hAnsi="Times New Roman" w:cs="Times New Roman"/>
                          <w:sz w:val="22"/>
                          <w:szCs w:val="22"/>
                        </w:rPr>
                        <w:t>Partial adoption</w:t>
                      </w:r>
                    </w:p>
                  </w:txbxContent>
                </v:textbox>
              </v:shape>
            </w:pict>
          </mc:Fallback>
        </mc:AlternateContent>
      </w:r>
      <w:r w:rsidRPr="002B0075">
        <w:rPr>
          <w:rFonts w:ascii="Times New Roman" w:hAnsi="Times New Roman" w:cs="Times New Roman" w:hint="eastAsia"/>
          <w:noProof/>
          <w:color w:val="000000" w:themeColor="text1"/>
          <w:sz w:val="20"/>
          <w:szCs w:val="20"/>
        </w:rPr>
        <mc:AlternateContent>
          <mc:Choice Requires="wps">
            <w:drawing>
              <wp:anchor distT="0" distB="0" distL="114300" distR="114300" simplePos="0" relativeHeight="251662336" behindDoc="0" locked="0" layoutInCell="1" allowOverlap="1" wp14:anchorId="21B700F1" wp14:editId="04ABEFE7">
                <wp:simplePos x="0" y="0"/>
                <wp:positionH relativeFrom="column">
                  <wp:posOffset>283308</wp:posOffset>
                </wp:positionH>
                <wp:positionV relativeFrom="paragraph">
                  <wp:posOffset>224107</wp:posOffset>
                </wp:positionV>
                <wp:extent cx="45085" cy="1383030"/>
                <wp:effectExtent l="12700" t="0" r="31115" b="26670"/>
                <wp:wrapNone/>
                <wp:docPr id="7" name="下箭头 7"/>
                <wp:cNvGraphicFramePr/>
                <a:graphic xmlns:a="http://schemas.openxmlformats.org/drawingml/2006/main">
                  <a:graphicData uri="http://schemas.microsoft.com/office/word/2010/wordprocessingShape">
                    <wps:wsp>
                      <wps:cNvSpPr/>
                      <wps:spPr>
                        <a:xfrm>
                          <a:off x="0" y="0"/>
                          <a:ext cx="45085" cy="13830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549876" id="下箭头 7" o:spid="_x0000_s1026" type="#_x0000_t67" style="position:absolute;left:0;text-align:left;margin-left:22.3pt;margin-top:17.65pt;width:3.55pt;height:108.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ZqhQIAADEFAAAOAAAAZHJzL2Uyb0RvYy54bWysVM1u1DAQviPxDpbvNMl2l5ZVs9WqVRFS&#10;1Va0qGfXsbsRjseMvZtdXoHX6BVOHHggEK/B2MmmpZQLIgfH4/n//I0PDteNYSuFvgZb8mIn50xZ&#10;CVVtb0v+7urkxT5nPghbCQNWlXyjPD+cPX920LqpGsECTKWQURDrp60r+SIEN80yLxeqEX4HnLKk&#10;1ICNCCTibVahaCl6Y7JRnr/MWsDKIUjlPZ0ed0o+S/G1VjKca+1VYKbkVFtIK6b1Jq7Z7EBMb1G4&#10;RS37MsQ/VNGI2lLSIdSxCIItsf4jVFNLBA867EhoMtC6lir1QN0U+aNuLhfCqdQLgePdAJP/f2Hl&#10;2eoCWV2VfI8zKxq6ou/fPv388vnH3Ve2F+FpnZ+S1aW7wF7ytI29rjU28U9dsHWCdDNAqtaBSToc&#10;T/L9CWeSNMXu/m6+myDP7p0d+vBaQcPipuQVtHaOCG1CU6xOfaCsZL+1IyFW1NWQdmFjVCzD2LdK&#10;UyuUdZS8E4nUkUG2EnT91fuiO16ISnVHk5y+2CQlGKyTlILFqLo2ZojbB4jk/D1uF6K3jW4qcW9w&#10;zP9WUOc4WKeMYMPg2NQW8ClnE4q+cN3Zb4Hp4IjI3EC1octF6FjvnTypCeRT4cOFQKI5DQSNbjin&#10;RRtoSw79jrMF4MenzqM9sY+0nLU0NiX3H5YCFWfmjSVevirG4zhnSRhP9kYk4EPNzUONXTZHQFdT&#10;0CPhZNpG+2C2W43QXNOEz2NWUgkrKXfJZcCtcBS6caY3Qqr5PJnRbDkRTu2lkzF4RDXy52p9LdD1&#10;TAtE0TPYjpiYPuJaZxs9LcyXAXSdiHiPa483zWUiTP+GxMF/KCer+5du9gsAAP//AwBQSwMEFAAG&#10;AAgAAAAhAGi6v+fhAAAADQEAAA8AAABkcnMvZG93bnJldi54bWxMT8tugzAQvFfqP1hbqbfGEEIa&#10;EZYo6uvSU9JKuTp4A6h4TbEJJF9f99ReVhrNY2fyzWRacabeNZYR4lkEgri0uuEK4fPj9WEFwnnF&#10;WrWWCeFCDjbF7U2uMm1H3tF57ysRQthlCqH2vsukdGVNRrmZ7YgDd7K9UT7AvpK6V2MIN62cR9FS&#10;GtVw+FCrjp5qKr/2g0Eot9/XA12ub3o4vYwcuek9URPi/d30vA5nuwbhafJ/DvjdEPpDEYod7cDa&#10;iRZhsVgGJUKSJiACn8aPII4I8zSJQRa5/L+i+AEAAP//AwBQSwECLQAUAAYACAAAACEAtoM4kv4A&#10;AADhAQAAEwAAAAAAAAAAAAAAAAAAAAAAW0NvbnRlbnRfVHlwZXNdLnhtbFBLAQItABQABgAIAAAA&#10;IQA4/SH/1gAAAJQBAAALAAAAAAAAAAAAAAAAAC8BAABfcmVscy8ucmVsc1BLAQItABQABgAIAAAA&#10;IQBpYVZqhQIAADEFAAAOAAAAAAAAAAAAAAAAAC4CAABkcnMvZTJvRG9jLnhtbFBLAQItABQABgAI&#10;AAAAIQBour/n4QAAAA0BAAAPAAAAAAAAAAAAAAAAAN8EAABkcnMvZG93bnJldi54bWxQSwUGAAAA&#10;AAQABADzAAAA7QUAAAAA&#10;" adj="21248" fillcolor="black [3200]" strokecolor="black [1600]" strokeweight="1pt"/>
            </w:pict>
          </mc:Fallback>
        </mc:AlternateContent>
      </w:r>
      <w:r w:rsidRPr="002B0075">
        <w:rPr>
          <w:rFonts w:ascii="Times New Roman" w:hAnsi="Times New Roman" w:cs="Times New Roman"/>
          <w:color w:val="000000" w:themeColor="text1"/>
          <w:sz w:val="20"/>
          <w:szCs w:val="20"/>
        </w:rPr>
        <w:br w:type="page"/>
      </w:r>
    </w:p>
    <w:p w14:paraId="263E5EB3" w14:textId="77777777" w:rsidR="007A1460" w:rsidRPr="002B0075" w:rsidRDefault="007A1460" w:rsidP="007A1460">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lastRenderedPageBreak/>
        <w:t>Table 2. the EU’s diffusion of Sustainable Peace in ASEAN</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131"/>
        <w:gridCol w:w="3686"/>
        <w:gridCol w:w="6799"/>
      </w:tblGrid>
      <w:tr w:rsidR="002B0075" w:rsidRPr="002B0075" w14:paraId="3CB875B1" w14:textId="77777777" w:rsidTr="002F725B">
        <w:trPr>
          <w:trHeight w:val="361"/>
          <w:jc w:val="center"/>
        </w:trPr>
        <w:tc>
          <w:tcPr>
            <w:tcW w:w="1838" w:type="dxa"/>
            <w:tcBorders>
              <w:top w:val="single" w:sz="4" w:space="0" w:color="auto"/>
            </w:tcBorders>
            <w:shd w:val="clear" w:color="auto" w:fill="auto"/>
          </w:tcPr>
          <w:p w14:paraId="41C3C022"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Security Norms</w:t>
            </w:r>
          </w:p>
        </w:tc>
        <w:tc>
          <w:tcPr>
            <w:tcW w:w="2131" w:type="dxa"/>
            <w:tcBorders>
              <w:top w:val="single" w:sz="4" w:space="0" w:color="auto"/>
            </w:tcBorders>
            <w:shd w:val="clear" w:color="auto" w:fill="auto"/>
          </w:tcPr>
          <w:p w14:paraId="0DAEC0A8"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Policy areas and relevant behaviours</w:t>
            </w:r>
          </w:p>
        </w:tc>
        <w:tc>
          <w:tcPr>
            <w:tcW w:w="3686" w:type="dxa"/>
            <w:tcBorders>
              <w:top w:val="single" w:sz="4" w:space="0" w:color="auto"/>
              <w:right w:val="single" w:sz="4" w:space="0" w:color="auto"/>
            </w:tcBorders>
            <w:shd w:val="clear" w:color="auto" w:fill="auto"/>
          </w:tcPr>
          <w:p w14:paraId="04219A84"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Key dialogue and policy Instruments</w:t>
            </w:r>
          </w:p>
        </w:tc>
        <w:tc>
          <w:tcPr>
            <w:tcW w:w="6799" w:type="dxa"/>
            <w:tcBorders>
              <w:top w:val="single" w:sz="4" w:space="0" w:color="auto"/>
              <w:left w:val="single" w:sz="4" w:space="0" w:color="auto"/>
              <w:right w:val="single" w:sz="4" w:space="0" w:color="auto"/>
            </w:tcBorders>
            <w:shd w:val="clear" w:color="auto" w:fill="auto"/>
          </w:tcPr>
          <w:p w14:paraId="1831773F"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Indicators of effectiveness</w:t>
            </w:r>
          </w:p>
        </w:tc>
      </w:tr>
      <w:tr w:rsidR="007A1460" w:rsidRPr="002B0075" w14:paraId="0FC824AE" w14:textId="77777777" w:rsidTr="002F725B">
        <w:trPr>
          <w:cantSplit/>
          <w:trHeight w:val="2753"/>
          <w:jc w:val="center"/>
        </w:trPr>
        <w:tc>
          <w:tcPr>
            <w:tcW w:w="1838" w:type="dxa"/>
            <w:shd w:val="clear" w:color="auto" w:fill="auto"/>
            <w:textDirection w:val="btLr"/>
          </w:tcPr>
          <w:p w14:paraId="0B87DDEC" w14:textId="77777777" w:rsidR="007A1460" w:rsidRPr="002B0075" w:rsidRDefault="007A1460" w:rsidP="002F725B">
            <w:pPr>
              <w:ind w:left="113" w:right="113"/>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Sustainable Peace and Comprehensive Approach to Security </w:t>
            </w:r>
          </w:p>
        </w:tc>
        <w:tc>
          <w:tcPr>
            <w:tcW w:w="2131" w:type="dxa"/>
            <w:shd w:val="clear" w:color="auto" w:fill="auto"/>
          </w:tcPr>
          <w:p w14:paraId="7659594F" w14:textId="77777777" w:rsidR="007A1460" w:rsidRPr="002B0075" w:rsidRDefault="007A1460" w:rsidP="002F725B">
            <w:pPr>
              <w:jc w:val="both"/>
              <w:rPr>
                <w:rFonts w:ascii="Times New Roman" w:hAnsi="Times New Roman" w:cs="Times New Roman"/>
                <w:color w:val="000000" w:themeColor="text1"/>
                <w:sz w:val="20"/>
                <w:szCs w:val="20"/>
              </w:rPr>
            </w:pPr>
          </w:p>
          <w:p w14:paraId="5CC41CD7"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Preventive Diplomacy, conflict prevention and peace building</w:t>
            </w:r>
            <w:r w:rsidRPr="002B0075">
              <w:rPr>
                <w:rFonts w:ascii="Times New Roman" w:hAnsi="Times New Roman" w:cs="Times New Roman"/>
                <w:color w:val="000000" w:themeColor="text1"/>
                <w:sz w:val="20"/>
                <w:szCs w:val="20"/>
              </w:rPr>
              <w:t xml:space="preserve"> (developing a holistic and multi-faceted approach to conflicts and crises drawing on a wide range of policy instruments)</w:t>
            </w:r>
          </w:p>
          <w:p w14:paraId="6A9348BB" w14:textId="77777777" w:rsidR="007A1460" w:rsidRPr="002B0075" w:rsidRDefault="007A1460" w:rsidP="002F725B">
            <w:pPr>
              <w:jc w:val="both"/>
              <w:rPr>
                <w:rFonts w:ascii="Times New Roman" w:hAnsi="Times New Roman" w:cs="Times New Roman"/>
                <w:color w:val="000000" w:themeColor="text1"/>
                <w:sz w:val="20"/>
                <w:szCs w:val="20"/>
              </w:rPr>
            </w:pPr>
          </w:p>
          <w:p w14:paraId="2F5A2BF7" w14:textId="77777777" w:rsidR="007A1460" w:rsidRPr="002B0075" w:rsidRDefault="007A1460" w:rsidP="002F725B">
            <w:pPr>
              <w:jc w:val="both"/>
              <w:rPr>
                <w:rFonts w:ascii="Times New Roman" w:hAnsi="Times New Roman" w:cs="Times New Roman"/>
                <w:color w:val="000000" w:themeColor="text1"/>
                <w:sz w:val="20"/>
                <w:szCs w:val="20"/>
              </w:rPr>
            </w:pPr>
          </w:p>
        </w:tc>
        <w:tc>
          <w:tcPr>
            <w:tcW w:w="3686" w:type="dxa"/>
            <w:shd w:val="clear" w:color="auto" w:fill="auto"/>
          </w:tcPr>
          <w:p w14:paraId="31556A23" w14:textId="77777777" w:rsidR="007A1460" w:rsidRPr="002B0075" w:rsidRDefault="007A1460" w:rsidP="007A1460">
            <w:pPr>
              <w:pStyle w:val="aa"/>
              <w:widowControl/>
              <w:numPr>
                <w:ilvl w:val="0"/>
                <w:numId w:val="7"/>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 xml:space="preserve">The EU’s participation in ASEAN Regional Forum Inter-Sessional Support Group on Confidence-Building Measures and Preventive Diplomacy </w:t>
            </w:r>
          </w:p>
          <w:p w14:paraId="34D59E87" w14:textId="77777777" w:rsidR="007A1460" w:rsidRPr="002B0075" w:rsidRDefault="007A1460" w:rsidP="007A1460">
            <w:pPr>
              <w:pStyle w:val="aa"/>
              <w:widowControl/>
              <w:numPr>
                <w:ilvl w:val="0"/>
                <w:numId w:val="7"/>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Asia-Europe Roundtable Workshop on Early Warning System in Minority Conflicts</w:t>
            </w:r>
          </w:p>
          <w:p w14:paraId="022F6468" w14:textId="77777777" w:rsidR="007A1460" w:rsidRPr="002B0075" w:rsidRDefault="007A1460" w:rsidP="007A1460">
            <w:pPr>
              <w:pStyle w:val="aa"/>
              <w:widowControl/>
              <w:numPr>
                <w:ilvl w:val="0"/>
                <w:numId w:val="7"/>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EU-initiated CSCAP study group on PD (2013–15)</w:t>
            </w:r>
          </w:p>
          <w:p w14:paraId="6F2BA892" w14:textId="77777777" w:rsidR="007A1460" w:rsidRPr="002B0075" w:rsidRDefault="007A1460" w:rsidP="007A1460">
            <w:pPr>
              <w:pStyle w:val="aa"/>
              <w:widowControl/>
              <w:numPr>
                <w:ilvl w:val="0"/>
                <w:numId w:val="7"/>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 xml:space="preserve">The EU has enhanced the nexus between development aid and security-related issues (e.g., a wide range of </w:t>
            </w:r>
            <w:proofErr w:type="spellStart"/>
            <w:r w:rsidRPr="002B0075">
              <w:rPr>
                <w:rFonts w:cs="Times New Roman"/>
                <w:color w:val="000000" w:themeColor="text1"/>
                <w:sz w:val="20"/>
                <w:szCs w:val="20"/>
                <w:lang w:val="en-US"/>
              </w:rPr>
              <w:t>IcSP</w:t>
            </w:r>
            <w:proofErr w:type="spellEnd"/>
            <w:r w:rsidRPr="002B0075">
              <w:rPr>
                <w:rFonts w:cs="Times New Roman"/>
                <w:color w:val="000000" w:themeColor="text1"/>
                <w:sz w:val="20"/>
                <w:szCs w:val="20"/>
                <w:lang w:val="en-US"/>
              </w:rPr>
              <w:t xml:space="preserve"> projects in Southeast Asia focusing on sustainable peace, human security and conflict prevention)</w:t>
            </w:r>
          </w:p>
        </w:tc>
        <w:tc>
          <w:tcPr>
            <w:tcW w:w="6799" w:type="dxa"/>
            <w:shd w:val="clear" w:color="auto" w:fill="auto"/>
          </w:tcPr>
          <w:p w14:paraId="78EECB1F" w14:textId="77777777" w:rsidR="007A1460" w:rsidRPr="002B0075" w:rsidRDefault="007A1460" w:rsidP="007A1460">
            <w:pPr>
              <w:pStyle w:val="aa"/>
              <w:widowControl/>
              <w:numPr>
                <w:ilvl w:val="0"/>
                <w:numId w:val="7"/>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1.</w:t>
            </w:r>
            <w:r w:rsidRPr="002B0075">
              <w:rPr>
                <w:rFonts w:cs="Times New Roman"/>
                <w:color w:val="000000" w:themeColor="text1"/>
                <w:sz w:val="20"/>
                <w:szCs w:val="20"/>
                <w:lang w:val="en-US"/>
              </w:rPr>
              <w:t xml:space="preserve"> The EU’s policy initiatives, such as its contributions to ARF, CSCAP, and </w:t>
            </w:r>
            <w:proofErr w:type="spellStart"/>
            <w:r w:rsidRPr="002B0075">
              <w:rPr>
                <w:rFonts w:cs="Times New Roman"/>
                <w:color w:val="000000" w:themeColor="text1"/>
                <w:sz w:val="20"/>
                <w:szCs w:val="20"/>
                <w:lang w:val="en-US"/>
              </w:rPr>
              <w:t>IcSP</w:t>
            </w:r>
            <w:proofErr w:type="spellEnd"/>
            <w:r w:rsidRPr="002B0075">
              <w:rPr>
                <w:rFonts w:cs="Times New Roman"/>
                <w:color w:val="000000" w:themeColor="text1"/>
                <w:sz w:val="20"/>
                <w:szCs w:val="20"/>
                <w:lang w:val="en-US"/>
              </w:rPr>
              <w:t xml:space="preserve"> projects, received positive responses from participants based on interviews with EU officials who participated in these activities, and ASEAN policymakers and experts.</w:t>
            </w:r>
            <w:r w:rsidRPr="002B0075">
              <w:rPr>
                <w:rStyle w:val="a5"/>
                <w:rFonts w:cs="Times New Roman"/>
                <w:color w:val="000000" w:themeColor="text1"/>
                <w:sz w:val="20"/>
                <w:szCs w:val="20"/>
                <w:lang w:val="en-US"/>
              </w:rPr>
              <w:footnoteReference w:id="23"/>
            </w:r>
          </w:p>
          <w:p w14:paraId="7BF34C2F" w14:textId="77777777" w:rsidR="007A1460" w:rsidRPr="002B0075" w:rsidRDefault="007A1460" w:rsidP="007A1460">
            <w:pPr>
              <w:pStyle w:val="aa"/>
              <w:widowControl/>
              <w:numPr>
                <w:ilvl w:val="0"/>
                <w:numId w:val="7"/>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2.</w:t>
            </w:r>
            <w:r w:rsidRPr="002B0075">
              <w:rPr>
                <w:rFonts w:cs="Times New Roman"/>
                <w:color w:val="000000" w:themeColor="text1"/>
                <w:sz w:val="20"/>
                <w:szCs w:val="20"/>
                <w:lang w:val="en-US"/>
              </w:rPr>
              <w:t xml:space="preserve"> The EU has contributed to constructing or shaping new policy agenda of the target recipient. Examples include the EU’s contribution to shaping the agenda of ARF Inter-sessional support group on CBM and PD by acting as co-chair. Specifically, the EU proposed, initiated and sponsored events supporting the ARF and AIPR capacities, including workshop training on PD and Mediation in 2014. It also initiated the CSCAP study group on PD and a dedicated conference/workshop on PD and early warning capacities in 2017.</w:t>
            </w:r>
            <w:r w:rsidRPr="002B0075">
              <w:rPr>
                <w:rStyle w:val="a5"/>
                <w:rFonts w:cs="Times New Roman"/>
                <w:color w:val="000000" w:themeColor="text1"/>
                <w:sz w:val="20"/>
                <w:szCs w:val="20"/>
                <w:lang w:val="en-US"/>
              </w:rPr>
              <w:footnoteReference w:id="24"/>
            </w:r>
          </w:p>
          <w:p w14:paraId="3FBEA4E1" w14:textId="77777777" w:rsidR="007A1460" w:rsidRPr="002B0075" w:rsidRDefault="007A1460" w:rsidP="002F725B">
            <w:pPr>
              <w:pStyle w:val="aa"/>
              <w:widowControl/>
              <w:ind w:left="420" w:firstLineChars="0" w:firstLine="0"/>
              <w:jc w:val="both"/>
              <w:rPr>
                <w:rFonts w:cs="Times New Roman"/>
                <w:color w:val="000000" w:themeColor="text1"/>
                <w:sz w:val="20"/>
                <w:szCs w:val="20"/>
                <w:lang w:val="en-US"/>
              </w:rPr>
            </w:pPr>
          </w:p>
        </w:tc>
      </w:tr>
    </w:tbl>
    <w:p w14:paraId="0C33F1FE" w14:textId="77777777" w:rsidR="007A1460" w:rsidRPr="002B0075" w:rsidRDefault="007A1460" w:rsidP="007A1460">
      <w:pPr>
        <w:jc w:val="both"/>
        <w:rPr>
          <w:rFonts w:ascii="Times New Roman" w:hAnsi="Times New Roman" w:cs="Times New Roman"/>
          <w:color w:val="000000" w:themeColor="text1"/>
          <w:sz w:val="20"/>
          <w:szCs w:val="20"/>
        </w:rPr>
      </w:pPr>
    </w:p>
    <w:p w14:paraId="3FD75B64" w14:textId="77777777" w:rsidR="007A1460" w:rsidRPr="002B0075" w:rsidRDefault="007A1460" w:rsidP="007A1460">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Table 3. the EU’s diffusion of soft security regionalism in ASEAN</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2835"/>
        <w:gridCol w:w="3244"/>
        <w:gridCol w:w="6378"/>
      </w:tblGrid>
      <w:tr w:rsidR="002B0075" w:rsidRPr="002B0075" w14:paraId="6237D378" w14:textId="77777777" w:rsidTr="002F725B">
        <w:trPr>
          <w:trHeight w:val="361"/>
          <w:jc w:val="center"/>
        </w:trPr>
        <w:tc>
          <w:tcPr>
            <w:tcW w:w="2280" w:type="dxa"/>
            <w:tcBorders>
              <w:top w:val="single" w:sz="4" w:space="0" w:color="auto"/>
            </w:tcBorders>
            <w:shd w:val="clear" w:color="auto" w:fill="auto"/>
          </w:tcPr>
          <w:p w14:paraId="43D9D50F"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Security Norms</w:t>
            </w:r>
          </w:p>
        </w:tc>
        <w:tc>
          <w:tcPr>
            <w:tcW w:w="2835" w:type="dxa"/>
            <w:tcBorders>
              <w:top w:val="single" w:sz="4" w:space="0" w:color="auto"/>
            </w:tcBorders>
            <w:shd w:val="clear" w:color="auto" w:fill="auto"/>
          </w:tcPr>
          <w:p w14:paraId="16CF701A"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Policy areas and relevant behaviours</w:t>
            </w:r>
          </w:p>
        </w:tc>
        <w:tc>
          <w:tcPr>
            <w:tcW w:w="3244" w:type="dxa"/>
            <w:tcBorders>
              <w:top w:val="single" w:sz="4" w:space="0" w:color="auto"/>
              <w:right w:val="single" w:sz="4" w:space="0" w:color="auto"/>
            </w:tcBorders>
            <w:shd w:val="clear" w:color="auto" w:fill="auto"/>
          </w:tcPr>
          <w:p w14:paraId="2F0C4C25"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Key Dialogue and Policy Instruments</w:t>
            </w:r>
          </w:p>
        </w:tc>
        <w:tc>
          <w:tcPr>
            <w:tcW w:w="6378" w:type="dxa"/>
            <w:tcBorders>
              <w:top w:val="single" w:sz="4" w:space="0" w:color="auto"/>
              <w:left w:val="single" w:sz="4" w:space="0" w:color="auto"/>
              <w:right w:val="single" w:sz="4" w:space="0" w:color="auto"/>
            </w:tcBorders>
            <w:shd w:val="clear" w:color="auto" w:fill="auto"/>
          </w:tcPr>
          <w:p w14:paraId="05D1F1D9"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Indicators of effectiveness</w:t>
            </w:r>
          </w:p>
        </w:tc>
      </w:tr>
      <w:tr w:rsidR="002B0075" w:rsidRPr="002B0075" w14:paraId="466B8A1A" w14:textId="77777777" w:rsidTr="002F725B">
        <w:trPr>
          <w:cantSplit/>
          <w:trHeight w:val="2744"/>
          <w:jc w:val="center"/>
        </w:trPr>
        <w:tc>
          <w:tcPr>
            <w:tcW w:w="2280" w:type="dxa"/>
            <w:vMerge w:val="restart"/>
            <w:shd w:val="clear" w:color="auto" w:fill="auto"/>
            <w:textDirection w:val="btLr"/>
          </w:tcPr>
          <w:p w14:paraId="12B880EE" w14:textId="77777777" w:rsidR="007A1460" w:rsidRPr="002B0075" w:rsidRDefault="007A1460" w:rsidP="002F725B">
            <w:pPr>
              <w:ind w:left="113" w:right="113" w:firstLineChars="950" w:firstLine="19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 Soft Security Regionalism</w:t>
            </w:r>
          </w:p>
        </w:tc>
        <w:tc>
          <w:tcPr>
            <w:tcW w:w="2835" w:type="dxa"/>
            <w:shd w:val="clear" w:color="auto" w:fill="auto"/>
          </w:tcPr>
          <w:p w14:paraId="4B36F83C" w14:textId="77777777" w:rsidR="007A1460" w:rsidRPr="002B0075" w:rsidRDefault="007A1460" w:rsidP="002F725B">
            <w:pPr>
              <w:jc w:val="both"/>
              <w:rPr>
                <w:rFonts w:ascii="Times New Roman" w:hAnsi="Times New Roman" w:cs="Times New Roman"/>
                <w:color w:val="000000" w:themeColor="text1"/>
                <w:sz w:val="20"/>
                <w:szCs w:val="20"/>
                <w:u w:val="single"/>
              </w:rPr>
            </w:pPr>
            <w:r w:rsidRPr="002B0075">
              <w:rPr>
                <w:rFonts w:ascii="Times New Roman" w:hAnsi="Times New Roman" w:cs="Times New Roman"/>
                <w:color w:val="000000" w:themeColor="text1"/>
                <w:sz w:val="20"/>
                <w:szCs w:val="20"/>
                <w:u w:val="single"/>
              </w:rPr>
              <w:t xml:space="preserve">Border Security </w:t>
            </w:r>
          </w:p>
          <w:p w14:paraId="16DE0478"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(Foster regional approaches to tackle border security challenges; improve information-sharing and harmonization of regulations concerning border management; improve intra-regional connectivity and border security through enhancing law enforcement networks and cooperation at regional hubs)</w:t>
            </w:r>
          </w:p>
        </w:tc>
        <w:tc>
          <w:tcPr>
            <w:tcW w:w="3244" w:type="dxa"/>
            <w:shd w:val="clear" w:color="auto" w:fill="auto"/>
          </w:tcPr>
          <w:p w14:paraId="5E5E2DEF"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EA-MBMP: Project activities include trainings, workshops, seminars implemented by Interpol, aiming to provide a platform for ASEAN border security and immigration officials to exchange information, best practices and ideas about relevant knowledge and techniques of border security governance</w:t>
            </w:r>
          </w:p>
          <w:p w14:paraId="5E150875" w14:textId="77777777" w:rsidR="007A1460" w:rsidRPr="002B0075" w:rsidRDefault="007A1460" w:rsidP="002F725B">
            <w:pPr>
              <w:jc w:val="both"/>
              <w:rPr>
                <w:rFonts w:ascii="Times New Roman" w:hAnsi="Times New Roman" w:cs="Times New Roman"/>
                <w:color w:val="000000" w:themeColor="text1"/>
                <w:sz w:val="20"/>
                <w:szCs w:val="20"/>
              </w:rPr>
            </w:pPr>
          </w:p>
        </w:tc>
        <w:tc>
          <w:tcPr>
            <w:tcW w:w="6378" w:type="dxa"/>
            <w:shd w:val="clear" w:color="auto" w:fill="auto"/>
          </w:tcPr>
          <w:p w14:paraId="67F25A27"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1.</w:t>
            </w:r>
            <w:r w:rsidRPr="002B0075">
              <w:rPr>
                <w:rFonts w:cs="Times New Roman"/>
                <w:color w:val="000000" w:themeColor="text1"/>
                <w:sz w:val="20"/>
                <w:szCs w:val="20"/>
                <w:lang w:val="en-US"/>
              </w:rPr>
              <w:t xml:space="preserve"> The EU’s policy initiatives receive positive respond from participants based on interviews with EU officials who participated in these activities, and ASEAN policymakers and experts (Interpol 2016; 2017a; 2017b; 2017c)</w:t>
            </w:r>
          </w:p>
          <w:p w14:paraId="5779685A"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2 &amp; 3.</w:t>
            </w:r>
            <w:r w:rsidRPr="002B0075">
              <w:rPr>
                <w:rFonts w:cs="Times New Roman"/>
                <w:color w:val="000000" w:themeColor="text1"/>
                <w:sz w:val="20"/>
                <w:szCs w:val="20"/>
                <w:lang w:val="en-US"/>
              </w:rPr>
              <w:t xml:space="preserve"> The EU has contributed to constructing the new policy agenda of ASEAN stakeholders and has contributed to shaping the opinions of ASEAN stakeholders in internal debates on the issue concerning the development of an ASEAN common visa (Border Management 2018, Interpol interview 2016; 2017a).</w:t>
            </w:r>
          </w:p>
          <w:p w14:paraId="67A52AE5" w14:textId="77777777" w:rsidR="007A1460" w:rsidRPr="002B0075" w:rsidRDefault="007A1460" w:rsidP="002F725B">
            <w:pPr>
              <w:pStyle w:val="aa"/>
              <w:widowControl/>
              <w:ind w:left="420" w:firstLineChars="0" w:firstLine="0"/>
              <w:jc w:val="both"/>
              <w:rPr>
                <w:rFonts w:cs="Times New Roman"/>
                <w:color w:val="000000" w:themeColor="text1"/>
                <w:sz w:val="20"/>
                <w:szCs w:val="20"/>
              </w:rPr>
            </w:pPr>
          </w:p>
        </w:tc>
      </w:tr>
      <w:tr w:rsidR="007A1460" w:rsidRPr="002B0075" w14:paraId="6FC93A0A" w14:textId="77777777" w:rsidTr="002F725B">
        <w:trPr>
          <w:cantSplit/>
          <w:trHeight w:val="1564"/>
          <w:jc w:val="center"/>
        </w:trPr>
        <w:tc>
          <w:tcPr>
            <w:tcW w:w="2280" w:type="dxa"/>
            <w:vMerge/>
            <w:shd w:val="clear" w:color="auto" w:fill="auto"/>
            <w:textDirection w:val="btLr"/>
          </w:tcPr>
          <w:p w14:paraId="269DEB67" w14:textId="77777777" w:rsidR="007A1460" w:rsidRPr="002B0075" w:rsidRDefault="007A1460" w:rsidP="002F725B">
            <w:pPr>
              <w:ind w:left="113" w:right="113"/>
              <w:jc w:val="both"/>
              <w:rPr>
                <w:rFonts w:ascii="Times New Roman" w:hAnsi="Times New Roman" w:cs="Times New Roman"/>
                <w:color w:val="000000" w:themeColor="text1"/>
                <w:sz w:val="20"/>
                <w:szCs w:val="20"/>
              </w:rPr>
            </w:pPr>
          </w:p>
        </w:tc>
        <w:tc>
          <w:tcPr>
            <w:tcW w:w="2835" w:type="dxa"/>
            <w:shd w:val="clear" w:color="auto" w:fill="auto"/>
          </w:tcPr>
          <w:p w14:paraId="135C8DBC"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CBRN risk management</w:t>
            </w:r>
            <w:r w:rsidRPr="002B0075">
              <w:rPr>
                <w:rFonts w:ascii="Times New Roman" w:hAnsi="Times New Roman" w:cs="Times New Roman"/>
                <w:color w:val="000000" w:themeColor="text1"/>
                <w:sz w:val="20"/>
                <w:szCs w:val="20"/>
              </w:rPr>
              <w:t xml:space="preserve"> (Foster regional approaches to tackle CBRN threats; increase the capacity of the regional secretariats; improve coordination between national and regional authorities to address CBRN risks)</w:t>
            </w:r>
          </w:p>
          <w:p w14:paraId="60B62B6E" w14:textId="77777777" w:rsidR="007A1460" w:rsidRPr="002B0075" w:rsidRDefault="007A1460" w:rsidP="002F725B">
            <w:pPr>
              <w:jc w:val="both"/>
              <w:rPr>
                <w:rFonts w:ascii="Times New Roman" w:hAnsi="Times New Roman" w:cs="Times New Roman"/>
                <w:color w:val="000000" w:themeColor="text1"/>
                <w:sz w:val="20"/>
                <w:szCs w:val="20"/>
              </w:rPr>
            </w:pPr>
          </w:p>
        </w:tc>
        <w:tc>
          <w:tcPr>
            <w:tcW w:w="3244" w:type="dxa"/>
            <w:shd w:val="clear" w:color="auto" w:fill="auto"/>
          </w:tcPr>
          <w:p w14:paraId="47ACF566"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EU CBRN </w:t>
            </w:r>
            <w:proofErr w:type="spellStart"/>
            <w:r w:rsidRPr="002B0075">
              <w:rPr>
                <w:rFonts w:ascii="Times New Roman" w:hAnsi="Times New Roman" w:cs="Times New Roman"/>
                <w:color w:val="000000" w:themeColor="text1"/>
                <w:sz w:val="20"/>
                <w:szCs w:val="20"/>
              </w:rPr>
              <w:t>CoE</w:t>
            </w:r>
            <w:proofErr w:type="spellEnd"/>
            <w:r w:rsidRPr="002B0075">
              <w:rPr>
                <w:rFonts w:ascii="Times New Roman" w:hAnsi="Times New Roman" w:cs="Times New Roman"/>
                <w:color w:val="000000" w:themeColor="text1"/>
                <w:sz w:val="20"/>
                <w:szCs w:val="20"/>
              </w:rPr>
              <w:t xml:space="preserve"> projects, which adopt bottom-up, national and regional approaches, aiming to promote and facilitate the development of a regional framework to tackle CBRN crises in the SEA region; activities take various forms such as training programmes, workshops, seminars, research</w:t>
            </w:r>
          </w:p>
        </w:tc>
        <w:tc>
          <w:tcPr>
            <w:tcW w:w="6378" w:type="dxa"/>
            <w:shd w:val="clear" w:color="auto" w:fill="auto"/>
          </w:tcPr>
          <w:p w14:paraId="514F2D1C"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1.</w:t>
            </w:r>
            <w:r w:rsidRPr="002B0075">
              <w:rPr>
                <w:rFonts w:cs="Times New Roman"/>
                <w:color w:val="000000" w:themeColor="text1"/>
                <w:sz w:val="20"/>
                <w:szCs w:val="20"/>
                <w:lang w:val="en-US"/>
              </w:rPr>
              <w:t xml:space="preserve"> EU policy initiatives receive a positive response from participants based on interviews with EU officials who participated in these activities, and ASEAN policymakers and experts</w:t>
            </w:r>
            <w:r w:rsidRPr="002B0075">
              <w:rPr>
                <w:rStyle w:val="a5"/>
                <w:rFonts w:cs="Times New Roman"/>
                <w:color w:val="000000" w:themeColor="text1"/>
                <w:sz w:val="20"/>
                <w:szCs w:val="20"/>
                <w:lang w:val="en-US"/>
              </w:rPr>
              <w:footnoteReference w:id="25"/>
            </w:r>
          </w:p>
          <w:p w14:paraId="658269F4"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2.</w:t>
            </w:r>
            <w:r w:rsidRPr="002B0075">
              <w:rPr>
                <w:rFonts w:cs="Times New Roman"/>
                <w:color w:val="000000" w:themeColor="text1"/>
                <w:sz w:val="20"/>
                <w:szCs w:val="20"/>
                <w:lang w:val="en-US"/>
              </w:rPr>
              <w:t xml:space="preserve"> The EU has contributed to constructing or shaping the new policy agenda of ASEAN stakeholders: the EU has facilitated ASEAN participant countries’ development of national CBRN action plans.</w:t>
            </w:r>
            <w:r w:rsidRPr="002B0075">
              <w:rPr>
                <w:rStyle w:val="a5"/>
                <w:rFonts w:cs="Times New Roman"/>
                <w:color w:val="000000" w:themeColor="text1"/>
                <w:sz w:val="20"/>
                <w:szCs w:val="20"/>
                <w:lang w:val="en-US"/>
              </w:rPr>
              <w:footnoteReference w:id="26"/>
            </w:r>
            <w:r w:rsidRPr="002B0075">
              <w:rPr>
                <w:rFonts w:cs="Times New Roman"/>
                <w:color w:val="000000" w:themeColor="text1"/>
                <w:sz w:val="20"/>
                <w:szCs w:val="20"/>
                <w:lang w:val="en-US"/>
              </w:rPr>
              <w:t xml:space="preserve"> </w:t>
            </w:r>
          </w:p>
          <w:p w14:paraId="5727AD3A"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3</w:t>
            </w:r>
            <w:r w:rsidRPr="002B0075">
              <w:rPr>
                <w:rFonts w:cs="Times New Roman"/>
                <w:color w:val="000000" w:themeColor="text1"/>
                <w:sz w:val="20"/>
                <w:szCs w:val="20"/>
                <w:lang w:val="en-US"/>
              </w:rPr>
              <w:t>. The EU has contributed to changing the opinions of ASEAN stakeholders’ ideas in internal debates, bridging the gap between CBRN security and CBRN safety.</w:t>
            </w:r>
            <w:r w:rsidRPr="002B0075">
              <w:rPr>
                <w:rStyle w:val="a5"/>
                <w:rFonts w:cs="Times New Roman"/>
                <w:color w:val="000000" w:themeColor="text1"/>
                <w:sz w:val="20"/>
                <w:szCs w:val="20"/>
                <w:lang w:val="en-US"/>
              </w:rPr>
              <w:footnoteReference w:id="27"/>
            </w:r>
            <w:r w:rsidRPr="002B0075">
              <w:rPr>
                <w:rFonts w:cs="Times New Roman"/>
                <w:color w:val="000000" w:themeColor="text1"/>
                <w:sz w:val="20"/>
                <w:szCs w:val="20"/>
                <w:lang w:val="en-US"/>
              </w:rPr>
              <w:t xml:space="preserve"> </w:t>
            </w:r>
          </w:p>
          <w:p w14:paraId="282D6004" w14:textId="77777777" w:rsidR="007A1460" w:rsidRPr="002B0075" w:rsidRDefault="007A1460" w:rsidP="002F725B">
            <w:pPr>
              <w:pStyle w:val="aa"/>
              <w:widowControl/>
              <w:ind w:left="420" w:firstLineChars="0" w:firstLine="0"/>
              <w:jc w:val="both"/>
              <w:rPr>
                <w:rFonts w:cs="Times New Roman"/>
                <w:color w:val="000000" w:themeColor="text1"/>
                <w:sz w:val="20"/>
                <w:szCs w:val="20"/>
              </w:rPr>
            </w:pPr>
          </w:p>
        </w:tc>
      </w:tr>
    </w:tbl>
    <w:p w14:paraId="15C48181" w14:textId="77777777" w:rsidR="007A1460" w:rsidRPr="002B0075" w:rsidRDefault="007A1460" w:rsidP="007A1460">
      <w:pPr>
        <w:jc w:val="both"/>
        <w:rPr>
          <w:rFonts w:ascii="Times New Roman" w:hAnsi="Times New Roman" w:cs="Times New Roman"/>
          <w:color w:val="000000" w:themeColor="text1"/>
          <w:sz w:val="20"/>
          <w:szCs w:val="20"/>
        </w:rPr>
      </w:pPr>
    </w:p>
    <w:p w14:paraId="2EA8ECAF" w14:textId="77777777" w:rsidR="007A1460" w:rsidRPr="002B0075" w:rsidRDefault="007A1460" w:rsidP="007A1460">
      <w:pPr>
        <w:jc w:val="both"/>
        <w:rPr>
          <w:rFonts w:ascii="Times New Roman" w:hAnsi="Times New Roman" w:cs="Times New Roman"/>
          <w:color w:val="000000" w:themeColor="text1"/>
          <w:sz w:val="20"/>
          <w:szCs w:val="20"/>
        </w:rPr>
      </w:pPr>
    </w:p>
    <w:p w14:paraId="218CBF9B" w14:textId="77777777" w:rsidR="007A1460" w:rsidRPr="002B0075" w:rsidRDefault="007A1460" w:rsidP="007A1460">
      <w:pPr>
        <w:jc w:val="both"/>
        <w:rPr>
          <w:rFonts w:ascii="Times New Roman" w:hAnsi="Times New Roman" w:cs="Times New Roman"/>
          <w:color w:val="000000" w:themeColor="text1"/>
          <w:sz w:val="20"/>
          <w:szCs w:val="20"/>
        </w:rPr>
      </w:pPr>
    </w:p>
    <w:p w14:paraId="2F9F6278" w14:textId="77777777" w:rsidR="007A1460" w:rsidRPr="002B0075" w:rsidRDefault="007A1460" w:rsidP="007A1460">
      <w:pPr>
        <w:jc w:val="both"/>
        <w:rPr>
          <w:rFonts w:ascii="Times New Roman" w:hAnsi="Times New Roman" w:cs="Times New Roman"/>
          <w:color w:val="000000" w:themeColor="text1"/>
          <w:sz w:val="20"/>
          <w:szCs w:val="20"/>
        </w:rPr>
      </w:pPr>
    </w:p>
    <w:p w14:paraId="1091622C" w14:textId="77777777" w:rsidR="007A1460" w:rsidRPr="002B0075" w:rsidRDefault="007A1460" w:rsidP="007A1460">
      <w:pPr>
        <w:jc w:val="both"/>
        <w:rPr>
          <w:rFonts w:ascii="Times New Roman" w:hAnsi="Times New Roman" w:cs="Times New Roman"/>
          <w:color w:val="000000" w:themeColor="text1"/>
          <w:sz w:val="20"/>
          <w:szCs w:val="20"/>
        </w:rPr>
      </w:pPr>
    </w:p>
    <w:p w14:paraId="346FFDE3" w14:textId="77777777" w:rsidR="007A1460" w:rsidRPr="002B0075" w:rsidRDefault="007A1460" w:rsidP="007A1460">
      <w:pPr>
        <w:jc w:val="both"/>
        <w:rPr>
          <w:rFonts w:ascii="Times New Roman" w:hAnsi="Times New Roman" w:cs="Times New Roman"/>
          <w:color w:val="000000" w:themeColor="text1"/>
          <w:sz w:val="20"/>
          <w:szCs w:val="20"/>
        </w:rPr>
      </w:pPr>
    </w:p>
    <w:p w14:paraId="476BC761" w14:textId="77777777" w:rsidR="007A1460" w:rsidRPr="002B0075" w:rsidRDefault="007A1460" w:rsidP="007A1460">
      <w:pPr>
        <w:jc w:val="both"/>
        <w:rPr>
          <w:rFonts w:ascii="Times New Roman" w:hAnsi="Times New Roman" w:cs="Times New Roman"/>
          <w:color w:val="000000" w:themeColor="text1"/>
          <w:sz w:val="20"/>
          <w:szCs w:val="20"/>
        </w:rPr>
      </w:pPr>
    </w:p>
    <w:p w14:paraId="0CCCACE2" w14:textId="77777777" w:rsidR="007A1460" w:rsidRPr="002B0075" w:rsidRDefault="007A1460" w:rsidP="007A1460">
      <w:pPr>
        <w:jc w:val="both"/>
        <w:rPr>
          <w:rFonts w:ascii="Times New Roman" w:hAnsi="Times New Roman" w:cs="Times New Roman"/>
          <w:color w:val="000000" w:themeColor="text1"/>
          <w:sz w:val="20"/>
          <w:szCs w:val="20"/>
        </w:rPr>
      </w:pPr>
    </w:p>
    <w:p w14:paraId="23110902" w14:textId="77777777" w:rsidR="007A1460" w:rsidRPr="002B0075" w:rsidRDefault="007A1460" w:rsidP="007A1460">
      <w:pPr>
        <w:jc w:val="both"/>
        <w:rPr>
          <w:rFonts w:ascii="Times New Roman" w:hAnsi="Times New Roman" w:cs="Times New Roman"/>
          <w:color w:val="000000" w:themeColor="text1"/>
          <w:sz w:val="20"/>
          <w:szCs w:val="20"/>
        </w:rPr>
      </w:pPr>
    </w:p>
    <w:p w14:paraId="5F936053" w14:textId="77777777" w:rsidR="007A1460" w:rsidRPr="002B0075" w:rsidRDefault="007A1460" w:rsidP="007A1460">
      <w:pPr>
        <w:jc w:val="both"/>
        <w:rPr>
          <w:rFonts w:ascii="Times New Roman" w:hAnsi="Times New Roman" w:cs="Times New Roman"/>
          <w:color w:val="000000" w:themeColor="text1"/>
          <w:sz w:val="20"/>
          <w:szCs w:val="20"/>
        </w:rPr>
      </w:pPr>
    </w:p>
    <w:p w14:paraId="33E33EBF" w14:textId="77777777" w:rsidR="007A1460" w:rsidRPr="002B0075" w:rsidRDefault="007A1460" w:rsidP="007A1460">
      <w:pPr>
        <w:jc w:val="both"/>
        <w:rPr>
          <w:rFonts w:ascii="Times New Roman" w:hAnsi="Times New Roman" w:cs="Times New Roman"/>
          <w:color w:val="000000" w:themeColor="text1"/>
          <w:sz w:val="20"/>
          <w:szCs w:val="20"/>
        </w:rPr>
      </w:pPr>
    </w:p>
    <w:p w14:paraId="2FEB0320" w14:textId="77777777" w:rsidR="007A1460" w:rsidRPr="002B0075" w:rsidRDefault="007A1460" w:rsidP="007A1460">
      <w:pPr>
        <w:jc w:val="both"/>
        <w:rPr>
          <w:rFonts w:ascii="Times New Roman" w:hAnsi="Times New Roman" w:cs="Times New Roman"/>
          <w:color w:val="000000" w:themeColor="text1"/>
          <w:sz w:val="20"/>
          <w:szCs w:val="20"/>
        </w:rPr>
      </w:pPr>
    </w:p>
    <w:p w14:paraId="65E39F04" w14:textId="77777777" w:rsidR="007A1460" w:rsidRPr="002B0075" w:rsidRDefault="007A1460" w:rsidP="007A1460">
      <w:pPr>
        <w:jc w:val="both"/>
        <w:rPr>
          <w:rFonts w:ascii="Times New Roman" w:hAnsi="Times New Roman" w:cs="Times New Roman"/>
          <w:color w:val="000000" w:themeColor="text1"/>
          <w:sz w:val="20"/>
          <w:szCs w:val="20"/>
        </w:rPr>
      </w:pPr>
    </w:p>
    <w:p w14:paraId="685845BA" w14:textId="77777777" w:rsidR="007A1460" w:rsidRPr="002B0075" w:rsidRDefault="007A1460" w:rsidP="007A1460">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Table 4. the EU’s diffusion of Rule of Law in ASEAN</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840"/>
        <w:gridCol w:w="4672"/>
        <w:gridCol w:w="5812"/>
      </w:tblGrid>
      <w:tr w:rsidR="002B0075" w:rsidRPr="002B0075" w14:paraId="7329232A" w14:textId="77777777" w:rsidTr="002F725B">
        <w:trPr>
          <w:trHeight w:val="361"/>
          <w:jc w:val="center"/>
        </w:trPr>
        <w:tc>
          <w:tcPr>
            <w:tcW w:w="2553" w:type="dxa"/>
            <w:tcBorders>
              <w:top w:val="single" w:sz="4" w:space="0" w:color="auto"/>
            </w:tcBorders>
            <w:shd w:val="clear" w:color="auto" w:fill="auto"/>
          </w:tcPr>
          <w:p w14:paraId="1D77D247"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Security Norms</w:t>
            </w:r>
          </w:p>
        </w:tc>
        <w:tc>
          <w:tcPr>
            <w:tcW w:w="2840" w:type="dxa"/>
            <w:tcBorders>
              <w:top w:val="single" w:sz="4" w:space="0" w:color="auto"/>
            </w:tcBorders>
            <w:shd w:val="clear" w:color="auto" w:fill="auto"/>
          </w:tcPr>
          <w:p w14:paraId="18CAC23D"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Policy areas and relevant behaviours</w:t>
            </w:r>
          </w:p>
        </w:tc>
        <w:tc>
          <w:tcPr>
            <w:tcW w:w="4672" w:type="dxa"/>
            <w:tcBorders>
              <w:top w:val="single" w:sz="4" w:space="0" w:color="auto"/>
              <w:right w:val="single" w:sz="4" w:space="0" w:color="auto"/>
            </w:tcBorders>
            <w:shd w:val="clear" w:color="auto" w:fill="auto"/>
          </w:tcPr>
          <w:p w14:paraId="358A6CD6"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Key Dialogue and Policy Instruments</w:t>
            </w:r>
          </w:p>
        </w:tc>
        <w:tc>
          <w:tcPr>
            <w:tcW w:w="5812" w:type="dxa"/>
            <w:tcBorders>
              <w:top w:val="single" w:sz="4" w:space="0" w:color="auto"/>
              <w:left w:val="single" w:sz="4" w:space="0" w:color="auto"/>
              <w:right w:val="single" w:sz="4" w:space="0" w:color="auto"/>
            </w:tcBorders>
            <w:shd w:val="clear" w:color="auto" w:fill="auto"/>
          </w:tcPr>
          <w:p w14:paraId="1A7E1CF2" w14:textId="77777777" w:rsidR="007A1460" w:rsidRPr="002B0075" w:rsidRDefault="007A1460" w:rsidP="002F725B">
            <w:pPr>
              <w:jc w:val="both"/>
              <w:rPr>
                <w:rFonts w:ascii="Times New Roman" w:hAnsi="Times New Roman" w:cs="Times New Roman"/>
                <w:b/>
                <w:bCs/>
                <w:color w:val="000000" w:themeColor="text1"/>
                <w:sz w:val="20"/>
                <w:szCs w:val="20"/>
              </w:rPr>
            </w:pPr>
            <w:r w:rsidRPr="002B0075">
              <w:rPr>
                <w:rFonts w:ascii="Times New Roman" w:hAnsi="Times New Roman" w:cs="Times New Roman"/>
                <w:b/>
                <w:bCs/>
                <w:color w:val="000000" w:themeColor="text1"/>
                <w:sz w:val="20"/>
                <w:szCs w:val="20"/>
              </w:rPr>
              <w:t>Indicators of effectiveness</w:t>
            </w:r>
          </w:p>
        </w:tc>
      </w:tr>
      <w:tr w:rsidR="002B0075" w:rsidRPr="002B0075" w14:paraId="1726590D" w14:textId="77777777" w:rsidTr="002F725B">
        <w:trPr>
          <w:cantSplit/>
          <w:trHeight w:val="1619"/>
          <w:jc w:val="center"/>
        </w:trPr>
        <w:tc>
          <w:tcPr>
            <w:tcW w:w="2553" w:type="dxa"/>
            <w:vMerge w:val="restart"/>
            <w:shd w:val="clear" w:color="auto" w:fill="auto"/>
            <w:textDirection w:val="btLr"/>
          </w:tcPr>
          <w:p w14:paraId="0C36E564" w14:textId="77777777" w:rsidR="007A1460" w:rsidRPr="002B0075" w:rsidRDefault="007A1460" w:rsidP="002F725B">
            <w:pPr>
              <w:ind w:left="113" w:right="113" w:firstLineChars="1350" w:firstLine="2700"/>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Rule of Law (domestic and international)</w:t>
            </w:r>
          </w:p>
        </w:tc>
        <w:tc>
          <w:tcPr>
            <w:tcW w:w="2840" w:type="dxa"/>
            <w:shd w:val="clear" w:color="auto" w:fill="auto"/>
          </w:tcPr>
          <w:p w14:paraId="310AECCB" w14:textId="77777777" w:rsidR="007A1460" w:rsidRPr="002B0075" w:rsidRDefault="007A1460" w:rsidP="002F725B">
            <w:pPr>
              <w:jc w:val="both"/>
              <w:rPr>
                <w:rFonts w:ascii="Times New Roman" w:hAnsi="Times New Roman" w:cs="Times New Roman"/>
                <w:color w:val="000000" w:themeColor="text1"/>
                <w:sz w:val="20"/>
                <w:szCs w:val="20"/>
              </w:rPr>
            </w:pPr>
          </w:p>
          <w:p w14:paraId="0B2AFBD2"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Maritime Security</w:t>
            </w:r>
          </w:p>
          <w:p w14:paraId="0B0B5320"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(Promoting UNCLOS, FON, and universal application of international law; fighting against IUU; enhance law enforcement at sea)</w:t>
            </w:r>
          </w:p>
          <w:p w14:paraId="4C80B011" w14:textId="77777777" w:rsidR="007A1460" w:rsidRPr="002B0075" w:rsidRDefault="007A1460" w:rsidP="002F725B">
            <w:pPr>
              <w:jc w:val="both"/>
              <w:rPr>
                <w:rFonts w:ascii="Times New Roman" w:hAnsi="Times New Roman" w:cs="Times New Roman"/>
                <w:color w:val="000000" w:themeColor="text1"/>
                <w:sz w:val="20"/>
                <w:szCs w:val="20"/>
              </w:rPr>
            </w:pPr>
          </w:p>
        </w:tc>
        <w:tc>
          <w:tcPr>
            <w:tcW w:w="4672" w:type="dxa"/>
            <w:shd w:val="clear" w:color="auto" w:fill="auto"/>
          </w:tcPr>
          <w:p w14:paraId="7FEF53EA" w14:textId="77777777" w:rsidR="007A1460" w:rsidRPr="002B0075" w:rsidRDefault="007A1460" w:rsidP="007A1460">
            <w:pPr>
              <w:pStyle w:val="aa"/>
              <w:widowControl/>
              <w:numPr>
                <w:ilvl w:val="0"/>
                <w:numId w:val="9"/>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ARF: EU’s co-chairmanship of the ARF-Inter-Sessional Meeting on Maritime Security (2017–20): organizing a series of workshops on maritime law enforcement, promoting best practice-sharing and concrete measures for reducing regional tensions, enhancing Maritime Domain Awareness; land–sea and civil–military nexus, and IUU fishing</w:t>
            </w:r>
          </w:p>
          <w:p w14:paraId="1B732CC0" w14:textId="77777777" w:rsidR="007A1460" w:rsidRPr="002B0075" w:rsidRDefault="007A1460" w:rsidP="007A1460">
            <w:pPr>
              <w:pStyle w:val="aa"/>
              <w:widowControl/>
              <w:numPr>
                <w:ilvl w:val="0"/>
                <w:numId w:val="9"/>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ASEAN–EU High Level Dialogue on Maritime Security, focusing on exchange of practices in law enforcement at sea</w:t>
            </w:r>
          </w:p>
          <w:p w14:paraId="2C88753A" w14:textId="77777777" w:rsidR="007A1460" w:rsidRPr="002B0075" w:rsidRDefault="007A1460" w:rsidP="007A1460">
            <w:pPr>
              <w:pStyle w:val="aa"/>
              <w:widowControl/>
              <w:numPr>
                <w:ilvl w:val="0"/>
                <w:numId w:val="9"/>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 xml:space="preserve">EU–ASEAN seminars on security and </w:t>
            </w:r>
            <w:proofErr w:type="spellStart"/>
            <w:r w:rsidRPr="002B0075">
              <w:rPr>
                <w:rFonts w:cs="Times New Roman"/>
                <w:color w:val="000000" w:themeColor="text1"/>
                <w:sz w:val="20"/>
                <w:szCs w:val="20"/>
                <w:lang w:val="en-US"/>
              </w:rPr>
              <w:t>defence</w:t>
            </w:r>
            <w:proofErr w:type="spellEnd"/>
            <w:r w:rsidRPr="002B0075">
              <w:rPr>
                <w:rFonts w:cs="Times New Roman"/>
                <w:color w:val="000000" w:themeColor="text1"/>
                <w:sz w:val="20"/>
                <w:szCs w:val="20"/>
                <w:lang w:val="en-US"/>
              </w:rPr>
              <w:t>: maritime security as one of the key themes for the seminar since its inception in 2014; activities take the forms of workshops and technical training focusing on exchange of ideas and practices</w:t>
            </w:r>
          </w:p>
          <w:p w14:paraId="0A0603BF" w14:textId="77777777" w:rsidR="007A1460" w:rsidRPr="002B0075" w:rsidRDefault="007A1460" w:rsidP="007A1460">
            <w:pPr>
              <w:pStyle w:val="aa"/>
              <w:widowControl/>
              <w:numPr>
                <w:ilvl w:val="0"/>
                <w:numId w:val="9"/>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E-READI: several themes focusing on fisheries policy, IUU fishing and marine natural environment</w:t>
            </w:r>
          </w:p>
        </w:tc>
        <w:tc>
          <w:tcPr>
            <w:tcW w:w="5812" w:type="dxa"/>
            <w:shd w:val="clear" w:color="auto" w:fill="auto"/>
          </w:tcPr>
          <w:p w14:paraId="23CA696A"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Indicator 4.</w:t>
            </w:r>
            <w:r w:rsidRPr="002B0075">
              <w:rPr>
                <w:rFonts w:ascii="Times New Roman" w:hAnsi="Times New Roman" w:cs="Times New Roman"/>
                <w:color w:val="000000" w:themeColor="text1"/>
                <w:sz w:val="20"/>
                <w:szCs w:val="20"/>
              </w:rPr>
              <w:t xml:space="preserve"> ASEAN stakeholders signed up to international legal documents: ASEAN jointly declared war on IUU fishing through the SEAFDEC in 2016, partly thanks to the EC’s yellow card (The ASEAN Post 2018)</w:t>
            </w:r>
            <w:r w:rsidRPr="002B0075">
              <w:rPr>
                <w:rStyle w:val="a5"/>
                <w:rFonts w:ascii="Times New Roman" w:hAnsi="Times New Roman" w:cs="Times New Roman"/>
                <w:color w:val="000000" w:themeColor="text1"/>
                <w:sz w:val="20"/>
                <w:szCs w:val="20"/>
              </w:rPr>
              <w:footnoteReference w:id="28"/>
            </w:r>
          </w:p>
          <w:p w14:paraId="273AD5BC" w14:textId="77777777" w:rsidR="007A1460" w:rsidRPr="002B0075" w:rsidRDefault="007A1460" w:rsidP="002F725B">
            <w:pPr>
              <w:jc w:val="both"/>
              <w:rPr>
                <w:rFonts w:ascii="Times New Roman" w:hAnsi="Times New Roman" w:cs="Times New Roman"/>
                <w:color w:val="000000" w:themeColor="text1"/>
                <w:sz w:val="20"/>
                <w:szCs w:val="20"/>
              </w:rPr>
            </w:pPr>
          </w:p>
        </w:tc>
      </w:tr>
      <w:tr w:rsidR="002B0075" w:rsidRPr="002B0075" w14:paraId="18296772" w14:textId="77777777" w:rsidTr="002F725B">
        <w:trPr>
          <w:cantSplit/>
          <w:trHeight w:val="1738"/>
          <w:jc w:val="center"/>
        </w:trPr>
        <w:tc>
          <w:tcPr>
            <w:tcW w:w="2553" w:type="dxa"/>
            <w:vMerge/>
            <w:shd w:val="clear" w:color="auto" w:fill="auto"/>
            <w:textDirection w:val="btLr"/>
          </w:tcPr>
          <w:p w14:paraId="353313B3" w14:textId="77777777" w:rsidR="007A1460" w:rsidRPr="002B0075" w:rsidRDefault="007A1460" w:rsidP="002F725B">
            <w:pPr>
              <w:ind w:left="113" w:right="113"/>
              <w:jc w:val="both"/>
              <w:rPr>
                <w:rFonts w:ascii="Times New Roman" w:hAnsi="Times New Roman" w:cs="Times New Roman"/>
                <w:color w:val="000000" w:themeColor="text1"/>
                <w:sz w:val="20"/>
                <w:szCs w:val="20"/>
              </w:rPr>
            </w:pPr>
          </w:p>
        </w:tc>
        <w:tc>
          <w:tcPr>
            <w:tcW w:w="2840" w:type="dxa"/>
            <w:shd w:val="clear" w:color="auto" w:fill="auto"/>
          </w:tcPr>
          <w:p w14:paraId="03879AEA"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Border Security</w:t>
            </w:r>
            <w:r w:rsidRPr="002B0075">
              <w:rPr>
                <w:rFonts w:ascii="Times New Roman" w:hAnsi="Times New Roman" w:cs="Times New Roman"/>
                <w:color w:val="000000" w:themeColor="text1"/>
                <w:sz w:val="20"/>
                <w:szCs w:val="20"/>
              </w:rPr>
              <w:t xml:space="preserve"> (Strengthen law enforcement networks and cooperation at main regional transit hubs in ASEAN </w:t>
            </w:r>
            <w:proofErr w:type="gramStart"/>
            <w:r w:rsidRPr="002B0075">
              <w:rPr>
                <w:rFonts w:ascii="Times New Roman" w:hAnsi="Times New Roman" w:cs="Times New Roman"/>
                <w:color w:val="000000" w:themeColor="text1"/>
                <w:sz w:val="20"/>
                <w:szCs w:val="20"/>
              </w:rPr>
              <w:t>countries;</w:t>
            </w:r>
            <w:proofErr w:type="gramEnd"/>
          </w:p>
          <w:p w14:paraId="044EB12B"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improve coordination amongst ASEAN’s law enforcement agencies in implementing effective border controls)</w:t>
            </w:r>
          </w:p>
          <w:p w14:paraId="59EF6DE6" w14:textId="77777777" w:rsidR="007A1460" w:rsidRPr="002B0075" w:rsidRDefault="007A1460" w:rsidP="002F725B">
            <w:pPr>
              <w:jc w:val="both"/>
              <w:rPr>
                <w:rFonts w:ascii="Times New Roman" w:hAnsi="Times New Roman" w:cs="Times New Roman"/>
                <w:color w:val="000000" w:themeColor="text1"/>
                <w:sz w:val="20"/>
                <w:szCs w:val="20"/>
              </w:rPr>
            </w:pPr>
          </w:p>
        </w:tc>
        <w:tc>
          <w:tcPr>
            <w:tcW w:w="4672" w:type="dxa"/>
            <w:shd w:val="clear" w:color="auto" w:fill="auto"/>
          </w:tcPr>
          <w:p w14:paraId="515801FF"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 xml:space="preserve">EU–ASEAN Migration and Border Management </w:t>
            </w:r>
            <w:proofErr w:type="spellStart"/>
            <w:r w:rsidRPr="002B0075">
              <w:rPr>
                <w:rFonts w:cs="Times New Roman"/>
                <w:color w:val="000000" w:themeColor="text1"/>
                <w:sz w:val="20"/>
                <w:szCs w:val="20"/>
                <w:lang w:val="en-US"/>
              </w:rPr>
              <w:t>Programme</w:t>
            </w:r>
            <w:proofErr w:type="spellEnd"/>
            <w:r w:rsidRPr="002B0075">
              <w:rPr>
                <w:rFonts w:cs="Times New Roman"/>
                <w:color w:val="000000" w:themeColor="text1"/>
                <w:sz w:val="20"/>
                <w:szCs w:val="20"/>
                <w:lang w:val="en-US"/>
              </w:rPr>
              <w:t xml:space="preserve"> (EAMBMP): Training courses involving law enforcement officials from ASEAN MS; the training was based on Interpol’s global policing capacities, aiming to provide support for daily operations of border management and law enforcement across the ASEAN region</w:t>
            </w:r>
          </w:p>
        </w:tc>
        <w:tc>
          <w:tcPr>
            <w:tcW w:w="5812" w:type="dxa"/>
            <w:shd w:val="clear" w:color="auto" w:fill="auto"/>
          </w:tcPr>
          <w:p w14:paraId="38516DA0"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1</w:t>
            </w:r>
            <w:r w:rsidRPr="002B0075">
              <w:rPr>
                <w:rFonts w:cs="Times New Roman"/>
                <w:color w:val="000000" w:themeColor="text1"/>
                <w:sz w:val="20"/>
                <w:szCs w:val="20"/>
                <w:lang w:val="en-US"/>
              </w:rPr>
              <w:t>. The EU’s policy initiatives receive positive response from participants based on interviews with EU officials who participated in these activities, and ASEAN policymakers and experts (Interpol Interview 2016; 2017a; 2017b; 2017c)</w:t>
            </w:r>
          </w:p>
          <w:p w14:paraId="26E772BC" w14:textId="77777777" w:rsidR="007A1460" w:rsidRPr="002B0075" w:rsidRDefault="007A1460" w:rsidP="007A1460">
            <w:pPr>
              <w:pStyle w:val="aa"/>
              <w:widowControl/>
              <w:numPr>
                <w:ilvl w:val="0"/>
                <w:numId w:val="8"/>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5</w:t>
            </w:r>
            <w:r w:rsidRPr="002B0075">
              <w:rPr>
                <w:rFonts w:cs="Times New Roman"/>
                <w:color w:val="000000" w:themeColor="text1"/>
                <w:sz w:val="20"/>
                <w:szCs w:val="20"/>
                <w:lang w:val="en-US"/>
              </w:rPr>
              <w:t>. Observation of ASEAN’s policy changes or new policy implementations as a result of EU initiatives: under EAMBMP I, successful expansion of access to INTERPOL’s tools and services to frontline police in Cambodia and Vietnam; the connection of 16 border points in Cambodia and Vietnam to I-24/7 Interpol’s secure global communications system; under EAMBMP II, 3 border points were connected to the INTERPOL network</w:t>
            </w:r>
            <w:r w:rsidRPr="002B0075">
              <w:rPr>
                <w:rStyle w:val="a5"/>
                <w:rFonts w:cs="Times New Roman"/>
                <w:color w:val="000000" w:themeColor="text1"/>
                <w:sz w:val="20"/>
                <w:szCs w:val="20"/>
                <w:lang w:val="en-US"/>
              </w:rPr>
              <w:footnoteReference w:id="29"/>
            </w:r>
          </w:p>
        </w:tc>
      </w:tr>
      <w:tr w:rsidR="002B0075" w:rsidRPr="002B0075" w14:paraId="45CD91C2" w14:textId="77777777" w:rsidTr="002F725B">
        <w:trPr>
          <w:cantSplit/>
          <w:trHeight w:val="3211"/>
          <w:jc w:val="center"/>
        </w:trPr>
        <w:tc>
          <w:tcPr>
            <w:tcW w:w="2553" w:type="dxa"/>
            <w:vMerge/>
            <w:shd w:val="clear" w:color="auto" w:fill="auto"/>
            <w:textDirection w:val="btLr"/>
          </w:tcPr>
          <w:p w14:paraId="07724F64" w14:textId="77777777" w:rsidR="007A1460" w:rsidRPr="002B0075" w:rsidRDefault="007A1460" w:rsidP="002F725B">
            <w:pPr>
              <w:ind w:left="113" w:right="113"/>
              <w:jc w:val="both"/>
              <w:rPr>
                <w:rFonts w:ascii="Times New Roman" w:hAnsi="Times New Roman" w:cs="Times New Roman"/>
                <w:color w:val="000000" w:themeColor="text1"/>
                <w:sz w:val="20"/>
                <w:szCs w:val="20"/>
              </w:rPr>
            </w:pPr>
          </w:p>
        </w:tc>
        <w:tc>
          <w:tcPr>
            <w:tcW w:w="2840" w:type="dxa"/>
            <w:shd w:val="clear" w:color="auto" w:fill="auto"/>
          </w:tcPr>
          <w:p w14:paraId="475C740A"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Combat terrorism and transnational crime</w:t>
            </w:r>
            <w:r w:rsidRPr="002B0075">
              <w:rPr>
                <w:rFonts w:ascii="Times New Roman" w:hAnsi="Times New Roman" w:cs="Times New Roman"/>
                <w:color w:val="000000" w:themeColor="text1"/>
                <w:sz w:val="20"/>
                <w:szCs w:val="20"/>
              </w:rPr>
              <w:t xml:space="preserve"> (Promoting cooperation on the implementation of UN Convention against Transnational Organized Crime and its protocols)</w:t>
            </w:r>
          </w:p>
          <w:p w14:paraId="40DC6CC3" w14:textId="77777777" w:rsidR="007A1460" w:rsidRPr="002B0075" w:rsidRDefault="007A1460" w:rsidP="002F725B">
            <w:pPr>
              <w:jc w:val="both"/>
              <w:rPr>
                <w:rFonts w:ascii="Times New Roman" w:hAnsi="Times New Roman" w:cs="Times New Roman"/>
                <w:color w:val="000000" w:themeColor="text1"/>
                <w:sz w:val="20"/>
                <w:szCs w:val="20"/>
              </w:rPr>
            </w:pPr>
          </w:p>
        </w:tc>
        <w:tc>
          <w:tcPr>
            <w:tcW w:w="4672" w:type="dxa"/>
            <w:shd w:val="clear" w:color="auto" w:fill="auto"/>
          </w:tcPr>
          <w:p w14:paraId="63455977" w14:textId="77777777" w:rsidR="007A1460" w:rsidRPr="002B0075" w:rsidRDefault="007A1460" w:rsidP="007A1460">
            <w:pPr>
              <w:pStyle w:val="aa"/>
              <w:widowControl/>
              <w:numPr>
                <w:ilvl w:val="0"/>
                <w:numId w:val="10"/>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ARF: EU’s co-chairmanships of ARF meetings on counterterrorism and transnational crime</w:t>
            </w:r>
          </w:p>
          <w:p w14:paraId="76862842" w14:textId="49FF0BF4" w:rsidR="007A1460" w:rsidRPr="002B0075" w:rsidRDefault="007A1460" w:rsidP="007A1460">
            <w:pPr>
              <w:pStyle w:val="aa"/>
              <w:widowControl/>
              <w:numPr>
                <w:ilvl w:val="0"/>
                <w:numId w:val="10"/>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EU-UNODC Joint Initiative in the framework of the CT sub-</w:t>
            </w:r>
            <w:proofErr w:type="spellStart"/>
            <w:r w:rsidRPr="002B0075">
              <w:rPr>
                <w:rFonts w:cs="Times New Roman"/>
                <w:color w:val="000000" w:themeColor="text1"/>
                <w:sz w:val="20"/>
                <w:szCs w:val="20"/>
                <w:lang w:val="en-US"/>
              </w:rPr>
              <w:t>programme</w:t>
            </w:r>
            <w:proofErr w:type="spellEnd"/>
            <w:r w:rsidRPr="002B0075">
              <w:rPr>
                <w:rFonts w:cs="Times New Roman"/>
                <w:color w:val="000000" w:themeColor="text1"/>
                <w:sz w:val="20"/>
                <w:szCs w:val="20"/>
                <w:lang w:val="en-US"/>
              </w:rPr>
              <w:t xml:space="preserve"> (EU provided USD 2,600,728 for technical assistance; </w:t>
            </w:r>
            <w:proofErr w:type="spellStart"/>
            <w:r w:rsidRPr="002B0075">
              <w:rPr>
                <w:rFonts w:cs="Times New Roman"/>
                <w:color w:val="000000" w:themeColor="text1"/>
                <w:sz w:val="20"/>
                <w:szCs w:val="20"/>
                <w:lang w:val="en-US"/>
              </w:rPr>
              <w:t>Programme</w:t>
            </w:r>
            <w:proofErr w:type="spellEnd"/>
            <w:r w:rsidRPr="002B0075">
              <w:rPr>
                <w:rFonts w:cs="Times New Roman"/>
                <w:color w:val="000000" w:themeColor="text1"/>
                <w:sz w:val="20"/>
                <w:szCs w:val="20"/>
                <w:lang w:val="en-US"/>
              </w:rPr>
              <w:t xml:space="preserve"> activities include support the establishment of legislative and regulatory frameworks in ASEAN participant countries, efforts to build implementation capacity for rule-of-law-based CT measures through training and workshop events (UNODC 2016)</w:t>
            </w:r>
            <w:r w:rsidR="00E072BB" w:rsidRPr="002B0075">
              <w:rPr>
                <w:rStyle w:val="a5"/>
                <w:rFonts w:cs="Times New Roman"/>
                <w:color w:val="000000" w:themeColor="text1"/>
                <w:sz w:val="20"/>
                <w:szCs w:val="20"/>
                <w:lang w:val="en-US"/>
              </w:rPr>
              <w:footnoteReference w:id="30"/>
            </w:r>
          </w:p>
        </w:tc>
        <w:tc>
          <w:tcPr>
            <w:tcW w:w="5812" w:type="dxa"/>
            <w:shd w:val="clear" w:color="auto" w:fill="auto"/>
          </w:tcPr>
          <w:p w14:paraId="13C359C0" w14:textId="02CF3859" w:rsidR="007A1460" w:rsidRPr="002B0075" w:rsidRDefault="007A1460" w:rsidP="00E072BB">
            <w:pPr>
              <w:pStyle w:val="aa"/>
              <w:widowControl/>
              <w:numPr>
                <w:ilvl w:val="0"/>
                <w:numId w:val="10"/>
              </w:numPr>
              <w:ind w:firstLineChars="0"/>
              <w:jc w:val="both"/>
              <w:rPr>
                <w:rFonts w:cs="Times New Roman"/>
                <w:color w:val="000000" w:themeColor="text1"/>
                <w:sz w:val="20"/>
                <w:szCs w:val="20"/>
                <w:lang w:val="en-US"/>
              </w:rPr>
            </w:pPr>
            <w:r w:rsidRPr="002B0075">
              <w:rPr>
                <w:rFonts w:cs="Times New Roman"/>
                <w:color w:val="000000" w:themeColor="text1"/>
                <w:sz w:val="20"/>
                <w:szCs w:val="20"/>
                <w:u w:val="single"/>
                <w:lang w:val="en-US"/>
              </w:rPr>
              <w:t>Indicator 4.</w:t>
            </w:r>
            <w:r w:rsidRPr="002B0075">
              <w:rPr>
                <w:rFonts w:cs="Times New Roman"/>
                <w:color w:val="000000" w:themeColor="text1"/>
                <w:sz w:val="20"/>
                <w:szCs w:val="20"/>
                <w:lang w:val="en-US"/>
              </w:rPr>
              <w:t xml:space="preserve"> The drafting of new anti-terrorist financing law according to international standards and adopted in the Philippines, Cambodia and Lao PDR; Technical support on extradition, mutual legal assistance laws and ratification of UN Conventions in general recognized by Laos and the Philippines and international stakeholders</w:t>
            </w:r>
            <w:r w:rsidR="00E072BB" w:rsidRPr="002B0075">
              <w:rPr>
                <w:rFonts w:cs="Times New Roman"/>
                <w:color w:val="000000" w:themeColor="text1"/>
                <w:sz w:val="20"/>
                <w:szCs w:val="20"/>
                <w:lang w:val="en-US"/>
              </w:rPr>
              <w:t>;</w:t>
            </w:r>
            <w:r w:rsidRPr="002B0075">
              <w:rPr>
                <w:rFonts w:cs="Times New Roman"/>
                <w:color w:val="000000" w:themeColor="text1"/>
                <w:sz w:val="20"/>
                <w:szCs w:val="20"/>
                <w:lang w:val="en-US"/>
              </w:rPr>
              <w:t xml:space="preserve"> </w:t>
            </w:r>
            <w:r w:rsidR="00E072BB" w:rsidRPr="002B0075">
              <w:rPr>
                <w:rFonts w:cs="Times New Roman"/>
                <w:color w:val="000000" w:themeColor="text1"/>
                <w:sz w:val="20"/>
                <w:szCs w:val="20"/>
                <w:lang w:val="en-US"/>
              </w:rPr>
              <w:t xml:space="preserve">The sub-programme reports contributing to the following specific legislative outcomes through the provision of drafting and other technical assistance: Extradition law passed in Lao PDR in 2012 (followed up by training to prosecutors from implementation in 7 provinces); Submission of the draft bill on Mutual Legal Assistance and an amendment to the Extradition law in the Philippines; Ratification of the Convention for the Suppression of Acts of Nuclear Terrorism </w:t>
            </w:r>
            <w:r w:rsidRPr="002B0075">
              <w:rPr>
                <w:rFonts w:cs="Times New Roman"/>
                <w:color w:val="000000" w:themeColor="text1"/>
                <w:sz w:val="20"/>
                <w:szCs w:val="20"/>
                <w:lang w:val="en-US"/>
              </w:rPr>
              <w:t>(UNODC 2016</w:t>
            </w:r>
            <w:r w:rsidR="00E072BB" w:rsidRPr="002B0075">
              <w:rPr>
                <w:rFonts w:cs="Times New Roman"/>
                <w:color w:val="000000" w:themeColor="text1"/>
                <w:sz w:val="20"/>
                <w:szCs w:val="20"/>
                <w:lang w:val="en-US"/>
              </w:rPr>
              <w:t>: 19-20</w:t>
            </w:r>
            <w:r w:rsidRPr="002B0075">
              <w:rPr>
                <w:rFonts w:cs="Times New Roman"/>
                <w:color w:val="000000" w:themeColor="text1"/>
                <w:sz w:val="20"/>
                <w:szCs w:val="20"/>
                <w:lang w:val="en-US"/>
              </w:rPr>
              <w:t>)</w:t>
            </w:r>
          </w:p>
          <w:p w14:paraId="4856D246" w14:textId="77777777" w:rsidR="007A1460" w:rsidRPr="002B0075" w:rsidRDefault="007A1460" w:rsidP="002F725B">
            <w:pPr>
              <w:pStyle w:val="Default"/>
              <w:widowControl/>
              <w:jc w:val="both"/>
              <w:rPr>
                <w:rFonts w:ascii="Times New Roman" w:hAnsi="Times New Roman" w:cs="Times New Roman"/>
                <w:color w:val="000000" w:themeColor="text1"/>
                <w:kern w:val="2"/>
                <w:sz w:val="20"/>
                <w:szCs w:val="20"/>
              </w:rPr>
            </w:pPr>
          </w:p>
        </w:tc>
      </w:tr>
      <w:tr w:rsidR="007A1460" w:rsidRPr="002B0075" w14:paraId="24026112" w14:textId="77777777" w:rsidTr="002F725B">
        <w:trPr>
          <w:cantSplit/>
          <w:trHeight w:val="1833"/>
          <w:jc w:val="center"/>
        </w:trPr>
        <w:tc>
          <w:tcPr>
            <w:tcW w:w="2553" w:type="dxa"/>
            <w:vMerge/>
            <w:shd w:val="clear" w:color="auto" w:fill="auto"/>
            <w:textDirection w:val="btLr"/>
          </w:tcPr>
          <w:p w14:paraId="7A5DA081" w14:textId="77777777" w:rsidR="007A1460" w:rsidRPr="002B0075" w:rsidRDefault="007A1460" w:rsidP="002F725B">
            <w:pPr>
              <w:ind w:left="113" w:right="113"/>
              <w:jc w:val="both"/>
              <w:rPr>
                <w:rFonts w:ascii="Times New Roman" w:hAnsi="Times New Roman" w:cs="Times New Roman"/>
                <w:color w:val="000000" w:themeColor="text1"/>
                <w:sz w:val="20"/>
                <w:szCs w:val="20"/>
              </w:rPr>
            </w:pPr>
          </w:p>
        </w:tc>
        <w:tc>
          <w:tcPr>
            <w:tcW w:w="2840" w:type="dxa"/>
            <w:shd w:val="clear" w:color="auto" w:fill="auto"/>
          </w:tcPr>
          <w:p w14:paraId="74E37DAE"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u w:val="single"/>
              </w:rPr>
              <w:t>CBRN risk management, disarmament and non-proliferation</w:t>
            </w:r>
            <w:r w:rsidRPr="002B0075">
              <w:rPr>
                <w:rFonts w:ascii="Times New Roman" w:hAnsi="Times New Roman" w:cs="Times New Roman"/>
                <w:color w:val="000000" w:themeColor="text1"/>
                <w:sz w:val="20"/>
                <w:szCs w:val="20"/>
              </w:rPr>
              <w:t xml:space="preserve"> (Promoting non-proliferation and disarmament based on international law and </w:t>
            </w:r>
            <w:proofErr w:type="gramStart"/>
            <w:r w:rsidRPr="002B0075">
              <w:rPr>
                <w:rFonts w:ascii="Times New Roman" w:hAnsi="Times New Roman" w:cs="Times New Roman"/>
                <w:color w:val="000000" w:themeColor="text1"/>
                <w:sz w:val="20"/>
                <w:szCs w:val="20"/>
              </w:rPr>
              <w:t>conventions;</w:t>
            </w:r>
            <w:proofErr w:type="gramEnd"/>
          </w:p>
          <w:p w14:paraId="56597020"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 xml:space="preserve">combating illegal transfer of SAWL in line with the UN Programme of Action to Prevent, Combat and Eradicate the Illicit trade in </w:t>
            </w:r>
            <w:proofErr w:type="gramStart"/>
            <w:r w:rsidRPr="002B0075">
              <w:rPr>
                <w:rFonts w:ascii="Times New Roman" w:hAnsi="Times New Roman" w:cs="Times New Roman"/>
                <w:color w:val="000000" w:themeColor="text1"/>
                <w:sz w:val="20"/>
                <w:szCs w:val="20"/>
              </w:rPr>
              <w:t>SALW;</w:t>
            </w:r>
            <w:proofErr w:type="gramEnd"/>
          </w:p>
          <w:p w14:paraId="402F5577"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improve the regulation of international trade in conventional arms)</w:t>
            </w:r>
          </w:p>
        </w:tc>
        <w:tc>
          <w:tcPr>
            <w:tcW w:w="4672" w:type="dxa"/>
            <w:shd w:val="clear" w:color="auto" w:fill="auto"/>
          </w:tcPr>
          <w:p w14:paraId="72EE87E6" w14:textId="77777777" w:rsidR="007A1460" w:rsidRPr="002B0075" w:rsidRDefault="007A1460" w:rsidP="007A1460">
            <w:pPr>
              <w:pStyle w:val="aa"/>
              <w:widowControl/>
              <w:numPr>
                <w:ilvl w:val="0"/>
                <w:numId w:val="11"/>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 xml:space="preserve">EU CBRN </w:t>
            </w:r>
            <w:proofErr w:type="spellStart"/>
            <w:r w:rsidRPr="002B0075">
              <w:rPr>
                <w:rFonts w:cs="Times New Roman"/>
                <w:color w:val="000000" w:themeColor="text1"/>
                <w:sz w:val="20"/>
                <w:szCs w:val="20"/>
                <w:lang w:val="en-US"/>
              </w:rPr>
              <w:t>CoE</w:t>
            </w:r>
            <w:proofErr w:type="spellEnd"/>
            <w:r w:rsidRPr="002B0075">
              <w:rPr>
                <w:rFonts w:cs="Times New Roman"/>
                <w:color w:val="000000" w:themeColor="text1"/>
                <w:sz w:val="20"/>
                <w:szCs w:val="20"/>
                <w:lang w:val="en-US"/>
              </w:rPr>
              <w:t xml:space="preserve"> projects: with specific components to improve the participant countries’ legislation in addressing CBRN risks and to combat illicit trade in biological and chemical weapons</w:t>
            </w:r>
          </w:p>
          <w:p w14:paraId="43E0824F" w14:textId="77777777" w:rsidR="007A1460" w:rsidRPr="002B0075" w:rsidRDefault="007A1460" w:rsidP="007A1460">
            <w:pPr>
              <w:pStyle w:val="aa"/>
              <w:widowControl/>
              <w:numPr>
                <w:ilvl w:val="0"/>
                <w:numId w:val="11"/>
              </w:numPr>
              <w:ind w:firstLineChars="0"/>
              <w:jc w:val="both"/>
              <w:rPr>
                <w:rFonts w:cs="Times New Roman"/>
                <w:color w:val="000000" w:themeColor="text1"/>
                <w:sz w:val="20"/>
                <w:szCs w:val="20"/>
                <w:lang w:val="en-US"/>
              </w:rPr>
            </w:pPr>
            <w:r w:rsidRPr="002B0075">
              <w:rPr>
                <w:rFonts w:cs="Times New Roman"/>
                <w:color w:val="000000" w:themeColor="text1"/>
                <w:sz w:val="20"/>
                <w:szCs w:val="20"/>
                <w:lang w:val="en-US"/>
              </w:rPr>
              <w:t>ARF:  EU’s participation in ARF Inter-sessional Meeting on non-proliferation and disarmament</w:t>
            </w:r>
          </w:p>
          <w:p w14:paraId="16F3DF01" w14:textId="77777777" w:rsidR="007A1460" w:rsidRPr="002B0075" w:rsidRDefault="007A1460" w:rsidP="002F725B">
            <w:pPr>
              <w:jc w:val="both"/>
              <w:rPr>
                <w:rFonts w:ascii="Times New Roman" w:hAnsi="Times New Roman" w:cs="Times New Roman"/>
                <w:color w:val="000000" w:themeColor="text1"/>
                <w:sz w:val="20"/>
                <w:szCs w:val="20"/>
              </w:rPr>
            </w:pPr>
          </w:p>
          <w:p w14:paraId="24BED5B9" w14:textId="77777777" w:rsidR="007A1460" w:rsidRPr="002B0075" w:rsidRDefault="007A1460" w:rsidP="002F725B">
            <w:pPr>
              <w:jc w:val="both"/>
              <w:rPr>
                <w:rFonts w:ascii="Times New Roman" w:hAnsi="Times New Roman" w:cs="Times New Roman"/>
                <w:color w:val="000000" w:themeColor="text1"/>
                <w:sz w:val="20"/>
                <w:szCs w:val="20"/>
              </w:rPr>
            </w:pPr>
          </w:p>
        </w:tc>
        <w:tc>
          <w:tcPr>
            <w:tcW w:w="5812" w:type="dxa"/>
            <w:shd w:val="clear" w:color="auto" w:fill="auto"/>
          </w:tcPr>
          <w:p w14:paraId="4819E210" w14:textId="77777777" w:rsidR="007A1460" w:rsidRPr="002B0075" w:rsidRDefault="007A1460" w:rsidP="002F725B">
            <w:pPr>
              <w:jc w:val="both"/>
              <w:rPr>
                <w:rFonts w:ascii="Times New Roman" w:hAnsi="Times New Roman" w:cs="Times New Roman"/>
                <w:color w:val="000000" w:themeColor="text1"/>
                <w:sz w:val="20"/>
                <w:szCs w:val="20"/>
              </w:rPr>
            </w:pPr>
            <w:r w:rsidRPr="002B0075">
              <w:rPr>
                <w:rFonts w:ascii="Times New Roman" w:hAnsi="Times New Roman" w:cs="Times New Roman"/>
                <w:color w:val="000000" w:themeColor="text1"/>
                <w:sz w:val="20"/>
                <w:szCs w:val="20"/>
              </w:rPr>
              <w:t>Indicator 1. The EU’s policy initiatives receive positive response from participants based on interviews with EU officials who participated in these activities, and ASEAN policymakers and experts</w:t>
            </w:r>
            <w:r w:rsidRPr="002B0075">
              <w:rPr>
                <w:rStyle w:val="a5"/>
                <w:rFonts w:ascii="Times New Roman" w:hAnsi="Times New Roman" w:cs="Times New Roman"/>
                <w:color w:val="000000" w:themeColor="text1"/>
                <w:sz w:val="20"/>
                <w:szCs w:val="20"/>
              </w:rPr>
              <w:footnoteReference w:id="31"/>
            </w:r>
          </w:p>
        </w:tc>
      </w:tr>
    </w:tbl>
    <w:p w14:paraId="0A52C08A" w14:textId="77777777" w:rsidR="007A1460" w:rsidRPr="002B0075" w:rsidRDefault="007A1460" w:rsidP="007A1460">
      <w:pPr>
        <w:rPr>
          <w:color w:val="000000" w:themeColor="text1"/>
        </w:rPr>
      </w:pPr>
    </w:p>
    <w:p w14:paraId="425C7620" w14:textId="1A638DD6" w:rsidR="00DB77FE" w:rsidRPr="002B0075" w:rsidRDefault="00DB77FE" w:rsidP="00514E1A">
      <w:pPr>
        <w:jc w:val="both"/>
        <w:rPr>
          <w:rFonts w:ascii="Times New Roman" w:hAnsi="Times New Roman" w:cs="Times New Roman"/>
          <w:color w:val="000000" w:themeColor="text1"/>
          <w:sz w:val="20"/>
          <w:szCs w:val="20"/>
        </w:rPr>
      </w:pPr>
    </w:p>
    <w:sectPr w:rsidR="00DB77FE" w:rsidRPr="002B0075" w:rsidSect="002F725B">
      <w:pgSz w:w="16840" w:h="11900"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9288" w14:textId="77777777" w:rsidR="00A55E6B" w:rsidRDefault="00A55E6B" w:rsidP="004A6F37">
      <w:r>
        <w:separator/>
      </w:r>
    </w:p>
  </w:endnote>
  <w:endnote w:type="continuationSeparator" w:id="0">
    <w:p w14:paraId="44EB1B77" w14:textId="77777777" w:rsidR="00A55E6B" w:rsidRDefault="00A55E6B" w:rsidP="004A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92495"/>
      <w:docPartObj>
        <w:docPartGallery w:val="Page Numbers (Bottom of Page)"/>
        <w:docPartUnique/>
      </w:docPartObj>
    </w:sdtPr>
    <w:sdtEndPr>
      <w:rPr>
        <w:noProof/>
      </w:rPr>
    </w:sdtEndPr>
    <w:sdtContent>
      <w:p w14:paraId="01A05A39" w14:textId="65EB28AE" w:rsidR="002F3F09" w:rsidRDefault="002F3F09">
        <w:pPr>
          <w:pStyle w:val="af9"/>
          <w:jc w:val="right"/>
        </w:pPr>
        <w:r>
          <w:fldChar w:fldCharType="begin"/>
        </w:r>
        <w:r>
          <w:instrText xml:space="preserve"> PAGE   \* MERGEFORMAT </w:instrText>
        </w:r>
        <w:r>
          <w:fldChar w:fldCharType="separate"/>
        </w:r>
        <w:r>
          <w:rPr>
            <w:noProof/>
          </w:rPr>
          <w:t>2</w:t>
        </w:r>
        <w:r>
          <w:rPr>
            <w:noProof/>
          </w:rPr>
          <w:fldChar w:fldCharType="end"/>
        </w:r>
      </w:p>
    </w:sdtContent>
  </w:sdt>
  <w:p w14:paraId="45AF272E" w14:textId="77777777" w:rsidR="002F3F09" w:rsidRDefault="002F3F0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FB0A" w14:textId="77777777" w:rsidR="00A55E6B" w:rsidRDefault="00A55E6B" w:rsidP="004A6F37">
      <w:r>
        <w:separator/>
      </w:r>
    </w:p>
  </w:footnote>
  <w:footnote w:type="continuationSeparator" w:id="0">
    <w:p w14:paraId="6986F632" w14:textId="77777777" w:rsidR="00A55E6B" w:rsidRDefault="00A55E6B" w:rsidP="004A6F37">
      <w:r>
        <w:continuationSeparator/>
      </w:r>
    </w:p>
  </w:footnote>
  <w:footnote w:id="1">
    <w:p w14:paraId="6E1926AD" w14:textId="02EBBC98" w:rsidR="002F725B" w:rsidRPr="00FF25E8" w:rsidRDefault="002F725B">
      <w:pPr>
        <w:pStyle w:val="a3"/>
        <w:rPr>
          <w:rFonts w:ascii="Times New Roman" w:hAnsi="Times New Roman" w:cs="Times New Roman"/>
        </w:rPr>
      </w:pPr>
      <w:r w:rsidRPr="00DC12D8">
        <w:rPr>
          <w:rStyle w:val="a5"/>
          <w:rFonts w:ascii="Times New Roman" w:hAnsi="Times New Roman" w:cs="Times New Roman"/>
        </w:rPr>
        <w:footnoteRef/>
      </w:r>
      <w:r w:rsidRPr="00DC12D8">
        <w:rPr>
          <w:rFonts w:ascii="Times New Roman" w:hAnsi="Times New Roman" w:cs="Times New Roman"/>
        </w:rPr>
        <w:t xml:space="preserve"> For instance, the conventional NPE literature focuses primarily on the EU’s promotion of single norms in international relations, exemplified by the EU’s diffusion of human rights (Erickson 2013), democracy (Powel 2009), sexual minority rights (Mos 2013), sustainable development (Lightfoot and Burchell 2005).</w:t>
      </w:r>
    </w:p>
  </w:footnote>
  <w:footnote w:id="2">
    <w:p w14:paraId="35DD3D40" w14:textId="1A6E897B" w:rsidR="004E0300" w:rsidRPr="00373D23" w:rsidRDefault="004E0300">
      <w:pPr>
        <w:pStyle w:val="a3"/>
        <w:rPr>
          <w:rFonts w:ascii="Times New Roman" w:hAnsi="Times New Roman" w:cs="Times New Roman"/>
          <w:sz w:val="15"/>
          <w:szCs w:val="15"/>
        </w:rPr>
      </w:pPr>
      <w:r w:rsidRPr="000A2CA2">
        <w:rPr>
          <w:rStyle w:val="a5"/>
          <w:color w:val="FF0000"/>
        </w:rPr>
        <w:footnoteRef/>
      </w:r>
      <w:r w:rsidRPr="000A2CA2">
        <w:rPr>
          <w:color w:val="FF0000"/>
        </w:rPr>
        <w:t xml:space="preserve"> </w:t>
      </w:r>
      <w:r w:rsidRPr="000A2CA2">
        <w:rPr>
          <w:rFonts w:ascii="Times New Roman" w:hAnsi="Times New Roman" w:cs="Times New Roman"/>
          <w:color w:val="FF0000"/>
          <w:sz w:val="15"/>
          <w:szCs w:val="15"/>
        </w:rPr>
        <w:t>The initial discussion on NPE (Manners, 2002) provided a brief discussion on norm diffusion in international relations, drawing on the</w:t>
      </w:r>
      <w:r w:rsidRPr="008A2544">
        <w:rPr>
          <w:rFonts w:ascii="Times New Roman" w:eastAsia="宋体" w:hAnsi="Times New Roman" w:cs="Times New Roman"/>
          <w:color w:val="FF0000"/>
          <w:kern w:val="0"/>
          <w:sz w:val="15"/>
          <w:szCs w:val="15"/>
          <w:shd w:val="clear" w:color="auto" w:fill="FFFFFF"/>
          <w:lang w:val="en-US"/>
        </w:rPr>
        <w:t xml:space="preserve"> international dimension of </w:t>
      </w:r>
      <w:proofErr w:type="spellStart"/>
      <w:r w:rsidRPr="008A2544">
        <w:rPr>
          <w:rFonts w:ascii="Times New Roman" w:eastAsia="宋体" w:hAnsi="Times New Roman" w:cs="Times New Roman"/>
          <w:color w:val="FF0000"/>
          <w:kern w:val="0"/>
          <w:sz w:val="15"/>
          <w:szCs w:val="15"/>
          <w:shd w:val="clear" w:color="auto" w:fill="FFFFFF"/>
          <w:lang w:val="en-US"/>
        </w:rPr>
        <w:t>democratisation</w:t>
      </w:r>
      <w:proofErr w:type="spellEnd"/>
      <w:r w:rsidRPr="008A2544">
        <w:rPr>
          <w:rFonts w:ascii="Times New Roman" w:eastAsia="宋体" w:hAnsi="Times New Roman" w:cs="Times New Roman"/>
          <w:color w:val="FF0000"/>
          <w:kern w:val="0"/>
          <w:sz w:val="15"/>
          <w:szCs w:val="15"/>
          <w:shd w:val="clear" w:color="auto" w:fill="FFFFFF"/>
          <w:lang w:val="en-US"/>
        </w:rPr>
        <w:t xml:space="preserve"> (Whitehead 1996)</w:t>
      </w:r>
      <w:r w:rsidRPr="000A2CA2">
        <w:rPr>
          <w:rFonts w:ascii="Times New Roman" w:eastAsia="宋体" w:hAnsi="Times New Roman" w:cs="Times New Roman"/>
          <w:color w:val="FF0000"/>
          <w:kern w:val="0"/>
          <w:sz w:val="15"/>
          <w:szCs w:val="15"/>
          <w:shd w:val="clear" w:color="auto" w:fill="FFFFFF"/>
          <w:lang w:val="en-US"/>
        </w:rPr>
        <w:t>,</w:t>
      </w:r>
      <w:r w:rsidRPr="008A2544">
        <w:rPr>
          <w:rFonts w:ascii="Times New Roman" w:eastAsia="宋体" w:hAnsi="Times New Roman" w:cs="Times New Roman"/>
          <w:color w:val="FF0000"/>
          <w:kern w:val="0"/>
          <w:sz w:val="15"/>
          <w:szCs w:val="15"/>
          <w:shd w:val="clear" w:color="auto" w:fill="FFFFFF"/>
          <w:lang w:val="en-US"/>
        </w:rPr>
        <w:t xml:space="preserve"> cultural diffusion on political learning in the </w:t>
      </w:r>
      <w:proofErr w:type="spellStart"/>
      <w:r w:rsidRPr="008A2544">
        <w:rPr>
          <w:rFonts w:ascii="Times New Roman" w:eastAsia="宋体" w:hAnsi="Times New Roman" w:cs="Times New Roman"/>
          <w:color w:val="FF0000"/>
          <w:kern w:val="0"/>
          <w:sz w:val="15"/>
          <w:szCs w:val="15"/>
          <w:shd w:val="clear" w:color="auto" w:fill="FFFFFF"/>
          <w:lang w:val="en-US"/>
        </w:rPr>
        <w:t>democratisation</w:t>
      </w:r>
      <w:proofErr w:type="spellEnd"/>
      <w:r w:rsidRPr="008A2544">
        <w:rPr>
          <w:rFonts w:ascii="Times New Roman" w:eastAsia="宋体" w:hAnsi="Times New Roman" w:cs="Times New Roman"/>
          <w:color w:val="FF0000"/>
          <w:kern w:val="0"/>
          <w:sz w:val="15"/>
          <w:szCs w:val="15"/>
          <w:shd w:val="clear" w:color="auto" w:fill="FFFFFF"/>
          <w:lang w:val="en-US"/>
        </w:rPr>
        <w:t xml:space="preserve"> of China (</w:t>
      </w:r>
      <w:proofErr w:type="spellStart"/>
      <w:r w:rsidRPr="008A2544">
        <w:rPr>
          <w:rFonts w:ascii="Times New Roman" w:eastAsia="宋体" w:hAnsi="Times New Roman" w:cs="Times New Roman"/>
          <w:color w:val="FF0000"/>
          <w:kern w:val="0"/>
          <w:sz w:val="15"/>
          <w:szCs w:val="15"/>
          <w:shd w:val="clear" w:color="auto" w:fill="FFFFFF"/>
          <w:lang w:val="en-US"/>
        </w:rPr>
        <w:t>Kinnvall</w:t>
      </w:r>
      <w:proofErr w:type="spellEnd"/>
      <w:r w:rsidRPr="008A2544">
        <w:rPr>
          <w:rFonts w:ascii="Times New Roman" w:eastAsia="宋体" w:hAnsi="Times New Roman" w:cs="Times New Roman"/>
          <w:color w:val="FF0000"/>
          <w:kern w:val="0"/>
          <w:sz w:val="15"/>
          <w:szCs w:val="15"/>
          <w:shd w:val="clear" w:color="auto" w:fill="FFFFFF"/>
          <w:lang w:val="en-US"/>
        </w:rPr>
        <w:t xml:space="preserve"> 1995), and the EU’s international network of relations (Manners and Whitman, 1998).</w:t>
      </w:r>
    </w:p>
  </w:footnote>
  <w:footnote w:id="3">
    <w:p w14:paraId="3CF6C268" w14:textId="39E4A623" w:rsidR="002F725B" w:rsidRPr="0096667B" w:rsidRDefault="002F725B" w:rsidP="0096667B">
      <w:pPr>
        <w:pStyle w:val="af6"/>
        <w:shd w:val="clear" w:color="auto" w:fill="FFFFFF"/>
        <w:spacing w:before="0" w:beforeAutospacing="0" w:after="0" w:afterAutospacing="0"/>
        <w:rPr>
          <w:rFonts w:ascii="Times New Roman" w:hAnsi="Times New Roman" w:cs="Times New Roman"/>
          <w:color w:val="000000" w:themeColor="text1"/>
          <w:sz w:val="15"/>
          <w:szCs w:val="15"/>
        </w:rPr>
      </w:pPr>
      <w:r w:rsidRPr="00053F5C">
        <w:rPr>
          <w:rStyle w:val="a5"/>
          <w:sz w:val="15"/>
          <w:szCs w:val="15"/>
        </w:rPr>
        <w:footnoteRef/>
      </w:r>
      <w:r w:rsidRPr="00053F5C">
        <w:rPr>
          <w:sz w:val="15"/>
          <w:szCs w:val="15"/>
        </w:rPr>
        <w:t xml:space="preserve"> </w:t>
      </w:r>
      <w:r w:rsidRPr="00053F5C">
        <w:rPr>
          <w:rFonts w:ascii="Times New Roman" w:hAnsi="Times New Roman" w:cs="Times New Roman"/>
          <w:color w:val="000000" w:themeColor="text1"/>
          <w:sz w:val="15"/>
          <w:szCs w:val="15"/>
          <w:lang w:val="en-US"/>
        </w:rPr>
        <w:t xml:space="preserve">Author interview with </w:t>
      </w:r>
      <w:r w:rsidRPr="00053F5C">
        <w:rPr>
          <w:rFonts w:ascii="Times New Roman" w:hAnsi="Times New Roman" w:cs="Times New Roman"/>
          <w:color w:val="000000" w:themeColor="text1"/>
          <w:sz w:val="15"/>
          <w:szCs w:val="15"/>
        </w:rPr>
        <w:t>desk officer ASEAN and Afghanistan, Asia, Australia &amp; New Zealand Unit</w:t>
      </w:r>
      <w:r w:rsidRPr="00053F5C">
        <w:rPr>
          <w:rFonts w:ascii="Times New Roman" w:hAnsi="Times New Roman" w:cs="Times New Roman" w:hint="eastAsia"/>
          <w:color w:val="000000" w:themeColor="text1"/>
          <w:sz w:val="15"/>
          <w:szCs w:val="15"/>
        </w:rPr>
        <w:t xml:space="preserve"> </w:t>
      </w:r>
      <w:r w:rsidRPr="00053F5C">
        <w:rPr>
          <w:rFonts w:ascii="Times New Roman" w:hAnsi="Times New Roman" w:cs="Times New Roman"/>
          <w:color w:val="000000" w:themeColor="text1"/>
          <w:sz w:val="15"/>
          <w:szCs w:val="15"/>
        </w:rPr>
        <w:t>European Parliament. Brussels. 17 February 2017.</w:t>
      </w:r>
    </w:p>
  </w:footnote>
  <w:footnote w:id="4">
    <w:p w14:paraId="0264EAA3" w14:textId="086537F5" w:rsidR="002F725B" w:rsidRPr="001B2FC8" w:rsidRDefault="002F725B" w:rsidP="00053F5C">
      <w:pPr>
        <w:rPr>
          <w:rFonts w:ascii="Times New Roman" w:hAnsi="Times New Roman" w:cs="Times New Roman"/>
          <w:color w:val="000000" w:themeColor="text1"/>
          <w:sz w:val="15"/>
          <w:szCs w:val="15"/>
          <w:lang w:val="en-US"/>
        </w:rPr>
      </w:pPr>
      <w:r w:rsidRPr="001B2FC8">
        <w:rPr>
          <w:rStyle w:val="a5"/>
          <w:rFonts w:ascii="Times New Roman" w:hAnsi="Times New Roman" w:cs="Times New Roman"/>
          <w:sz w:val="15"/>
          <w:szCs w:val="15"/>
        </w:rPr>
        <w:footnoteRef/>
      </w:r>
      <w:r w:rsidRPr="001B2FC8">
        <w:rPr>
          <w:rFonts w:ascii="Times New Roman" w:hAnsi="Times New Roman" w:cs="Times New Roman"/>
          <w:sz w:val="15"/>
          <w:szCs w:val="15"/>
        </w:rPr>
        <w:t xml:space="preserve"> Author interview with </w:t>
      </w:r>
      <w:r w:rsidRPr="001B2FC8">
        <w:rPr>
          <w:rFonts w:ascii="Times New Roman" w:hAnsi="Times New Roman" w:cs="Times New Roman"/>
          <w:color w:val="000000" w:themeColor="text1"/>
          <w:sz w:val="15"/>
          <w:szCs w:val="15"/>
        </w:rPr>
        <w:t>Head of Strategy Section, Security Policy Directorate, EEAS. Brussels. 15 May 2018.</w:t>
      </w:r>
    </w:p>
  </w:footnote>
  <w:footnote w:id="5">
    <w:p w14:paraId="26207894" w14:textId="533C7A62" w:rsidR="002F725B" w:rsidRPr="001B2FC8" w:rsidRDefault="002F725B" w:rsidP="001B2FC8">
      <w:pPr>
        <w:rPr>
          <w:rFonts w:ascii="Times New Roman" w:hAnsi="Times New Roman" w:cs="Times New Roman"/>
          <w:color w:val="000000" w:themeColor="text1"/>
          <w:sz w:val="15"/>
          <w:szCs w:val="15"/>
          <w:lang w:val="en-US"/>
        </w:rPr>
      </w:pPr>
      <w:r w:rsidRPr="001B2FC8">
        <w:rPr>
          <w:rStyle w:val="a5"/>
          <w:rFonts w:ascii="Times New Roman" w:hAnsi="Times New Roman" w:cs="Times New Roman"/>
          <w:sz w:val="15"/>
          <w:szCs w:val="15"/>
        </w:rPr>
        <w:footnoteRef/>
      </w:r>
      <w:r w:rsidRPr="001B2FC8">
        <w:rPr>
          <w:rFonts w:ascii="Times New Roman" w:hAnsi="Times New Roman" w:cs="Times New Roman"/>
          <w:sz w:val="15"/>
          <w:szCs w:val="15"/>
        </w:rPr>
        <w:t xml:space="preserve"> </w:t>
      </w:r>
      <w:r w:rsidRPr="001B2FC8">
        <w:rPr>
          <w:rFonts w:ascii="Times New Roman" w:hAnsi="Times New Roman" w:cs="Times New Roman"/>
          <w:color w:val="000000" w:themeColor="text1"/>
          <w:sz w:val="15"/>
          <w:szCs w:val="15"/>
        </w:rPr>
        <w:t>Author interview with a former Expert for the EU CBRN CoE Project 46. London. 17 April 2019.</w:t>
      </w:r>
    </w:p>
  </w:footnote>
  <w:footnote w:id="6">
    <w:p w14:paraId="4C84E565" w14:textId="64CB9337" w:rsidR="002F725B" w:rsidRPr="001B2FC8" w:rsidRDefault="002F725B" w:rsidP="001B2FC8">
      <w:pPr>
        <w:rPr>
          <w:rFonts w:ascii="Times New Roman" w:hAnsi="Times New Roman" w:cs="Times New Roman"/>
          <w:color w:val="000000" w:themeColor="text1"/>
          <w:sz w:val="15"/>
          <w:szCs w:val="15"/>
          <w:lang w:val="en-US"/>
        </w:rPr>
      </w:pPr>
      <w:r w:rsidRPr="001B2FC8">
        <w:rPr>
          <w:rStyle w:val="a5"/>
          <w:rFonts w:ascii="Times New Roman" w:hAnsi="Times New Roman" w:cs="Times New Roman"/>
          <w:sz w:val="15"/>
          <w:szCs w:val="15"/>
        </w:rPr>
        <w:footnoteRef/>
      </w:r>
      <w:r w:rsidRPr="001B2FC8">
        <w:rPr>
          <w:rFonts w:ascii="Times New Roman" w:hAnsi="Times New Roman" w:cs="Times New Roman"/>
          <w:sz w:val="15"/>
          <w:szCs w:val="15"/>
        </w:rPr>
        <w:t xml:space="preserve"> </w:t>
      </w:r>
      <w:r w:rsidRPr="001B2FC8">
        <w:rPr>
          <w:rFonts w:ascii="Times New Roman" w:hAnsi="Times New Roman" w:cs="Times New Roman"/>
          <w:color w:val="000000" w:themeColor="text1"/>
          <w:sz w:val="15"/>
          <w:szCs w:val="15"/>
        </w:rPr>
        <w:t>Author interview with the former Deputy Head of Mission, the EU Mission to ASEAN. Beijing. 3 November 2017.</w:t>
      </w:r>
    </w:p>
  </w:footnote>
  <w:footnote w:id="7">
    <w:p w14:paraId="301655AD" w14:textId="74B6BBFB" w:rsidR="002F725B" w:rsidRPr="00E968CE" w:rsidRDefault="002F725B" w:rsidP="004A6F37">
      <w:pPr>
        <w:rPr>
          <w:rFonts w:ascii="Times New Roman" w:hAnsi="Times New Roman" w:cs="Times New Roman"/>
          <w:sz w:val="15"/>
          <w:szCs w:val="15"/>
        </w:rPr>
      </w:pPr>
      <w:r w:rsidRPr="00E968CE">
        <w:rPr>
          <w:rStyle w:val="a5"/>
          <w:rFonts w:cs="Times New Roman"/>
          <w:sz w:val="15"/>
          <w:szCs w:val="15"/>
        </w:rPr>
        <w:footnoteRef/>
      </w:r>
      <w:r w:rsidRPr="00E968CE">
        <w:rPr>
          <w:rFonts w:ascii="Times New Roman" w:hAnsi="Times New Roman" w:cs="Times New Roman"/>
          <w:sz w:val="15"/>
          <w:szCs w:val="15"/>
        </w:rPr>
        <w:t xml:space="preserve"> </w:t>
      </w:r>
      <w:r>
        <w:rPr>
          <w:rFonts w:ascii="Times New Roman" w:hAnsi="Times New Roman" w:cs="Times New Roman"/>
          <w:sz w:val="15"/>
          <w:szCs w:val="15"/>
        </w:rPr>
        <w:t xml:space="preserve">Author interview with an EU official from DG Devco, Brussels. 3 February 2017. </w:t>
      </w:r>
    </w:p>
  </w:footnote>
  <w:footnote w:id="8">
    <w:p w14:paraId="63E1A9EF" w14:textId="60D9020B" w:rsidR="002F725B" w:rsidRPr="008E3B53" w:rsidRDefault="002F725B" w:rsidP="004A6F37">
      <w:pPr>
        <w:rPr>
          <w:rFonts w:ascii="Times New Roman" w:hAnsi="Times New Roman" w:cs="Times New Roman"/>
          <w:sz w:val="22"/>
          <w:szCs w:val="22"/>
        </w:rPr>
      </w:pPr>
      <w:r w:rsidRPr="005E2319">
        <w:rPr>
          <w:rStyle w:val="a5"/>
          <w:rFonts w:cs="Times New Roman"/>
          <w:sz w:val="15"/>
          <w:szCs w:val="15"/>
        </w:rPr>
        <w:footnoteRef/>
      </w:r>
      <w:r w:rsidRPr="005E2319">
        <w:rPr>
          <w:rFonts w:ascii="Times New Roman" w:hAnsi="Times New Roman" w:cs="Times New Roman"/>
          <w:sz w:val="15"/>
          <w:szCs w:val="15"/>
        </w:rPr>
        <w:t xml:space="preserve"> In the context of the EU, Preventive Diplomacy was explicitly mentioned in a 1996</w:t>
      </w:r>
      <w:r>
        <w:t xml:space="preserve"> </w:t>
      </w:r>
      <w:r w:rsidRPr="005E2319">
        <w:rPr>
          <w:rFonts w:ascii="Times New Roman" w:hAnsi="Times New Roman" w:cs="Times New Roman"/>
          <w:sz w:val="15"/>
          <w:szCs w:val="15"/>
        </w:rPr>
        <w:t>Communication as a way to address tensions through opening political dialogue with affected parties (European Commission 1996). The EU’s vision o</w:t>
      </w:r>
      <w:r>
        <w:rPr>
          <w:rFonts w:ascii="Times New Roman" w:hAnsi="Times New Roman" w:cs="Times New Roman"/>
          <w:sz w:val="15"/>
          <w:szCs w:val="15"/>
        </w:rPr>
        <w:t>f</w:t>
      </w:r>
      <w:r w:rsidRPr="005E2319">
        <w:rPr>
          <w:rFonts w:ascii="Times New Roman" w:hAnsi="Times New Roman" w:cs="Times New Roman"/>
          <w:sz w:val="15"/>
          <w:szCs w:val="15"/>
        </w:rPr>
        <w:t xml:space="preserve"> PD was further explained in the 2003 European Security Strategy, which stresse</w:t>
      </w:r>
      <w:r>
        <w:rPr>
          <w:rFonts w:ascii="Times New Roman" w:hAnsi="Times New Roman" w:cs="Times New Roman"/>
          <w:sz w:val="15"/>
          <w:szCs w:val="15"/>
        </w:rPr>
        <w:t>d</w:t>
      </w:r>
      <w:r w:rsidRPr="005E2319">
        <w:rPr>
          <w:rFonts w:ascii="Times New Roman" w:hAnsi="Times New Roman" w:cs="Times New Roman"/>
          <w:sz w:val="15"/>
          <w:szCs w:val="15"/>
        </w:rPr>
        <w:t xml:space="preserve"> ‘the need to be able to act before countries around us deteriorate, when signs of proliferation are detected, and before humanitarian emergencies arise. Preventive engagement can avoid more serious problems in the future’ (Council of the EU 2003: 11). </w:t>
      </w:r>
      <w:r>
        <w:rPr>
          <w:rFonts w:ascii="Times New Roman" w:hAnsi="Times New Roman" w:cs="Times New Roman"/>
          <w:sz w:val="15"/>
          <w:szCs w:val="15"/>
        </w:rPr>
        <w:t>T</w:t>
      </w:r>
      <w:r w:rsidRPr="005E2319">
        <w:rPr>
          <w:rFonts w:ascii="Times New Roman" w:hAnsi="Times New Roman" w:cs="Times New Roman"/>
          <w:sz w:val="15"/>
          <w:szCs w:val="15"/>
        </w:rPr>
        <w:t xml:space="preserve">he 2016 EU Global Strategy highlighted the need to ‘redouble our efforts on prevention, monitoring root causes’ in a ‘more connected, contested and complex world’ (EEAS 2016). The document also stressed that ‘Early warning is of little use unless it is followed by early action. This implies regular reporting and proposals to the Council, engaging in preventive diplomacy and mediation by mobilizing EU delegations and Special Representatives, and deepening partnerships with civil society’ (ibid.). </w:t>
      </w:r>
    </w:p>
  </w:footnote>
  <w:footnote w:id="9">
    <w:p w14:paraId="634118BA" w14:textId="6BA866BD" w:rsidR="002F725B" w:rsidRPr="00D72F5E" w:rsidRDefault="002F725B" w:rsidP="004A6F37">
      <w:pPr>
        <w:rPr>
          <w:rFonts w:ascii="Times New Roman" w:hAnsi="Times New Roman" w:cs="Times New Roman"/>
          <w:color w:val="000000" w:themeColor="text1"/>
          <w:sz w:val="15"/>
          <w:szCs w:val="15"/>
        </w:rPr>
      </w:pPr>
      <w:r w:rsidRPr="00BF2626">
        <w:rPr>
          <w:rStyle w:val="a5"/>
          <w:rFonts w:cs="Times New Roman"/>
          <w:sz w:val="15"/>
          <w:szCs w:val="15"/>
        </w:rPr>
        <w:footnoteRef/>
      </w:r>
      <w:r w:rsidRPr="00BF2626">
        <w:rPr>
          <w:rFonts w:ascii="Times New Roman" w:hAnsi="Times New Roman" w:cs="Times New Roman"/>
          <w:sz w:val="15"/>
          <w:szCs w:val="15"/>
        </w:rPr>
        <w:t xml:space="preserve"> A detailed introduction </w:t>
      </w:r>
      <w:r>
        <w:rPr>
          <w:rFonts w:ascii="Times New Roman" w:hAnsi="Times New Roman" w:cs="Times New Roman"/>
          <w:sz w:val="15"/>
          <w:szCs w:val="15"/>
        </w:rPr>
        <w:t>to</w:t>
      </w:r>
      <w:r w:rsidRPr="00BF2626">
        <w:rPr>
          <w:rFonts w:ascii="Times New Roman" w:hAnsi="Times New Roman" w:cs="Times New Roman"/>
          <w:sz w:val="15"/>
          <w:szCs w:val="15"/>
        </w:rPr>
        <w:t xml:space="preserve"> the study group can be found at CSCAP</w:t>
      </w:r>
      <w:r>
        <w:rPr>
          <w:rFonts w:ascii="Times New Roman" w:hAnsi="Times New Roman" w:cs="Times New Roman"/>
          <w:sz w:val="15"/>
          <w:szCs w:val="15"/>
        </w:rPr>
        <w:t>, ‘Towards Preventive Diplomacy: promoting prospects for mediation and peaceful settlement of disputes in the Asia-Pacific’,</w:t>
      </w:r>
      <w:r w:rsidRPr="00BF2626">
        <w:rPr>
          <w:rFonts w:ascii="Times New Roman" w:hAnsi="Times New Roman" w:cs="Times New Roman"/>
          <w:sz w:val="15"/>
          <w:szCs w:val="15"/>
        </w:rPr>
        <w:t xml:space="preserve"> a</w:t>
      </w:r>
      <w:r>
        <w:rPr>
          <w:rFonts w:ascii="Times New Roman" w:hAnsi="Times New Roman" w:cs="Times New Roman"/>
          <w:sz w:val="15"/>
          <w:szCs w:val="15"/>
        </w:rPr>
        <w:t xml:space="preserve">vailable </w:t>
      </w:r>
      <w:r w:rsidRPr="00BF2626">
        <w:rPr>
          <w:rFonts w:ascii="Times New Roman" w:hAnsi="Times New Roman" w:cs="Times New Roman"/>
          <w:sz w:val="15"/>
          <w:szCs w:val="15"/>
        </w:rPr>
        <w:t xml:space="preserve">at: </w:t>
      </w:r>
      <w:r>
        <w:rPr>
          <w:rFonts w:ascii="Times New Roman" w:hAnsi="Times New Roman" w:cs="Times New Roman"/>
          <w:sz w:val="15"/>
          <w:szCs w:val="15"/>
        </w:rPr>
        <w:t>&lt;</w:t>
      </w:r>
      <w:hyperlink r:id="rId1" w:history="1">
        <w:r w:rsidRPr="000C12B3">
          <w:rPr>
            <w:rStyle w:val="a6"/>
            <w:rFonts w:ascii="Times New Roman" w:hAnsi="Times New Roman" w:cs="Times New Roman"/>
            <w:sz w:val="15"/>
            <w:szCs w:val="15"/>
          </w:rPr>
          <w:t>http://www.cscap.org/index.php?page=towards-preventive-diplomacy</w:t>
        </w:r>
      </w:hyperlink>
      <w:r>
        <w:rPr>
          <w:rStyle w:val="a6"/>
          <w:rFonts w:ascii="Times New Roman" w:hAnsi="Times New Roman" w:cs="Times New Roman"/>
          <w:color w:val="000000" w:themeColor="text1"/>
          <w:sz w:val="15"/>
          <w:szCs w:val="15"/>
        </w:rPr>
        <w:t>&gt;.</w:t>
      </w:r>
    </w:p>
    <w:p w14:paraId="535E8EC8" w14:textId="77777777" w:rsidR="002F725B" w:rsidRPr="00E07B94" w:rsidRDefault="002F725B" w:rsidP="004A6F37">
      <w:pPr>
        <w:pStyle w:val="a3"/>
        <w:rPr>
          <w:rFonts w:ascii="Times New Roman" w:hAnsi="Times New Roman" w:cs="Times New Roman"/>
          <w:sz w:val="15"/>
          <w:szCs w:val="15"/>
          <w:lang w:val="en-US"/>
        </w:rPr>
      </w:pPr>
    </w:p>
  </w:footnote>
  <w:footnote w:id="10">
    <w:p w14:paraId="6204892C" w14:textId="6B0B50D4" w:rsidR="002F725B" w:rsidRPr="001A7FFD" w:rsidRDefault="002F725B" w:rsidP="00FB52A7">
      <w:pPr>
        <w:rPr>
          <w:rFonts w:ascii="Times New Roman" w:hAnsi="Times New Roman" w:cs="Times New Roman"/>
          <w:sz w:val="15"/>
          <w:szCs w:val="15"/>
          <w:lang w:val="en-US"/>
        </w:rPr>
      </w:pPr>
      <w:r w:rsidRPr="001A7FFD">
        <w:rPr>
          <w:rStyle w:val="a5"/>
          <w:rFonts w:ascii="Times New Roman" w:hAnsi="Times New Roman" w:cs="Times New Roman"/>
          <w:sz w:val="15"/>
          <w:szCs w:val="15"/>
        </w:rPr>
        <w:footnoteRef/>
      </w:r>
      <w:r w:rsidRPr="001A7FFD">
        <w:rPr>
          <w:rFonts w:ascii="Times New Roman" w:hAnsi="Times New Roman" w:cs="Times New Roman"/>
          <w:sz w:val="15"/>
          <w:szCs w:val="15"/>
        </w:rPr>
        <w:t xml:space="preserve"> Author interview with an EU official from DG Devco, Brussels. 3 February 2017. </w:t>
      </w:r>
    </w:p>
  </w:footnote>
  <w:footnote w:id="11">
    <w:p w14:paraId="45DA36A2" w14:textId="4E8C38D5" w:rsidR="002F725B" w:rsidRPr="001A7FFD" w:rsidRDefault="002F725B" w:rsidP="001A7FFD">
      <w:pPr>
        <w:ind w:left="225" w:hangingChars="150" w:hanging="225"/>
        <w:jc w:val="both"/>
        <w:rPr>
          <w:rFonts w:ascii="Times New Roman" w:hAnsi="Times New Roman" w:cs="Times New Roman"/>
          <w:sz w:val="15"/>
          <w:szCs w:val="15"/>
          <w:lang w:val="en-US"/>
        </w:rPr>
      </w:pPr>
      <w:r w:rsidRPr="001A7FFD">
        <w:rPr>
          <w:rStyle w:val="a5"/>
          <w:rFonts w:ascii="Times New Roman" w:hAnsi="Times New Roman" w:cs="Times New Roman"/>
          <w:sz w:val="15"/>
          <w:szCs w:val="15"/>
        </w:rPr>
        <w:footnoteRef/>
      </w:r>
      <w:r w:rsidRPr="001A7FFD">
        <w:rPr>
          <w:rFonts w:ascii="Times New Roman" w:hAnsi="Times New Roman" w:cs="Times New Roman"/>
          <w:sz w:val="15"/>
          <w:szCs w:val="15"/>
        </w:rPr>
        <w:t xml:space="preserve"> Author interview with the former Deputy Head of Mission, the EU Mission to ASEAN, Beijing. 3 November 2017; Author interview with a former Member of Cabinet, HRVP. 15 May 2018.</w:t>
      </w:r>
    </w:p>
  </w:footnote>
  <w:footnote w:id="12">
    <w:p w14:paraId="0ADF4275" w14:textId="74963D28" w:rsidR="002F725B" w:rsidRPr="001A7FFD" w:rsidRDefault="002F725B" w:rsidP="001A7FFD">
      <w:pPr>
        <w:spacing w:line="276" w:lineRule="auto"/>
        <w:rPr>
          <w:rFonts w:ascii="Times New Roman" w:hAnsi="Times New Roman" w:cs="Times New Roman"/>
          <w:sz w:val="15"/>
          <w:szCs w:val="15"/>
        </w:rPr>
      </w:pPr>
      <w:r w:rsidRPr="001A7FFD">
        <w:rPr>
          <w:rFonts w:ascii="Times New Roman" w:hAnsi="Times New Roman" w:cs="Times New Roman"/>
          <w:sz w:val="15"/>
          <w:szCs w:val="15"/>
        </w:rPr>
        <w:footnoteRef/>
      </w:r>
      <w:r w:rsidRPr="001A7FFD">
        <w:rPr>
          <w:rFonts w:ascii="Times New Roman" w:hAnsi="Times New Roman" w:cs="Times New Roman"/>
          <w:sz w:val="15"/>
          <w:szCs w:val="15"/>
        </w:rPr>
        <w:t xml:space="preserve"> In line with Cross’ argument, soft integration can be understood as ‘the development of a strongly held norm among actors to always deal with particular issues collectively and interdependently’ (Cross, 2011, p. 50). This process of harmonization does not necessarily require a supranational mandate but is based on member states’ desire to harmonize their regulations and laws ( p. 51).</w:t>
      </w:r>
    </w:p>
  </w:footnote>
  <w:footnote w:id="13">
    <w:p w14:paraId="313D43A4" w14:textId="4A23CFA3" w:rsidR="002F725B" w:rsidRPr="002F3F09" w:rsidRDefault="002F725B" w:rsidP="002F3F09">
      <w:pPr>
        <w:ind w:left="300" w:hangingChars="200" w:hanging="300"/>
        <w:jc w:val="both"/>
        <w:rPr>
          <w:rFonts w:ascii="Times New Roman" w:hAnsi="Times New Roman" w:cs="Times New Roman"/>
          <w:sz w:val="15"/>
          <w:szCs w:val="15"/>
        </w:rPr>
      </w:pPr>
      <w:r w:rsidRPr="001A7FFD">
        <w:rPr>
          <w:rStyle w:val="a5"/>
          <w:rFonts w:ascii="Times New Roman" w:hAnsi="Times New Roman" w:cs="Times New Roman"/>
          <w:sz w:val="15"/>
          <w:szCs w:val="15"/>
        </w:rPr>
        <w:footnoteRef/>
      </w:r>
      <w:r w:rsidRPr="001A7FFD">
        <w:rPr>
          <w:rFonts w:ascii="Times New Roman" w:hAnsi="Times New Roman" w:cs="Times New Roman"/>
          <w:sz w:val="15"/>
          <w:szCs w:val="15"/>
        </w:rPr>
        <w:t xml:space="preserve"> </w:t>
      </w:r>
      <w:r w:rsidRPr="001A7FFD">
        <w:rPr>
          <w:rFonts w:ascii="Times New Roman" w:hAnsi="Times New Roman" w:cs="Times New Roman"/>
          <w:color w:val="000000" w:themeColor="text1"/>
          <w:sz w:val="15"/>
          <w:szCs w:val="15"/>
          <w:lang w:val="en-US"/>
        </w:rPr>
        <w:t xml:space="preserve">Author interview with </w:t>
      </w:r>
      <w:r w:rsidRPr="001A7FFD">
        <w:rPr>
          <w:rFonts w:ascii="Times New Roman" w:hAnsi="Times New Roman" w:cs="Times New Roman"/>
          <w:color w:val="000000" w:themeColor="text1"/>
          <w:sz w:val="15"/>
          <w:szCs w:val="15"/>
        </w:rPr>
        <w:t>desk officer ASEAN and Afghanistan, Asia, Australia &amp; New Zealand Unit European Parliament. Brussels. 17</w:t>
      </w:r>
      <w:r>
        <w:rPr>
          <w:rFonts w:ascii="Times New Roman" w:hAnsi="Times New Roman" w:cs="Times New Roman"/>
          <w:color w:val="000000" w:themeColor="text1"/>
          <w:sz w:val="15"/>
          <w:szCs w:val="15"/>
        </w:rPr>
        <w:t xml:space="preserve"> </w:t>
      </w:r>
      <w:r w:rsidRPr="001A7FFD">
        <w:rPr>
          <w:rFonts w:ascii="Times New Roman" w:hAnsi="Times New Roman" w:cs="Times New Roman"/>
          <w:color w:val="000000" w:themeColor="text1"/>
          <w:sz w:val="15"/>
          <w:szCs w:val="15"/>
        </w:rPr>
        <w:t xml:space="preserve">February 2017; </w:t>
      </w:r>
      <w:r w:rsidRPr="001A7FFD">
        <w:rPr>
          <w:rFonts w:ascii="Times New Roman" w:hAnsi="Times New Roman" w:cs="Times New Roman"/>
          <w:sz w:val="15"/>
          <w:szCs w:val="15"/>
        </w:rPr>
        <w:t>Interview with ASEAN Desk Officer, EEAS. Brussels. 25 March 2017.</w:t>
      </w:r>
    </w:p>
  </w:footnote>
  <w:footnote w:id="14">
    <w:p w14:paraId="68B9EACF" w14:textId="4B2DF759" w:rsidR="002F725B" w:rsidRPr="00B90407" w:rsidRDefault="002F725B" w:rsidP="00B90407">
      <w:pPr>
        <w:ind w:left="300" w:hangingChars="200" w:hanging="300"/>
        <w:jc w:val="both"/>
        <w:rPr>
          <w:rFonts w:ascii="Times New Roman" w:hAnsi="Times New Roman" w:cs="Times New Roman"/>
          <w:sz w:val="15"/>
          <w:szCs w:val="15"/>
          <w:lang w:val="en-US"/>
        </w:rPr>
      </w:pPr>
      <w:r w:rsidRPr="00B90407">
        <w:rPr>
          <w:rStyle w:val="a5"/>
          <w:rFonts w:ascii="Times New Roman" w:hAnsi="Times New Roman" w:cs="Times New Roman"/>
          <w:sz w:val="15"/>
          <w:szCs w:val="15"/>
        </w:rPr>
        <w:footnoteRef/>
      </w:r>
      <w:r w:rsidRPr="00B90407">
        <w:rPr>
          <w:rFonts w:ascii="Times New Roman" w:hAnsi="Times New Roman" w:cs="Times New Roman"/>
          <w:sz w:val="15"/>
          <w:szCs w:val="15"/>
        </w:rPr>
        <w:t xml:space="preserve"> Interview with a former expert for the EU CBRN CoE Project 46. London. 17 April 2019.</w:t>
      </w:r>
    </w:p>
  </w:footnote>
  <w:footnote w:id="15">
    <w:p w14:paraId="0DDF8794" w14:textId="77777777" w:rsidR="002F725B" w:rsidRPr="00B90407" w:rsidRDefault="002F725B" w:rsidP="00B90407">
      <w:pPr>
        <w:ind w:left="225" w:hangingChars="150" w:hanging="225"/>
        <w:jc w:val="both"/>
        <w:rPr>
          <w:rFonts w:ascii="Times New Roman" w:hAnsi="Times New Roman" w:cs="Times New Roman"/>
          <w:sz w:val="15"/>
          <w:szCs w:val="15"/>
          <w:lang w:val="en-US"/>
        </w:rPr>
      </w:pPr>
      <w:r w:rsidRPr="00B90407">
        <w:rPr>
          <w:rStyle w:val="a5"/>
          <w:rFonts w:ascii="Times New Roman" w:hAnsi="Times New Roman" w:cs="Times New Roman"/>
          <w:sz w:val="15"/>
          <w:szCs w:val="15"/>
        </w:rPr>
        <w:footnoteRef/>
      </w:r>
      <w:r w:rsidRPr="00B90407">
        <w:rPr>
          <w:rFonts w:ascii="Times New Roman" w:hAnsi="Times New Roman" w:cs="Times New Roman"/>
          <w:sz w:val="15"/>
          <w:szCs w:val="15"/>
        </w:rPr>
        <w:t xml:space="preserve"> Author interview with an EU official from DG Devco, Brussels. 3 February 2017. Author interview with the former Deputy Head of Mission, the EU Mission to ASEAN, Beijing. 3 November 2017; Author interview with a former Member of Cabinet, HRVP. 15 May 2018.</w:t>
      </w:r>
    </w:p>
    <w:p w14:paraId="4F4F414A" w14:textId="5360FF46" w:rsidR="002F725B" w:rsidRPr="00B90407" w:rsidRDefault="002F725B" w:rsidP="00B90407">
      <w:pPr>
        <w:rPr>
          <w:rFonts w:ascii="Times New Roman" w:hAnsi="Times New Roman" w:cs="Times New Roman"/>
          <w:sz w:val="15"/>
          <w:szCs w:val="15"/>
          <w:lang w:val="en-US"/>
        </w:rPr>
      </w:pPr>
    </w:p>
    <w:p w14:paraId="37BFA76C" w14:textId="2E888482" w:rsidR="002F725B" w:rsidRPr="00B90407" w:rsidRDefault="002F725B">
      <w:pPr>
        <w:pStyle w:val="a3"/>
        <w:rPr>
          <w:rFonts w:ascii="Times New Roman" w:hAnsi="Times New Roman" w:cs="Times New Roman"/>
          <w:sz w:val="15"/>
          <w:szCs w:val="15"/>
        </w:rPr>
      </w:pPr>
    </w:p>
  </w:footnote>
  <w:footnote w:id="16">
    <w:p w14:paraId="53092188" w14:textId="5C758159" w:rsidR="002F725B" w:rsidRPr="009027D5" w:rsidRDefault="002F725B" w:rsidP="00B90407">
      <w:pPr>
        <w:rPr>
          <w:rFonts w:ascii="Times New Roman" w:hAnsi="Times New Roman" w:cs="Times New Roman"/>
          <w:color w:val="000000" w:themeColor="text1"/>
          <w:sz w:val="15"/>
          <w:szCs w:val="15"/>
          <w:lang w:val="en-US"/>
        </w:rPr>
      </w:pPr>
      <w:r w:rsidRPr="009027D5">
        <w:rPr>
          <w:rStyle w:val="a5"/>
          <w:rFonts w:ascii="Times New Roman" w:hAnsi="Times New Roman" w:cs="Times New Roman"/>
          <w:sz w:val="15"/>
          <w:szCs w:val="15"/>
        </w:rPr>
        <w:footnoteRef/>
      </w:r>
      <w:r w:rsidRPr="009027D5">
        <w:rPr>
          <w:rFonts w:ascii="Times New Roman" w:hAnsi="Times New Roman" w:cs="Times New Roman"/>
          <w:sz w:val="15"/>
          <w:szCs w:val="15"/>
        </w:rPr>
        <w:t xml:space="preserve"> Author interview with the </w:t>
      </w:r>
      <w:r w:rsidRPr="009027D5">
        <w:rPr>
          <w:rFonts w:ascii="Times New Roman" w:hAnsi="Times New Roman" w:cs="Times New Roman"/>
          <w:color w:val="000000" w:themeColor="text1"/>
          <w:sz w:val="15"/>
          <w:szCs w:val="15"/>
        </w:rPr>
        <w:t>Head of Strategy Section, Security Policy Directorate, EEAS. Brussels. 15 May 2018.</w:t>
      </w:r>
    </w:p>
  </w:footnote>
  <w:footnote w:id="17">
    <w:p w14:paraId="771F8D41" w14:textId="511C2D78" w:rsidR="002F725B" w:rsidRPr="009027D5" w:rsidRDefault="002F725B" w:rsidP="00B90407">
      <w:pPr>
        <w:rPr>
          <w:rFonts w:ascii="Times New Roman" w:hAnsi="Times New Roman" w:cs="Times New Roman"/>
          <w:color w:val="000000" w:themeColor="text1"/>
          <w:sz w:val="15"/>
          <w:szCs w:val="15"/>
          <w:lang w:val="en-US"/>
        </w:rPr>
      </w:pPr>
      <w:r w:rsidRPr="009027D5">
        <w:rPr>
          <w:rStyle w:val="a5"/>
          <w:rFonts w:ascii="Times New Roman" w:hAnsi="Times New Roman" w:cs="Times New Roman"/>
          <w:sz w:val="15"/>
          <w:szCs w:val="15"/>
        </w:rPr>
        <w:footnoteRef/>
      </w:r>
      <w:r w:rsidRPr="009027D5">
        <w:rPr>
          <w:rFonts w:ascii="Times New Roman" w:hAnsi="Times New Roman" w:cs="Times New Roman"/>
          <w:sz w:val="15"/>
          <w:szCs w:val="15"/>
        </w:rPr>
        <w:t xml:space="preserve"> Author interview with </w:t>
      </w:r>
      <w:r w:rsidRPr="009027D5">
        <w:rPr>
          <w:rFonts w:ascii="Times New Roman" w:hAnsi="Times New Roman" w:cs="Times New Roman"/>
          <w:color w:val="000000" w:themeColor="text1"/>
          <w:sz w:val="15"/>
          <w:szCs w:val="15"/>
        </w:rPr>
        <w:t>the Policy Officer for Asia, CSDP Policy, Partnerships and Agreements, CMPD, EEAS. Brussels. Brussels. 25 April 2018.</w:t>
      </w:r>
    </w:p>
  </w:footnote>
  <w:footnote w:id="18">
    <w:p w14:paraId="02F9A3A0" w14:textId="69159551" w:rsidR="002F725B" w:rsidRPr="009027D5" w:rsidRDefault="002F725B" w:rsidP="00A121AE">
      <w:pPr>
        <w:rPr>
          <w:rFonts w:ascii="Times New Roman" w:hAnsi="Times New Roman" w:cs="Times New Roman"/>
          <w:sz w:val="15"/>
          <w:szCs w:val="15"/>
        </w:rPr>
      </w:pPr>
      <w:r w:rsidRPr="009027D5">
        <w:rPr>
          <w:rStyle w:val="a5"/>
          <w:rFonts w:ascii="Times New Roman" w:hAnsi="Times New Roman" w:cs="Times New Roman"/>
          <w:sz w:val="15"/>
          <w:szCs w:val="15"/>
        </w:rPr>
        <w:footnoteRef/>
      </w:r>
      <w:r w:rsidRPr="009027D5">
        <w:rPr>
          <w:rFonts w:ascii="Times New Roman" w:hAnsi="Times New Roman" w:cs="Times New Roman"/>
          <w:sz w:val="15"/>
          <w:szCs w:val="15"/>
        </w:rPr>
        <w:t xml:space="preserve"> see ASEAN Secretariat’s report on the launch of 2</w:t>
      </w:r>
      <w:r w:rsidRPr="009027D5">
        <w:rPr>
          <w:rFonts w:ascii="Times New Roman" w:hAnsi="Times New Roman" w:cs="Times New Roman"/>
          <w:sz w:val="15"/>
          <w:szCs w:val="15"/>
          <w:vertAlign w:val="superscript"/>
        </w:rPr>
        <w:t>nd</w:t>
      </w:r>
      <w:r w:rsidRPr="009027D5">
        <w:rPr>
          <w:rFonts w:ascii="Times New Roman" w:hAnsi="Times New Roman" w:cs="Times New Roman"/>
          <w:sz w:val="15"/>
          <w:szCs w:val="15"/>
        </w:rPr>
        <w:t xml:space="preserve"> phase of EU-ASEAN border management programme, available at: </w:t>
      </w:r>
      <w:hyperlink r:id="rId2" w:history="1">
        <w:r w:rsidRPr="009027D5">
          <w:rPr>
            <w:rStyle w:val="a6"/>
            <w:rFonts w:ascii="Times New Roman" w:hAnsi="Times New Roman" w:cs="Times New Roman"/>
            <w:sz w:val="15"/>
            <w:szCs w:val="15"/>
          </w:rPr>
          <w:t>https://asean.org/eu-asean-launch-2nd-phase-of-border-management-programme/</w:t>
        </w:r>
      </w:hyperlink>
    </w:p>
  </w:footnote>
  <w:footnote w:id="19">
    <w:p w14:paraId="3E06DC82" w14:textId="77777777" w:rsidR="002F725B" w:rsidRPr="008C14E9" w:rsidRDefault="002F725B" w:rsidP="00A121AE">
      <w:pPr>
        <w:pStyle w:val="a3"/>
        <w:rPr>
          <w:rFonts w:ascii="Times New Roman" w:hAnsi="Times New Roman" w:cs="Times New Roman"/>
          <w:sz w:val="15"/>
          <w:szCs w:val="15"/>
          <w:lang w:val="en-US"/>
        </w:rPr>
      </w:pPr>
      <w:r w:rsidRPr="009027D5">
        <w:rPr>
          <w:rStyle w:val="a5"/>
          <w:rFonts w:ascii="Times New Roman" w:hAnsi="Times New Roman" w:cs="Times New Roman"/>
          <w:sz w:val="15"/>
          <w:szCs w:val="15"/>
        </w:rPr>
        <w:footnoteRef/>
      </w:r>
      <w:r w:rsidRPr="009027D5">
        <w:rPr>
          <w:rFonts w:ascii="Times New Roman" w:hAnsi="Times New Roman" w:cs="Times New Roman"/>
          <w:sz w:val="15"/>
          <w:szCs w:val="15"/>
        </w:rPr>
        <w:t xml:space="preserve"> </w:t>
      </w:r>
      <w:r w:rsidRPr="009027D5">
        <w:rPr>
          <w:rFonts w:ascii="Times New Roman" w:hAnsi="Times New Roman" w:cs="Times New Roman"/>
          <w:sz w:val="15"/>
          <w:szCs w:val="15"/>
          <w:lang w:val="en-US"/>
        </w:rPr>
        <w:t>ibid</w:t>
      </w:r>
    </w:p>
  </w:footnote>
  <w:footnote w:id="20">
    <w:p w14:paraId="28464797" w14:textId="389A7C0C" w:rsidR="002F725B" w:rsidRPr="008C14E9" w:rsidRDefault="002F725B" w:rsidP="00A121AE">
      <w:pPr>
        <w:rPr>
          <w:rFonts w:ascii="Times New Roman" w:hAnsi="Times New Roman" w:cs="Times New Roman"/>
          <w:sz w:val="15"/>
          <w:szCs w:val="15"/>
        </w:rPr>
      </w:pPr>
      <w:r w:rsidRPr="008C14E9">
        <w:rPr>
          <w:rStyle w:val="a5"/>
          <w:rFonts w:cs="Times New Roman"/>
          <w:sz w:val="15"/>
          <w:szCs w:val="15"/>
        </w:rPr>
        <w:footnoteRef/>
      </w:r>
      <w:r w:rsidRPr="008C14E9">
        <w:rPr>
          <w:rFonts w:ascii="Times New Roman" w:hAnsi="Times New Roman" w:cs="Times New Roman"/>
          <w:sz w:val="15"/>
          <w:szCs w:val="15"/>
        </w:rPr>
        <w:t xml:space="preserve"> </w:t>
      </w:r>
      <w:r>
        <w:rPr>
          <w:rFonts w:ascii="Times New Roman" w:hAnsi="Times New Roman" w:cs="Times New Roman"/>
          <w:sz w:val="15"/>
          <w:szCs w:val="15"/>
        </w:rPr>
        <w:t xml:space="preserve">See the EU CBRN CoE Project 46 which has a dedicated component aiming to strengthen legal framework concerning CBRN risk management, available at: </w:t>
      </w:r>
      <w:hyperlink r:id="rId3" w:history="1">
        <w:r w:rsidRPr="00AF6068">
          <w:rPr>
            <w:rStyle w:val="a6"/>
            <w:rFonts w:ascii="Times New Roman" w:hAnsi="Times New Roman" w:cs="Times New Roman"/>
            <w:sz w:val="15"/>
            <w:szCs w:val="15"/>
          </w:rPr>
          <w:t>http://www.cbrn-coe46.eu/index.php/the-project/strengthening-legal-framework</w:t>
        </w:r>
      </w:hyperlink>
    </w:p>
    <w:p w14:paraId="2B35269A" w14:textId="77777777" w:rsidR="002F725B" w:rsidRPr="008C14E9" w:rsidRDefault="002F725B" w:rsidP="00A121AE">
      <w:pPr>
        <w:pStyle w:val="a3"/>
        <w:rPr>
          <w:rFonts w:ascii="Times New Roman" w:hAnsi="Times New Roman" w:cs="Times New Roman"/>
          <w:sz w:val="15"/>
          <w:szCs w:val="15"/>
          <w:lang w:val="en-US"/>
        </w:rPr>
      </w:pPr>
    </w:p>
  </w:footnote>
  <w:footnote w:id="21">
    <w:p w14:paraId="32054A36" w14:textId="0D6858EC" w:rsidR="002F725B" w:rsidRPr="00E74AA1" w:rsidRDefault="002F725B" w:rsidP="004A6F37">
      <w:pPr>
        <w:pStyle w:val="a3"/>
        <w:rPr>
          <w:rFonts w:ascii="Times New Roman" w:hAnsi="Times New Roman" w:cs="Times New Roman"/>
        </w:rPr>
      </w:pPr>
      <w:r w:rsidRPr="00E74AA1">
        <w:rPr>
          <w:rStyle w:val="a5"/>
          <w:rFonts w:ascii="Times New Roman" w:hAnsi="Times New Roman" w:cs="Times New Roman"/>
          <w:sz w:val="15"/>
          <w:szCs w:val="15"/>
        </w:rPr>
        <w:footnoteRef/>
      </w:r>
      <w:r w:rsidRPr="00E74AA1">
        <w:rPr>
          <w:rFonts w:ascii="Times New Roman" w:hAnsi="Times New Roman" w:cs="Times New Roman"/>
          <w:sz w:val="15"/>
          <w:szCs w:val="15"/>
        </w:rPr>
        <w:t xml:space="preserve"> This observation is confirmed by an author interview with a participant of the EA-MBMP project as well as by media reports, such as ‘Immigration heads’ meeting moots ASEAN common visa’, 13 August 2018, Border Management, available at: </w:t>
      </w:r>
      <w:hyperlink r:id="rId4" w:history="1">
        <w:r w:rsidRPr="00E74AA1">
          <w:rPr>
            <w:rStyle w:val="a6"/>
            <w:rFonts w:ascii="Times New Roman" w:hAnsi="Times New Roman" w:cs="Times New Roman"/>
            <w:sz w:val="15"/>
            <w:szCs w:val="15"/>
          </w:rPr>
          <w:t>http://bordermanagement.net/?p=277</w:t>
        </w:r>
      </w:hyperlink>
      <w:r w:rsidRPr="00E74AA1">
        <w:rPr>
          <w:rFonts w:ascii="Times New Roman" w:hAnsi="Times New Roman" w:cs="Times New Roman"/>
          <w:sz w:val="15"/>
          <w:szCs w:val="15"/>
        </w:rPr>
        <w:t xml:space="preserve">; and ‘ASEAN ponders a common visa scheme’, 07 May 2017, Myanmar Times, available at: </w:t>
      </w:r>
      <w:hyperlink r:id="rId5" w:history="1">
        <w:r w:rsidRPr="00E74AA1">
          <w:rPr>
            <w:rStyle w:val="a6"/>
            <w:rFonts w:ascii="Times New Roman" w:hAnsi="Times New Roman" w:cs="Times New Roman"/>
            <w:sz w:val="15"/>
            <w:szCs w:val="15"/>
          </w:rPr>
          <w:t>https://www.mmtimes.com/asean-focus/26000-asean-ponders-a-common-visa-scheme.html</w:t>
        </w:r>
      </w:hyperlink>
      <w:r w:rsidRPr="00E74AA1">
        <w:rPr>
          <w:rFonts w:ascii="Times New Roman" w:hAnsi="Times New Roman" w:cs="Times New Roman"/>
          <w:sz w:val="15"/>
          <w:szCs w:val="15"/>
        </w:rPr>
        <w:t xml:space="preserve">. </w:t>
      </w:r>
      <w:r w:rsidRPr="00E74AA1">
        <w:rPr>
          <w:rFonts w:ascii="Times New Roman" w:hAnsi="Times New Roman" w:cs="Times New Roman"/>
        </w:rPr>
        <w:t xml:space="preserve">  </w:t>
      </w:r>
    </w:p>
  </w:footnote>
  <w:footnote w:id="22">
    <w:p w14:paraId="67621B1C" w14:textId="7532877E" w:rsidR="00CD675D" w:rsidRPr="00DC12D8" w:rsidRDefault="00CD675D" w:rsidP="00CD675D">
      <w:pPr>
        <w:rPr>
          <w:rFonts w:ascii="Times New Roman" w:hAnsi="Times New Roman" w:cs="Times New Roman"/>
          <w:sz w:val="16"/>
          <w:szCs w:val="16"/>
        </w:rPr>
      </w:pPr>
      <w:r w:rsidRPr="00DC12D8">
        <w:rPr>
          <w:rStyle w:val="a5"/>
          <w:rFonts w:ascii="Times New Roman" w:hAnsi="Times New Roman" w:cs="Times New Roman"/>
          <w:sz w:val="16"/>
          <w:szCs w:val="16"/>
        </w:rPr>
        <w:footnoteRef/>
      </w:r>
      <w:r w:rsidRPr="00DC12D8">
        <w:rPr>
          <w:rFonts w:ascii="Times New Roman" w:hAnsi="Times New Roman" w:cs="Times New Roman"/>
          <w:sz w:val="16"/>
          <w:szCs w:val="16"/>
        </w:rPr>
        <w:t xml:space="preserve"> Author interview with the Regional Coordinator of the EU CBRN </w:t>
      </w:r>
      <w:proofErr w:type="spellStart"/>
      <w:r w:rsidRPr="00DC12D8">
        <w:rPr>
          <w:rFonts w:ascii="Times New Roman" w:hAnsi="Times New Roman" w:cs="Times New Roman"/>
          <w:sz w:val="16"/>
          <w:szCs w:val="16"/>
        </w:rPr>
        <w:t>CoE</w:t>
      </w:r>
      <w:proofErr w:type="spellEnd"/>
      <w:r w:rsidRPr="00DC12D8">
        <w:rPr>
          <w:rFonts w:ascii="Times New Roman" w:hAnsi="Times New Roman" w:cs="Times New Roman"/>
          <w:sz w:val="16"/>
          <w:szCs w:val="16"/>
        </w:rPr>
        <w:t xml:space="preserve"> for Southeast Asia, EU Delegation in the </w:t>
      </w:r>
      <w:r w:rsidR="00143023" w:rsidRPr="00DC12D8">
        <w:rPr>
          <w:rFonts w:ascii="Times New Roman" w:hAnsi="Times New Roman" w:cs="Times New Roman"/>
          <w:sz w:val="16"/>
          <w:szCs w:val="16"/>
        </w:rPr>
        <w:t>Philippines</w:t>
      </w:r>
      <w:r w:rsidRPr="00DC12D8">
        <w:rPr>
          <w:rFonts w:ascii="Times New Roman" w:hAnsi="Times New Roman" w:cs="Times New Roman"/>
          <w:sz w:val="16"/>
          <w:szCs w:val="16"/>
        </w:rPr>
        <w:t xml:space="preserve">. 30 May 2019. </w:t>
      </w:r>
      <w:r w:rsidR="00143023" w:rsidRPr="00DC12D8">
        <w:rPr>
          <w:rFonts w:ascii="Times New Roman" w:hAnsi="Times New Roman" w:cs="Times New Roman"/>
          <w:sz w:val="16"/>
          <w:szCs w:val="16"/>
        </w:rPr>
        <w:t xml:space="preserve">Author interview with a </w:t>
      </w:r>
      <w:r w:rsidRPr="00DC12D8">
        <w:rPr>
          <w:rFonts w:ascii="Times New Roman" w:hAnsi="Times New Roman" w:cs="Times New Roman"/>
          <w:sz w:val="16"/>
          <w:szCs w:val="16"/>
        </w:rPr>
        <w:t xml:space="preserve">Senior Expert of an EU CBRN </w:t>
      </w:r>
      <w:proofErr w:type="spellStart"/>
      <w:r w:rsidRPr="00DC12D8">
        <w:rPr>
          <w:rFonts w:ascii="Times New Roman" w:hAnsi="Times New Roman" w:cs="Times New Roman"/>
          <w:sz w:val="16"/>
          <w:szCs w:val="16"/>
        </w:rPr>
        <w:t>CoE</w:t>
      </w:r>
      <w:proofErr w:type="spellEnd"/>
      <w:r w:rsidRPr="00DC12D8">
        <w:rPr>
          <w:rFonts w:ascii="Times New Roman" w:hAnsi="Times New Roman" w:cs="Times New Roman"/>
          <w:sz w:val="16"/>
          <w:szCs w:val="16"/>
        </w:rPr>
        <w:t xml:space="preserve"> project for Southeast Asia. 30 June 2020.</w:t>
      </w:r>
    </w:p>
    <w:p w14:paraId="53067FB1" w14:textId="39B6E8F3" w:rsidR="00CD675D" w:rsidRPr="00CD675D" w:rsidRDefault="00CD675D">
      <w:pPr>
        <w:pStyle w:val="a3"/>
      </w:pPr>
    </w:p>
  </w:footnote>
  <w:footnote w:id="23">
    <w:p w14:paraId="531F15EF" w14:textId="77777777" w:rsidR="002F725B" w:rsidRPr="00EE51AD" w:rsidRDefault="002F725B" w:rsidP="007A1460">
      <w:pPr>
        <w:rPr>
          <w:rFonts w:ascii="Times New Roman" w:hAnsi="Times New Roman" w:cs="Times New Roman"/>
          <w:color w:val="000000" w:themeColor="text1"/>
          <w:sz w:val="22"/>
          <w:szCs w:val="22"/>
        </w:rPr>
      </w:pPr>
      <w:r w:rsidRPr="00D955F9">
        <w:rPr>
          <w:rStyle w:val="a5"/>
          <w:rFonts w:ascii="Times New Roman" w:hAnsi="Times New Roman" w:cs="Times New Roman"/>
          <w:sz w:val="15"/>
          <w:szCs w:val="15"/>
        </w:rPr>
        <w:footnoteRef/>
      </w:r>
      <w:r w:rsidRPr="00D955F9">
        <w:rPr>
          <w:rFonts w:ascii="Times New Roman" w:hAnsi="Times New Roman" w:cs="Times New Roman"/>
          <w:sz w:val="15"/>
          <w:szCs w:val="15"/>
        </w:rPr>
        <w:t xml:space="preserve"> Author interviews with </w:t>
      </w:r>
      <w:r>
        <w:rPr>
          <w:rFonts w:ascii="Times New Roman" w:hAnsi="Times New Roman" w:cs="Times New Roman"/>
          <w:color w:val="000000" w:themeColor="text1"/>
          <w:sz w:val="15"/>
          <w:szCs w:val="15"/>
        </w:rPr>
        <w:t>the f</w:t>
      </w:r>
      <w:r w:rsidRPr="00D955F9">
        <w:rPr>
          <w:rFonts w:ascii="Times New Roman" w:hAnsi="Times New Roman" w:cs="Times New Roman"/>
          <w:color w:val="000000" w:themeColor="text1"/>
          <w:sz w:val="15"/>
          <w:szCs w:val="15"/>
        </w:rPr>
        <w:t>ormer Secretary-General of ASEAN. Singapore. 24 August 2017</w:t>
      </w:r>
      <w:r>
        <w:rPr>
          <w:rFonts w:ascii="Times New Roman" w:hAnsi="Times New Roman" w:cs="Times New Roman"/>
          <w:color w:val="000000" w:themeColor="text1"/>
          <w:sz w:val="15"/>
          <w:szCs w:val="15"/>
        </w:rPr>
        <w:t>; author interview with the f</w:t>
      </w:r>
      <w:r w:rsidRPr="00D955F9">
        <w:rPr>
          <w:rFonts w:ascii="Times New Roman" w:hAnsi="Times New Roman" w:cs="Times New Roman"/>
          <w:color w:val="000000" w:themeColor="text1"/>
          <w:sz w:val="15"/>
          <w:szCs w:val="15"/>
        </w:rPr>
        <w:t>ormer Deputy Head of Mission, the EU Mission to ASEAN. Beijing. 3 November 2017</w:t>
      </w:r>
      <w:r>
        <w:rPr>
          <w:rFonts w:ascii="Times New Roman" w:hAnsi="Times New Roman" w:cs="Times New Roman"/>
          <w:color w:val="000000" w:themeColor="text1"/>
          <w:sz w:val="15"/>
          <w:szCs w:val="15"/>
        </w:rPr>
        <w:t>; author interview with a f</w:t>
      </w:r>
      <w:r w:rsidRPr="00D955F9">
        <w:rPr>
          <w:rFonts w:ascii="Times New Roman" w:hAnsi="Times New Roman" w:cs="Times New Roman"/>
          <w:color w:val="000000" w:themeColor="text1"/>
          <w:sz w:val="15"/>
          <w:szCs w:val="15"/>
        </w:rPr>
        <w:t xml:space="preserve">ormer </w:t>
      </w:r>
      <w:r>
        <w:rPr>
          <w:rFonts w:ascii="Times New Roman" w:hAnsi="Times New Roman" w:cs="Times New Roman"/>
          <w:color w:val="000000" w:themeColor="text1"/>
          <w:sz w:val="15"/>
          <w:szCs w:val="15"/>
        </w:rPr>
        <w:t>s</w:t>
      </w:r>
      <w:r w:rsidRPr="00D955F9">
        <w:rPr>
          <w:rFonts w:ascii="Times New Roman" w:hAnsi="Times New Roman" w:cs="Times New Roman"/>
          <w:color w:val="000000" w:themeColor="text1"/>
          <w:sz w:val="15"/>
          <w:szCs w:val="15"/>
        </w:rPr>
        <w:t>enior EU Diplomat. Phone interview. 30 May 2019.</w:t>
      </w:r>
    </w:p>
  </w:footnote>
  <w:footnote w:id="24">
    <w:p w14:paraId="6A994152" w14:textId="77777777" w:rsidR="002F725B" w:rsidRPr="00D955F9" w:rsidRDefault="002F725B" w:rsidP="007A1460">
      <w:pPr>
        <w:rPr>
          <w:rFonts w:ascii="Times New Roman" w:hAnsi="Times New Roman" w:cs="Times New Roman"/>
          <w:sz w:val="15"/>
          <w:szCs w:val="15"/>
        </w:rPr>
      </w:pPr>
      <w:r w:rsidRPr="00D955F9">
        <w:rPr>
          <w:rStyle w:val="a5"/>
          <w:rFonts w:ascii="Times New Roman" w:hAnsi="Times New Roman" w:cs="Times New Roman"/>
          <w:sz w:val="15"/>
          <w:szCs w:val="15"/>
        </w:rPr>
        <w:footnoteRef/>
      </w:r>
      <w:r w:rsidRPr="00D955F9">
        <w:rPr>
          <w:rFonts w:ascii="Times New Roman" w:hAnsi="Times New Roman" w:cs="Times New Roman"/>
          <w:sz w:val="15"/>
          <w:szCs w:val="15"/>
        </w:rPr>
        <w:t xml:space="preserve"> ASEAN Regional Forum, seminar on Preventive Diplomacy and Early Warning Systems: Concept Paper: </w:t>
      </w:r>
      <w:hyperlink r:id="rId6" w:history="1">
        <w:r w:rsidRPr="00D955F9">
          <w:rPr>
            <w:rFonts w:ascii="Times New Roman" w:hAnsi="Times New Roman" w:cs="Times New Roman"/>
            <w:color w:val="0000FF"/>
            <w:sz w:val="15"/>
            <w:szCs w:val="15"/>
            <w:u w:val="single"/>
          </w:rPr>
          <w:t>http://aseanregionalforum.asean.org/wp-content/uploads/2020/03/Annex-46-Concept-Paper-for-the-ARF-Seminar-on-PD-and-Early-Warning-Systems.pdf</w:t>
        </w:r>
      </w:hyperlink>
    </w:p>
    <w:p w14:paraId="146BDC48" w14:textId="77777777" w:rsidR="002F725B" w:rsidRPr="00E30907" w:rsidRDefault="002F725B" w:rsidP="007A1460">
      <w:pPr>
        <w:pStyle w:val="a3"/>
        <w:rPr>
          <w:rFonts w:ascii="Times New Roman" w:hAnsi="Times New Roman" w:cs="Times New Roman"/>
          <w:sz w:val="15"/>
          <w:szCs w:val="15"/>
          <w:lang w:val="en-US"/>
        </w:rPr>
      </w:pPr>
    </w:p>
  </w:footnote>
  <w:footnote w:id="25">
    <w:p w14:paraId="08EE6271" w14:textId="77777777" w:rsidR="002F725B" w:rsidRPr="001E5FF6" w:rsidRDefault="002F725B" w:rsidP="007A1460">
      <w:pPr>
        <w:rPr>
          <w:rFonts w:ascii="Times New Roman" w:hAnsi="Times New Roman" w:cs="Times New Roman"/>
          <w:color w:val="000000" w:themeColor="text1"/>
          <w:sz w:val="15"/>
          <w:szCs w:val="15"/>
        </w:rPr>
      </w:pPr>
      <w:r w:rsidRPr="001E5FF6">
        <w:rPr>
          <w:rStyle w:val="a5"/>
          <w:rFonts w:ascii="Times New Roman" w:hAnsi="Times New Roman" w:cs="Times New Roman"/>
          <w:sz w:val="15"/>
          <w:szCs w:val="15"/>
        </w:rPr>
        <w:footnoteRef/>
      </w:r>
      <w:r w:rsidRPr="001E5FF6">
        <w:rPr>
          <w:rFonts w:ascii="Times New Roman" w:hAnsi="Times New Roman" w:cs="Times New Roman"/>
          <w:sz w:val="15"/>
          <w:szCs w:val="15"/>
        </w:rPr>
        <w:t xml:space="preserve"> Author interview with </w:t>
      </w:r>
      <w:r w:rsidRPr="001E5FF6">
        <w:rPr>
          <w:rFonts w:ascii="Times New Roman" w:hAnsi="Times New Roman" w:cs="Times New Roman"/>
          <w:color w:val="000000" w:themeColor="text1"/>
          <w:sz w:val="15"/>
          <w:szCs w:val="15"/>
        </w:rPr>
        <w:t>Regional Coordinator of the EU CBRN CoE for Southeast Asia, 30 May 2019; Author interview with two senior experts of EU CBRN CoE projects for Southeast Asia. Phone interview. 30 June 2020.</w:t>
      </w:r>
    </w:p>
  </w:footnote>
  <w:footnote w:id="26">
    <w:p w14:paraId="3C4349F0" w14:textId="77777777" w:rsidR="002F725B" w:rsidRPr="001E5FF6" w:rsidRDefault="002F725B" w:rsidP="007A1460">
      <w:pPr>
        <w:rPr>
          <w:rFonts w:ascii="Times New Roman" w:hAnsi="Times New Roman" w:cs="Times New Roman"/>
          <w:color w:val="000000" w:themeColor="text1"/>
          <w:sz w:val="15"/>
          <w:szCs w:val="15"/>
        </w:rPr>
      </w:pPr>
      <w:r w:rsidRPr="001E5FF6">
        <w:rPr>
          <w:rStyle w:val="a5"/>
          <w:rFonts w:ascii="Times New Roman" w:hAnsi="Times New Roman" w:cs="Times New Roman"/>
          <w:sz w:val="15"/>
          <w:szCs w:val="15"/>
        </w:rPr>
        <w:footnoteRef/>
      </w:r>
      <w:r w:rsidRPr="001E5FF6">
        <w:rPr>
          <w:rFonts w:ascii="Times New Roman" w:hAnsi="Times New Roman" w:cs="Times New Roman"/>
          <w:sz w:val="15"/>
          <w:szCs w:val="15"/>
        </w:rPr>
        <w:t xml:space="preserve"> </w:t>
      </w:r>
      <w:r w:rsidRPr="001E5FF6">
        <w:rPr>
          <w:rFonts w:ascii="Times New Roman" w:hAnsi="Times New Roman" w:cs="Times New Roman"/>
          <w:color w:val="000000" w:themeColor="text1"/>
          <w:sz w:val="15"/>
          <w:szCs w:val="15"/>
        </w:rPr>
        <w:t>Author interview with two senior experts of EU CBRN CoE projects for Southeast Asia. Phone interview. 30 June 2020.</w:t>
      </w:r>
    </w:p>
  </w:footnote>
  <w:footnote w:id="27">
    <w:p w14:paraId="7C786190" w14:textId="77777777" w:rsidR="002F725B" w:rsidRPr="001E5FF6" w:rsidRDefault="002F725B" w:rsidP="007A1460">
      <w:pPr>
        <w:pStyle w:val="a3"/>
      </w:pPr>
      <w:r w:rsidRPr="001E5FF6">
        <w:rPr>
          <w:rStyle w:val="a5"/>
          <w:rFonts w:ascii="Times New Roman" w:hAnsi="Times New Roman" w:cs="Times New Roman"/>
          <w:sz w:val="15"/>
          <w:szCs w:val="15"/>
        </w:rPr>
        <w:footnoteRef/>
      </w:r>
      <w:r w:rsidRPr="001E5FF6">
        <w:rPr>
          <w:rFonts w:ascii="Times New Roman" w:hAnsi="Times New Roman" w:cs="Times New Roman"/>
          <w:sz w:val="15"/>
          <w:szCs w:val="15"/>
        </w:rPr>
        <w:t xml:space="preserve"> Ibid.</w:t>
      </w:r>
    </w:p>
  </w:footnote>
  <w:footnote w:id="28">
    <w:p w14:paraId="3143C84D" w14:textId="77777777" w:rsidR="002F725B" w:rsidRPr="00D41293" w:rsidRDefault="002F725B" w:rsidP="007A1460">
      <w:pPr>
        <w:rPr>
          <w:rFonts w:ascii="Times New Roman" w:hAnsi="Times New Roman" w:cs="Times New Roman"/>
          <w:sz w:val="15"/>
          <w:szCs w:val="15"/>
        </w:rPr>
      </w:pPr>
      <w:r w:rsidRPr="00026DEE">
        <w:rPr>
          <w:rStyle w:val="a5"/>
          <w:rFonts w:cs="Times New Roman"/>
          <w:sz w:val="15"/>
          <w:szCs w:val="15"/>
        </w:rPr>
        <w:footnoteRef/>
      </w:r>
      <w:r w:rsidRPr="00026DEE">
        <w:rPr>
          <w:rFonts w:ascii="Times New Roman" w:hAnsi="Times New Roman" w:cs="Times New Roman"/>
          <w:sz w:val="15"/>
          <w:szCs w:val="15"/>
        </w:rPr>
        <w:t xml:space="preserve"> </w:t>
      </w:r>
      <w:r>
        <w:rPr>
          <w:rFonts w:ascii="Times New Roman" w:hAnsi="Times New Roman" w:cs="Times New Roman"/>
          <w:sz w:val="15"/>
          <w:szCs w:val="15"/>
        </w:rPr>
        <w:t xml:space="preserve">Source: ‘hard tackle against illegal fishing’, the ASEAN Post, 7 August 2018, available at: </w:t>
      </w:r>
      <w:hyperlink r:id="rId7" w:history="1">
        <w:r w:rsidRPr="00AF6068">
          <w:rPr>
            <w:rStyle w:val="a6"/>
            <w:rFonts w:ascii="Times New Roman" w:hAnsi="Times New Roman" w:cs="Times New Roman"/>
            <w:sz w:val="15"/>
            <w:szCs w:val="15"/>
          </w:rPr>
          <w:t>https://theaseanpost.com/article/hard-tackle-against-illegal-fishing</w:t>
        </w:r>
      </w:hyperlink>
    </w:p>
  </w:footnote>
  <w:footnote w:id="29">
    <w:p w14:paraId="1067F689" w14:textId="77777777" w:rsidR="002F725B" w:rsidRPr="009F2D1A" w:rsidRDefault="002F725B" w:rsidP="007A1460">
      <w:pPr>
        <w:pStyle w:val="a3"/>
        <w:rPr>
          <w:rFonts w:ascii="Times New Roman" w:hAnsi="Times New Roman" w:cs="Times New Roman"/>
          <w:lang w:val="en-US"/>
        </w:rPr>
      </w:pPr>
      <w:r w:rsidRPr="009F2D1A">
        <w:rPr>
          <w:rStyle w:val="a5"/>
          <w:rFonts w:cs="Times New Roman"/>
        </w:rPr>
        <w:footnoteRef/>
      </w:r>
      <w:r w:rsidRPr="009F2D1A">
        <w:rPr>
          <w:rFonts w:ascii="Times New Roman" w:hAnsi="Times New Roman" w:cs="Times New Roman"/>
        </w:rPr>
        <w:t xml:space="preserve"> </w:t>
      </w:r>
      <w:r w:rsidRPr="009F2D1A">
        <w:rPr>
          <w:rFonts w:ascii="Times New Roman" w:hAnsi="Times New Roman" w:cs="Times New Roman"/>
          <w:sz w:val="15"/>
          <w:szCs w:val="15"/>
        </w:rPr>
        <w:t>Source: see ASEAN Secretariat’s news on the launch of 2</w:t>
      </w:r>
      <w:r w:rsidRPr="009F2D1A">
        <w:rPr>
          <w:rFonts w:ascii="Times New Roman" w:hAnsi="Times New Roman" w:cs="Times New Roman"/>
          <w:sz w:val="15"/>
          <w:szCs w:val="15"/>
          <w:vertAlign w:val="superscript"/>
        </w:rPr>
        <w:t>nd</w:t>
      </w:r>
      <w:r w:rsidRPr="009F2D1A">
        <w:rPr>
          <w:rFonts w:ascii="Times New Roman" w:hAnsi="Times New Roman" w:cs="Times New Roman"/>
          <w:sz w:val="15"/>
          <w:szCs w:val="15"/>
        </w:rPr>
        <w:t xml:space="preserve"> phase of EU-ASEAN border management programme, available at: </w:t>
      </w:r>
      <w:hyperlink r:id="rId8" w:history="1">
        <w:r w:rsidRPr="009F2D1A">
          <w:rPr>
            <w:rStyle w:val="a6"/>
            <w:rFonts w:ascii="Times New Roman" w:hAnsi="Times New Roman" w:cs="Times New Roman"/>
            <w:sz w:val="15"/>
            <w:szCs w:val="15"/>
          </w:rPr>
          <w:t>https://asean.org/eu-asean-launch-2nd-phase-of-border-management-programme/</w:t>
        </w:r>
      </w:hyperlink>
    </w:p>
  </w:footnote>
  <w:footnote w:id="30">
    <w:p w14:paraId="587A607D" w14:textId="6F966308" w:rsidR="00E072BB" w:rsidRPr="00E072BB" w:rsidRDefault="00E072BB">
      <w:pPr>
        <w:pStyle w:val="a3"/>
        <w:rPr>
          <w:rFonts w:ascii="Times New Roman" w:hAnsi="Times New Roman" w:cs="Times New Roman"/>
        </w:rPr>
      </w:pPr>
      <w:r w:rsidRPr="00E072BB">
        <w:rPr>
          <w:rStyle w:val="a5"/>
          <w:rFonts w:ascii="Times New Roman" w:hAnsi="Times New Roman" w:cs="Times New Roman"/>
        </w:rPr>
        <w:footnoteRef/>
      </w:r>
      <w:r w:rsidRPr="00E072BB">
        <w:rPr>
          <w:rFonts w:ascii="Times New Roman" w:hAnsi="Times New Roman" w:cs="Times New Roman"/>
        </w:rPr>
        <w:t xml:space="preserve"> Available at: https://www.unodc.org/documents/evaluation/Independent_Project_Evaluations/2016/XAPX37_Sub-Programme_Counter-Terrorism_East_and_Southeast_Asia_final_evaluation_report_2016.pdf</w:t>
      </w:r>
    </w:p>
  </w:footnote>
  <w:footnote w:id="31">
    <w:p w14:paraId="7F69A0F6" w14:textId="77777777" w:rsidR="002F725B" w:rsidRPr="001E5FF6" w:rsidRDefault="002F725B" w:rsidP="007A1460">
      <w:pPr>
        <w:rPr>
          <w:rFonts w:ascii="Times New Roman" w:hAnsi="Times New Roman" w:cs="Times New Roman"/>
          <w:color w:val="000000" w:themeColor="text1"/>
          <w:sz w:val="15"/>
          <w:szCs w:val="15"/>
        </w:rPr>
      </w:pPr>
      <w:r>
        <w:rPr>
          <w:rStyle w:val="a5"/>
        </w:rPr>
        <w:footnoteRef/>
      </w:r>
      <w:r>
        <w:t xml:space="preserve"> </w:t>
      </w:r>
      <w:r w:rsidRPr="001E5FF6">
        <w:rPr>
          <w:rFonts w:ascii="Times New Roman" w:hAnsi="Times New Roman" w:cs="Times New Roman"/>
          <w:sz w:val="15"/>
          <w:szCs w:val="15"/>
        </w:rPr>
        <w:t xml:space="preserve">Author interview with </w:t>
      </w:r>
      <w:r w:rsidRPr="001E5FF6">
        <w:rPr>
          <w:rFonts w:ascii="Times New Roman" w:hAnsi="Times New Roman" w:cs="Times New Roman"/>
          <w:color w:val="000000" w:themeColor="text1"/>
          <w:sz w:val="15"/>
          <w:szCs w:val="15"/>
        </w:rPr>
        <w:t xml:space="preserve">Regional Coordinator of the EU CBRN </w:t>
      </w:r>
      <w:proofErr w:type="spellStart"/>
      <w:r w:rsidRPr="001E5FF6">
        <w:rPr>
          <w:rFonts w:ascii="Times New Roman" w:hAnsi="Times New Roman" w:cs="Times New Roman"/>
          <w:color w:val="000000" w:themeColor="text1"/>
          <w:sz w:val="15"/>
          <w:szCs w:val="15"/>
        </w:rPr>
        <w:t>CoE</w:t>
      </w:r>
      <w:proofErr w:type="spellEnd"/>
      <w:r w:rsidRPr="001E5FF6">
        <w:rPr>
          <w:rFonts w:ascii="Times New Roman" w:hAnsi="Times New Roman" w:cs="Times New Roman"/>
          <w:color w:val="000000" w:themeColor="text1"/>
          <w:sz w:val="15"/>
          <w:szCs w:val="15"/>
        </w:rPr>
        <w:t xml:space="preserve"> for Southeast Asia, 30 May 2019</w:t>
      </w:r>
      <w:r>
        <w:rPr>
          <w:rFonts w:ascii="Times New Roman" w:hAnsi="Times New Roman" w:cs="Times New Roman"/>
          <w:color w:val="000000" w:themeColor="text1"/>
          <w:sz w:val="15"/>
          <w:szCs w:val="15"/>
        </w:rPr>
        <w:t xml:space="preserve">; </w:t>
      </w:r>
      <w:r w:rsidRPr="001E5FF6">
        <w:rPr>
          <w:rFonts w:ascii="Times New Roman" w:hAnsi="Times New Roman" w:cs="Times New Roman"/>
          <w:color w:val="000000" w:themeColor="text1"/>
          <w:sz w:val="15"/>
          <w:szCs w:val="15"/>
        </w:rPr>
        <w:t xml:space="preserve">Author interview with two senior experts of EU CBRN </w:t>
      </w:r>
      <w:proofErr w:type="spellStart"/>
      <w:r w:rsidRPr="001E5FF6">
        <w:rPr>
          <w:rFonts w:ascii="Times New Roman" w:hAnsi="Times New Roman" w:cs="Times New Roman"/>
          <w:color w:val="000000" w:themeColor="text1"/>
          <w:sz w:val="15"/>
          <w:szCs w:val="15"/>
        </w:rPr>
        <w:t>CoE</w:t>
      </w:r>
      <w:proofErr w:type="spellEnd"/>
      <w:r w:rsidRPr="001E5FF6">
        <w:rPr>
          <w:rFonts w:ascii="Times New Roman" w:hAnsi="Times New Roman" w:cs="Times New Roman"/>
          <w:color w:val="000000" w:themeColor="text1"/>
          <w:sz w:val="15"/>
          <w:szCs w:val="15"/>
        </w:rPr>
        <w:t xml:space="preserve"> projects for Southeast Asia. Phone interview. 30 June 2020.</w:t>
      </w:r>
    </w:p>
    <w:p w14:paraId="1250EA3E" w14:textId="77777777" w:rsidR="002F725B" w:rsidRPr="00D41293" w:rsidRDefault="002F725B" w:rsidP="007A1460">
      <w:pPr>
        <w:pStyle w:val="a3"/>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2DC"/>
    <w:multiLevelType w:val="hybridMultilevel"/>
    <w:tmpl w:val="46383CD2"/>
    <w:lvl w:ilvl="0" w:tplc="52C0114E">
      <w:start w:val="2"/>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6C09CD"/>
    <w:multiLevelType w:val="hybridMultilevel"/>
    <w:tmpl w:val="4A66B42E"/>
    <w:lvl w:ilvl="0" w:tplc="D95EA9DC">
      <w:start w:val="2"/>
      <w:numFmt w:val="bullet"/>
      <w:lvlText w:val=""/>
      <w:lvlJc w:val="left"/>
      <w:pPr>
        <w:ind w:left="420" w:hanging="420"/>
      </w:pPr>
      <w:rPr>
        <w:rFonts w:ascii="Symbol" w:eastAsia="宋体" w:hAnsi="Symbol"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E3DFF"/>
    <w:multiLevelType w:val="hybridMultilevel"/>
    <w:tmpl w:val="C0528534"/>
    <w:lvl w:ilvl="0" w:tplc="D95EA9DC">
      <w:start w:val="2"/>
      <w:numFmt w:val="bullet"/>
      <w:lvlText w:val=""/>
      <w:lvlJc w:val="left"/>
      <w:pPr>
        <w:ind w:left="420" w:hanging="420"/>
      </w:pPr>
      <w:rPr>
        <w:rFonts w:ascii="Symbol" w:eastAsia="宋体" w:hAnsi="Symbol"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BB2534"/>
    <w:multiLevelType w:val="hybridMultilevel"/>
    <w:tmpl w:val="A61895BC"/>
    <w:lvl w:ilvl="0" w:tplc="C882972A">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614998"/>
    <w:multiLevelType w:val="hybridMultilevel"/>
    <w:tmpl w:val="6B32F110"/>
    <w:lvl w:ilvl="0" w:tplc="B92A1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34693C"/>
    <w:multiLevelType w:val="hybridMultilevel"/>
    <w:tmpl w:val="35B6EADE"/>
    <w:lvl w:ilvl="0" w:tplc="D95EA9DC">
      <w:start w:val="2"/>
      <w:numFmt w:val="bullet"/>
      <w:lvlText w:val=""/>
      <w:lvlJc w:val="left"/>
      <w:pPr>
        <w:ind w:left="420" w:hanging="420"/>
      </w:pPr>
      <w:rPr>
        <w:rFonts w:ascii="Symbol" w:eastAsia="宋体" w:hAnsi="Symbol"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494A35"/>
    <w:multiLevelType w:val="hybridMultilevel"/>
    <w:tmpl w:val="25CA23A4"/>
    <w:lvl w:ilvl="0" w:tplc="3844E0D6">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767403"/>
    <w:multiLevelType w:val="hybridMultilevel"/>
    <w:tmpl w:val="D098E6FE"/>
    <w:lvl w:ilvl="0" w:tplc="D95EA9DC">
      <w:start w:val="2"/>
      <w:numFmt w:val="bullet"/>
      <w:lvlText w:val=""/>
      <w:lvlJc w:val="left"/>
      <w:pPr>
        <w:ind w:left="420" w:hanging="420"/>
      </w:pPr>
      <w:rPr>
        <w:rFonts w:ascii="Symbol" w:eastAsia="宋体" w:hAnsi="Symbol"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0A7A75"/>
    <w:multiLevelType w:val="hybridMultilevel"/>
    <w:tmpl w:val="71C8AA00"/>
    <w:lvl w:ilvl="0" w:tplc="D95EA9DC">
      <w:start w:val="2"/>
      <w:numFmt w:val="bullet"/>
      <w:lvlText w:val=""/>
      <w:lvlJc w:val="left"/>
      <w:pPr>
        <w:ind w:left="420" w:hanging="420"/>
      </w:pPr>
      <w:rPr>
        <w:rFonts w:ascii="Symbol" w:eastAsia="宋体" w:hAnsi="Symbol"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6C4F10"/>
    <w:multiLevelType w:val="hybridMultilevel"/>
    <w:tmpl w:val="D98A1D4A"/>
    <w:lvl w:ilvl="0" w:tplc="483EE02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6D4B59"/>
    <w:multiLevelType w:val="hybridMultilevel"/>
    <w:tmpl w:val="BDDE6EEE"/>
    <w:lvl w:ilvl="0" w:tplc="A79C9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E993BAB"/>
    <w:multiLevelType w:val="multilevel"/>
    <w:tmpl w:val="AE0E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75C9B"/>
    <w:multiLevelType w:val="hybridMultilevel"/>
    <w:tmpl w:val="56C41290"/>
    <w:lvl w:ilvl="0" w:tplc="8042E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DB6435"/>
    <w:multiLevelType w:val="hybridMultilevel"/>
    <w:tmpl w:val="DD2806E8"/>
    <w:lvl w:ilvl="0" w:tplc="383A9624">
      <w:start w:val="1"/>
      <w:numFmt w:val="bullet"/>
      <w:lvlText w:val="-"/>
      <w:lvlJc w:val="left"/>
      <w:pPr>
        <w:ind w:left="460" w:hanging="360"/>
      </w:pPr>
      <w:rPr>
        <w:rFonts w:ascii="Georgia" w:eastAsia="宋体" w:hAnsi="Georgia" w:cs="Times New Roman" w:hint="default"/>
      </w:rPr>
    </w:lvl>
    <w:lvl w:ilvl="1" w:tplc="7B0E30D6">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6DB17E1A"/>
    <w:multiLevelType w:val="multilevel"/>
    <w:tmpl w:val="769CBD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A0739F0"/>
    <w:multiLevelType w:val="hybridMultilevel"/>
    <w:tmpl w:val="DAE2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205476">
    <w:abstractNumId w:val="9"/>
  </w:num>
  <w:num w:numId="2" w16cid:durableId="919291948">
    <w:abstractNumId w:val="0"/>
  </w:num>
  <w:num w:numId="3" w16cid:durableId="908659369">
    <w:abstractNumId w:val="11"/>
  </w:num>
  <w:num w:numId="4" w16cid:durableId="1270358820">
    <w:abstractNumId w:val="15"/>
  </w:num>
  <w:num w:numId="5" w16cid:durableId="1582595156">
    <w:abstractNumId w:val="4"/>
  </w:num>
  <w:num w:numId="6" w16cid:durableId="1497186804">
    <w:abstractNumId w:val="6"/>
  </w:num>
  <w:num w:numId="7" w16cid:durableId="672145179">
    <w:abstractNumId w:val="8"/>
  </w:num>
  <w:num w:numId="8" w16cid:durableId="657270467">
    <w:abstractNumId w:val="2"/>
  </w:num>
  <w:num w:numId="9" w16cid:durableId="2033191735">
    <w:abstractNumId w:val="1"/>
  </w:num>
  <w:num w:numId="10" w16cid:durableId="1865440782">
    <w:abstractNumId w:val="5"/>
  </w:num>
  <w:num w:numId="11" w16cid:durableId="402723226">
    <w:abstractNumId w:val="7"/>
  </w:num>
  <w:num w:numId="12" w16cid:durableId="1573079268">
    <w:abstractNumId w:val="3"/>
  </w:num>
  <w:num w:numId="13" w16cid:durableId="2135321387">
    <w:abstractNumId w:val="13"/>
  </w:num>
  <w:num w:numId="14" w16cid:durableId="1984774697">
    <w:abstractNumId w:val="12"/>
  </w:num>
  <w:num w:numId="15" w16cid:durableId="1274898085">
    <w:abstractNumId w:val="14"/>
  </w:num>
  <w:num w:numId="16" w16cid:durableId="702285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37"/>
    <w:rsid w:val="00015016"/>
    <w:rsid w:val="000164D5"/>
    <w:rsid w:val="0002118A"/>
    <w:rsid w:val="0002388A"/>
    <w:rsid w:val="00024F75"/>
    <w:rsid w:val="00027214"/>
    <w:rsid w:val="00036C61"/>
    <w:rsid w:val="00044D8B"/>
    <w:rsid w:val="00053F5C"/>
    <w:rsid w:val="000618ED"/>
    <w:rsid w:val="000A1B9B"/>
    <w:rsid w:val="000A2CA2"/>
    <w:rsid w:val="000A4524"/>
    <w:rsid w:val="000C7A60"/>
    <w:rsid w:val="00117D68"/>
    <w:rsid w:val="00123167"/>
    <w:rsid w:val="00134920"/>
    <w:rsid w:val="00140BD2"/>
    <w:rsid w:val="00143023"/>
    <w:rsid w:val="00160BEC"/>
    <w:rsid w:val="00170BD3"/>
    <w:rsid w:val="001735B4"/>
    <w:rsid w:val="00182FAC"/>
    <w:rsid w:val="001A52FF"/>
    <w:rsid w:val="001A7FFD"/>
    <w:rsid w:val="001B2FC8"/>
    <w:rsid w:val="001B544C"/>
    <w:rsid w:val="001C0CFC"/>
    <w:rsid w:val="001C79D4"/>
    <w:rsid w:val="001D3B45"/>
    <w:rsid w:val="001D4E6E"/>
    <w:rsid w:val="001D7AF6"/>
    <w:rsid w:val="001E23CA"/>
    <w:rsid w:val="001F20E5"/>
    <w:rsid w:val="001F44F8"/>
    <w:rsid w:val="0022346C"/>
    <w:rsid w:val="002241A6"/>
    <w:rsid w:val="002364DE"/>
    <w:rsid w:val="002473A6"/>
    <w:rsid w:val="0025519D"/>
    <w:rsid w:val="00296FF2"/>
    <w:rsid w:val="002B0075"/>
    <w:rsid w:val="002B614E"/>
    <w:rsid w:val="002C6178"/>
    <w:rsid w:val="002E3199"/>
    <w:rsid w:val="002E69DF"/>
    <w:rsid w:val="002F3F09"/>
    <w:rsid w:val="002F725B"/>
    <w:rsid w:val="00307041"/>
    <w:rsid w:val="00313C00"/>
    <w:rsid w:val="00322625"/>
    <w:rsid w:val="00322C6C"/>
    <w:rsid w:val="003238B9"/>
    <w:rsid w:val="0032506D"/>
    <w:rsid w:val="00367FA3"/>
    <w:rsid w:val="0037228B"/>
    <w:rsid w:val="00372D2C"/>
    <w:rsid w:val="00373D23"/>
    <w:rsid w:val="003A1719"/>
    <w:rsid w:val="003C08A3"/>
    <w:rsid w:val="003E087C"/>
    <w:rsid w:val="003E4255"/>
    <w:rsid w:val="00402256"/>
    <w:rsid w:val="00404B2D"/>
    <w:rsid w:val="00405A63"/>
    <w:rsid w:val="004104B0"/>
    <w:rsid w:val="00412FA0"/>
    <w:rsid w:val="00430CD7"/>
    <w:rsid w:val="0043623F"/>
    <w:rsid w:val="004428FA"/>
    <w:rsid w:val="0045638B"/>
    <w:rsid w:val="00472CFE"/>
    <w:rsid w:val="00480CD3"/>
    <w:rsid w:val="0048385E"/>
    <w:rsid w:val="00493B1C"/>
    <w:rsid w:val="004A4DF8"/>
    <w:rsid w:val="004A5A58"/>
    <w:rsid w:val="004A6F37"/>
    <w:rsid w:val="004C29B7"/>
    <w:rsid w:val="004C435A"/>
    <w:rsid w:val="004D25D7"/>
    <w:rsid w:val="004E0300"/>
    <w:rsid w:val="004E746E"/>
    <w:rsid w:val="004E7A65"/>
    <w:rsid w:val="004F7D64"/>
    <w:rsid w:val="00500BCE"/>
    <w:rsid w:val="00500C9D"/>
    <w:rsid w:val="00503EF9"/>
    <w:rsid w:val="0051438C"/>
    <w:rsid w:val="00514E1A"/>
    <w:rsid w:val="00525FD3"/>
    <w:rsid w:val="005273EA"/>
    <w:rsid w:val="00534C12"/>
    <w:rsid w:val="00544147"/>
    <w:rsid w:val="005441C0"/>
    <w:rsid w:val="00546A01"/>
    <w:rsid w:val="005666D7"/>
    <w:rsid w:val="0057326C"/>
    <w:rsid w:val="005766B8"/>
    <w:rsid w:val="0057682F"/>
    <w:rsid w:val="005771C2"/>
    <w:rsid w:val="00581A09"/>
    <w:rsid w:val="00584570"/>
    <w:rsid w:val="00585CE2"/>
    <w:rsid w:val="005A1B44"/>
    <w:rsid w:val="005A1BD9"/>
    <w:rsid w:val="005E426C"/>
    <w:rsid w:val="00601FD2"/>
    <w:rsid w:val="00613B87"/>
    <w:rsid w:val="00615EFF"/>
    <w:rsid w:val="00625D32"/>
    <w:rsid w:val="006310A9"/>
    <w:rsid w:val="006413D8"/>
    <w:rsid w:val="0064161B"/>
    <w:rsid w:val="006433FE"/>
    <w:rsid w:val="00644389"/>
    <w:rsid w:val="00645091"/>
    <w:rsid w:val="0068324E"/>
    <w:rsid w:val="006867FE"/>
    <w:rsid w:val="006B06B8"/>
    <w:rsid w:val="006B3270"/>
    <w:rsid w:val="006B635B"/>
    <w:rsid w:val="006C0176"/>
    <w:rsid w:val="006D1B1E"/>
    <w:rsid w:val="006E0A76"/>
    <w:rsid w:val="00736AD5"/>
    <w:rsid w:val="007371B8"/>
    <w:rsid w:val="00742277"/>
    <w:rsid w:val="00746B68"/>
    <w:rsid w:val="00780204"/>
    <w:rsid w:val="0078778E"/>
    <w:rsid w:val="00791B88"/>
    <w:rsid w:val="007A1460"/>
    <w:rsid w:val="007B37DC"/>
    <w:rsid w:val="007B40EB"/>
    <w:rsid w:val="007C6514"/>
    <w:rsid w:val="007D21C1"/>
    <w:rsid w:val="008046F9"/>
    <w:rsid w:val="00811649"/>
    <w:rsid w:val="008162AC"/>
    <w:rsid w:val="00823646"/>
    <w:rsid w:val="00827F96"/>
    <w:rsid w:val="0084044D"/>
    <w:rsid w:val="00841098"/>
    <w:rsid w:val="00841BF7"/>
    <w:rsid w:val="0086031E"/>
    <w:rsid w:val="008620E9"/>
    <w:rsid w:val="00875C20"/>
    <w:rsid w:val="008824BC"/>
    <w:rsid w:val="00883D7A"/>
    <w:rsid w:val="008850E9"/>
    <w:rsid w:val="008876C8"/>
    <w:rsid w:val="00891604"/>
    <w:rsid w:val="008921D5"/>
    <w:rsid w:val="008B40FE"/>
    <w:rsid w:val="008B724C"/>
    <w:rsid w:val="008C3680"/>
    <w:rsid w:val="008E5310"/>
    <w:rsid w:val="008F2CB6"/>
    <w:rsid w:val="008F4A80"/>
    <w:rsid w:val="009027D5"/>
    <w:rsid w:val="00913127"/>
    <w:rsid w:val="00924008"/>
    <w:rsid w:val="0095110A"/>
    <w:rsid w:val="00954D35"/>
    <w:rsid w:val="0096667B"/>
    <w:rsid w:val="00987C8F"/>
    <w:rsid w:val="009B5AAB"/>
    <w:rsid w:val="009C6465"/>
    <w:rsid w:val="009D61AE"/>
    <w:rsid w:val="009F415E"/>
    <w:rsid w:val="00A104DF"/>
    <w:rsid w:val="00A121AE"/>
    <w:rsid w:val="00A15824"/>
    <w:rsid w:val="00A23575"/>
    <w:rsid w:val="00A450B8"/>
    <w:rsid w:val="00A520E3"/>
    <w:rsid w:val="00A55E6B"/>
    <w:rsid w:val="00A75147"/>
    <w:rsid w:val="00A7766C"/>
    <w:rsid w:val="00A8537B"/>
    <w:rsid w:val="00A972DA"/>
    <w:rsid w:val="00AD200B"/>
    <w:rsid w:val="00AD5C91"/>
    <w:rsid w:val="00AE0ABC"/>
    <w:rsid w:val="00AF2E3C"/>
    <w:rsid w:val="00B14865"/>
    <w:rsid w:val="00B3072B"/>
    <w:rsid w:val="00B64CCA"/>
    <w:rsid w:val="00B90407"/>
    <w:rsid w:val="00BA177F"/>
    <w:rsid w:val="00BB17CB"/>
    <w:rsid w:val="00BC3A28"/>
    <w:rsid w:val="00BE0AED"/>
    <w:rsid w:val="00BE3E80"/>
    <w:rsid w:val="00C01483"/>
    <w:rsid w:val="00C10A01"/>
    <w:rsid w:val="00C153C6"/>
    <w:rsid w:val="00C4111C"/>
    <w:rsid w:val="00C53DB9"/>
    <w:rsid w:val="00C566FA"/>
    <w:rsid w:val="00C64240"/>
    <w:rsid w:val="00C65432"/>
    <w:rsid w:val="00C76BB8"/>
    <w:rsid w:val="00C91311"/>
    <w:rsid w:val="00C959FF"/>
    <w:rsid w:val="00CA6F06"/>
    <w:rsid w:val="00CC0E2D"/>
    <w:rsid w:val="00CC23AF"/>
    <w:rsid w:val="00CC2857"/>
    <w:rsid w:val="00CD1ABE"/>
    <w:rsid w:val="00CD675D"/>
    <w:rsid w:val="00CE1300"/>
    <w:rsid w:val="00D14681"/>
    <w:rsid w:val="00D31B9B"/>
    <w:rsid w:val="00D321E6"/>
    <w:rsid w:val="00D515D4"/>
    <w:rsid w:val="00D668C4"/>
    <w:rsid w:val="00D72FA5"/>
    <w:rsid w:val="00D74F28"/>
    <w:rsid w:val="00D7753A"/>
    <w:rsid w:val="00DA0985"/>
    <w:rsid w:val="00DA7B06"/>
    <w:rsid w:val="00DB03F8"/>
    <w:rsid w:val="00DB512C"/>
    <w:rsid w:val="00DB77FE"/>
    <w:rsid w:val="00DC0CB7"/>
    <w:rsid w:val="00DC12D8"/>
    <w:rsid w:val="00DC5A15"/>
    <w:rsid w:val="00DD0751"/>
    <w:rsid w:val="00DD69B5"/>
    <w:rsid w:val="00DF6786"/>
    <w:rsid w:val="00E06367"/>
    <w:rsid w:val="00E072BB"/>
    <w:rsid w:val="00E07B94"/>
    <w:rsid w:val="00E23A31"/>
    <w:rsid w:val="00E2671B"/>
    <w:rsid w:val="00E477EF"/>
    <w:rsid w:val="00E56E70"/>
    <w:rsid w:val="00E74AA1"/>
    <w:rsid w:val="00E753AA"/>
    <w:rsid w:val="00E8605E"/>
    <w:rsid w:val="00EA517B"/>
    <w:rsid w:val="00EB4A7E"/>
    <w:rsid w:val="00EB66D0"/>
    <w:rsid w:val="00EC4AF1"/>
    <w:rsid w:val="00ED4494"/>
    <w:rsid w:val="00EF6DAC"/>
    <w:rsid w:val="00F000EA"/>
    <w:rsid w:val="00F26DC6"/>
    <w:rsid w:val="00F43E61"/>
    <w:rsid w:val="00F458DD"/>
    <w:rsid w:val="00F45B26"/>
    <w:rsid w:val="00F64488"/>
    <w:rsid w:val="00F93985"/>
    <w:rsid w:val="00FA79EB"/>
    <w:rsid w:val="00FB52A7"/>
    <w:rsid w:val="00FE0A27"/>
    <w:rsid w:val="00FE18A5"/>
    <w:rsid w:val="00FE6E08"/>
    <w:rsid w:val="00FF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0956"/>
  <w15:chartTrackingRefBased/>
  <w15:docId w15:val="{F398C34E-5FEC-3C41-AA24-3D7CFA89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F37"/>
    <w:rPr>
      <w:rFonts w:ascii="宋体" w:eastAsia="宋体" w:hAnsi="宋体" w:cs="宋体"/>
      <w:kern w:val="0"/>
      <w:sz w:val="24"/>
      <w:lang w:val="en-GB"/>
    </w:rPr>
  </w:style>
  <w:style w:type="paragraph" w:styleId="1">
    <w:name w:val="heading 1"/>
    <w:basedOn w:val="a"/>
    <w:next w:val="a"/>
    <w:link w:val="10"/>
    <w:autoRedefine/>
    <w:uiPriority w:val="9"/>
    <w:qFormat/>
    <w:rsid w:val="00584570"/>
    <w:pPr>
      <w:keepNext/>
      <w:keepLines/>
      <w:spacing w:before="340" w:after="330" w:line="578" w:lineRule="auto"/>
      <w:outlineLvl w:val="0"/>
    </w:pPr>
    <w:rPr>
      <w:rFonts w:ascii="Times New Roman" w:eastAsia="Times New Roman" w:hAnsi="Times New Roman"/>
      <w:b/>
      <w:bCs/>
      <w:kern w:val="44"/>
      <w:sz w:val="2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570"/>
    <w:rPr>
      <w:rFonts w:ascii="Times New Roman" w:eastAsia="Times New Roman" w:hAnsi="Times New Roman"/>
      <w:b/>
      <w:bCs/>
      <w:kern w:val="44"/>
      <w:sz w:val="22"/>
      <w:szCs w:val="44"/>
      <w:lang w:val="en-GB"/>
    </w:rPr>
  </w:style>
  <w:style w:type="paragraph" w:styleId="a3">
    <w:name w:val="footnote text"/>
    <w:basedOn w:val="a"/>
    <w:link w:val="a4"/>
    <w:uiPriority w:val="99"/>
    <w:unhideWhenUsed/>
    <w:rsid w:val="004A6F37"/>
    <w:pPr>
      <w:widowControl w:val="0"/>
      <w:snapToGrid w:val="0"/>
    </w:pPr>
    <w:rPr>
      <w:rFonts w:asciiTheme="minorHAnsi" w:eastAsiaTheme="minorEastAsia" w:hAnsiTheme="minorHAnsi" w:cstheme="minorBidi"/>
      <w:kern w:val="2"/>
      <w:sz w:val="18"/>
      <w:szCs w:val="18"/>
    </w:rPr>
  </w:style>
  <w:style w:type="character" w:customStyle="1" w:styleId="a4">
    <w:name w:val="脚注文本 字符"/>
    <w:basedOn w:val="a0"/>
    <w:link w:val="a3"/>
    <w:uiPriority w:val="99"/>
    <w:rsid w:val="004A6F37"/>
    <w:rPr>
      <w:sz w:val="18"/>
      <w:szCs w:val="18"/>
      <w:lang w:val="en-GB"/>
    </w:rPr>
  </w:style>
  <w:style w:type="character" w:styleId="a5">
    <w:name w:val="footnote reference"/>
    <w:basedOn w:val="a0"/>
    <w:uiPriority w:val="99"/>
    <w:unhideWhenUsed/>
    <w:rsid w:val="004A6F37"/>
    <w:rPr>
      <w:vertAlign w:val="superscript"/>
    </w:rPr>
  </w:style>
  <w:style w:type="character" w:styleId="a6">
    <w:name w:val="Hyperlink"/>
    <w:basedOn w:val="a0"/>
    <w:uiPriority w:val="99"/>
    <w:unhideWhenUsed/>
    <w:rsid w:val="004A6F37"/>
    <w:rPr>
      <w:color w:val="0563C1" w:themeColor="hyperlink"/>
      <w:u w:val="single"/>
    </w:rPr>
  </w:style>
  <w:style w:type="paragraph" w:styleId="a7">
    <w:name w:val="Subtitle"/>
    <w:basedOn w:val="a"/>
    <w:next w:val="a"/>
    <w:link w:val="a8"/>
    <w:uiPriority w:val="11"/>
    <w:qFormat/>
    <w:rsid w:val="004A6F37"/>
    <w:pPr>
      <w:widowControl w:val="0"/>
      <w:spacing w:before="240" w:after="60" w:line="312" w:lineRule="auto"/>
      <w:outlineLvl w:val="1"/>
    </w:pPr>
    <w:rPr>
      <w:rFonts w:ascii="Times New Roman" w:eastAsia="Times New Roman" w:hAnsi="Times New Roman" w:cstheme="minorBidi"/>
      <w:b/>
      <w:bCs/>
      <w:kern w:val="28"/>
      <w:sz w:val="22"/>
      <w:szCs w:val="32"/>
    </w:rPr>
  </w:style>
  <w:style w:type="character" w:customStyle="1" w:styleId="a8">
    <w:name w:val="副标题 字符"/>
    <w:basedOn w:val="a0"/>
    <w:link w:val="a7"/>
    <w:uiPriority w:val="11"/>
    <w:rsid w:val="004A6F37"/>
    <w:rPr>
      <w:rFonts w:ascii="Times New Roman" w:eastAsia="Times New Roman" w:hAnsi="Times New Roman"/>
      <w:b/>
      <w:bCs/>
      <w:kern w:val="28"/>
      <w:sz w:val="22"/>
      <w:szCs w:val="32"/>
      <w:lang w:val="en-GB"/>
    </w:rPr>
  </w:style>
  <w:style w:type="paragraph" w:styleId="a9">
    <w:name w:val="caption"/>
    <w:basedOn w:val="a"/>
    <w:next w:val="a"/>
    <w:uiPriority w:val="35"/>
    <w:unhideWhenUsed/>
    <w:qFormat/>
    <w:rsid w:val="004A6F37"/>
    <w:pPr>
      <w:keepNext/>
      <w:widowControl w:val="0"/>
      <w:jc w:val="both"/>
    </w:pPr>
    <w:rPr>
      <w:rFonts w:ascii="Times New Roman" w:eastAsia="黑体" w:hAnsi="Times New Roman" w:cs="Times New Roman"/>
      <w:kern w:val="2"/>
      <w:sz w:val="22"/>
      <w:szCs w:val="22"/>
    </w:rPr>
  </w:style>
  <w:style w:type="paragraph" w:styleId="aa">
    <w:name w:val="List Paragraph"/>
    <w:basedOn w:val="a"/>
    <w:uiPriority w:val="34"/>
    <w:qFormat/>
    <w:rsid w:val="004A6F37"/>
    <w:pPr>
      <w:widowControl w:val="0"/>
      <w:ind w:firstLineChars="200" w:firstLine="420"/>
    </w:pPr>
    <w:rPr>
      <w:rFonts w:ascii="Times New Roman" w:eastAsiaTheme="minorEastAsia" w:hAnsi="Times New Roman" w:cstheme="minorBidi"/>
      <w:kern w:val="2"/>
      <w:sz w:val="22"/>
    </w:rPr>
  </w:style>
  <w:style w:type="table" w:customStyle="1" w:styleId="21">
    <w:name w:val="无格式表格 21"/>
    <w:basedOn w:val="a1"/>
    <w:uiPriority w:val="42"/>
    <w:rsid w:val="004A6F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Emphasis"/>
    <w:basedOn w:val="a0"/>
    <w:uiPriority w:val="20"/>
    <w:qFormat/>
    <w:rsid w:val="004A6F37"/>
    <w:rPr>
      <w:i/>
      <w:iCs/>
    </w:rPr>
  </w:style>
  <w:style w:type="paragraph" w:styleId="ac">
    <w:name w:val="Balloon Text"/>
    <w:basedOn w:val="a"/>
    <w:link w:val="ad"/>
    <w:uiPriority w:val="99"/>
    <w:semiHidden/>
    <w:unhideWhenUsed/>
    <w:rsid w:val="004A6F37"/>
    <w:pPr>
      <w:widowControl w:val="0"/>
      <w:jc w:val="both"/>
    </w:pPr>
    <w:rPr>
      <w:rFonts w:hAnsiTheme="minorHAnsi" w:cstheme="minorBidi"/>
      <w:kern w:val="2"/>
      <w:sz w:val="18"/>
      <w:szCs w:val="18"/>
    </w:rPr>
  </w:style>
  <w:style w:type="character" w:customStyle="1" w:styleId="ad">
    <w:name w:val="批注框文本 字符"/>
    <w:basedOn w:val="a0"/>
    <w:link w:val="ac"/>
    <w:uiPriority w:val="99"/>
    <w:semiHidden/>
    <w:rsid w:val="004A6F37"/>
    <w:rPr>
      <w:rFonts w:ascii="宋体" w:eastAsia="宋体"/>
      <w:sz w:val="18"/>
      <w:szCs w:val="18"/>
      <w:lang w:val="en-GB"/>
    </w:rPr>
  </w:style>
  <w:style w:type="character" w:styleId="ae">
    <w:name w:val="annotation reference"/>
    <w:basedOn w:val="a0"/>
    <w:uiPriority w:val="99"/>
    <w:semiHidden/>
    <w:unhideWhenUsed/>
    <w:rsid w:val="004A6F37"/>
    <w:rPr>
      <w:sz w:val="21"/>
      <w:szCs w:val="21"/>
    </w:rPr>
  </w:style>
  <w:style w:type="paragraph" w:styleId="af">
    <w:name w:val="annotation text"/>
    <w:basedOn w:val="a"/>
    <w:link w:val="af0"/>
    <w:uiPriority w:val="99"/>
    <w:semiHidden/>
    <w:unhideWhenUsed/>
    <w:rsid w:val="004A6F37"/>
  </w:style>
  <w:style w:type="character" w:customStyle="1" w:styleId="af0">
    <w:name w:val="批注文字 字符"/>
    <w:basedOn w:val="a0"/>
    <w:link w:val="af"/>
    <w:uiPriority w:val="99"/>
    <w:semiHidden/>
    <w:rsid w:val="004A6F37"/>
    <w:rPr>
      <w:rFonts w:ascii="宋体" w:eastAsia="宋体" w:hAnsi="宋体" w:cs="宋体"/>
      <w:kern w:val="0"/>
      <w:sz w:val="24"/>
    </w:rPr>
  </w:style>
  <w:style w:type="table" w:styleId="af1">
    <w:name w:val="Table Grid"/>
    <w:basedOn w:val="a1"/>
    <w:uiPriority w:val="39"/>
    <w:rsid w:val="004A6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4A6F37"/>
    <w:rPr>
      <w:color w:val="954F72" w:themeColor="followedHyperlink"/>
      <w:u w:val="single"/>
    </w:rPr>
  </w:style>
  <w:style w:type="paragraph" w:customStyle="1" w:styleId="u-mb-2">
    <w:name w:val="u-mb-2"/>
    <w:basedOn w:val="a"/>
    <w:rsid w:val="004A6F37"/>
    <w:pPr>
      <w:spacing w:before="100" w:beforeAutospacing="1" w:after="100" w:afterAutospacing="1"/>
    </w:pPr>
  </w:style>
  <w:style w:type="character" w:customStyle="1" w:styleId="authorsname">
    <w:name w:val="authors__name"/>
    <w:basedOn w:val="a0"/>
    <w:rsid w:val="004A6F37"/>
  </w:style>
  <w:style w:type="paragraph" w:styleId="af3">
    <w:name w:val="annotation subject"/>
    <w:basedOn w:val="af"/>
    <w:next w:val="af"/>
    <w:link w:val="af4"/>
    <w:uiPriority w:val="99"/>
    <w:semiHidden/>
    <w:unhideWhenUsed/>
    <w:rsid w:val="004A6F37"/>
    <w:rPr>
      <w:b/>
      <w:bCs/>
      <w:sz w:val="20"/>
      <w:szCs w:val="20"/>
    </w:rPr>
  </w:style>
  <w:style w:type="character" w:customStyle="1" w:styleId="af4">
    <w:name w:val="批注主题 字符"/>
    <w:basedOn w:val="af0"/>
    <w:link w:val="af3"/>
    <w:uiPriority w:val="99"/>
    <w:semiHidden/>
    <w:rsid w:val="004A6F37"/>
    <w:rPr>
      <w:rFonts w:ascii="宋体" w:eastAsia="宋体" w:hAnsi="宋体" w:cs="宋体"/>
      <w:b/>
      <w:bCs/>
      <w:kern w:val="0"/>
      <w:sz w:val="20"/>
      <w:szCs w:val="20"/>
    </w:rPr>
  </w:style>
  <w:style w:type="paragraph" w:styleId="af5">
    <w:name w:val="Revision"/>
    <w:hidden/>
    <w:uiPriority w:val="99"/>
    <w:semiHidden/>
    <w:rsid w:val="004A6F37"/>
    <w:rPr>
      <w:rFonts w:ascii="宋体" w:eastAsia="宋体" w:hAnsi="宋体" w:cs="宋体"/>
      <w:kern w:val="0"/>
      <w:sz w:val="24"/>
    </w:rPr>
  </w:style>
  <w:style w:type="paragraph" w:customStyle="1" w:styleId="Default">
    <w:name w:val="Default"/>
    <w:rsid w:val="004A6F37"/>
    <w:pPr>
      <w:widowControl w:val="0"/>
      <w:autoSpaceDE w:val="0"/>
      <w:autoSpaceDN w:val="0"/>
      <w:adjustRightInd w:val="0"/>
    </w:pPr>
    <w:rPr>
      <w:rFonts w:ascii="Cambria" w:hAnsi="Cambria" w:cs="Cambria"/>
      <w:color w:val="000000"/>
      <w:kern w:val="0"/>
      <w:sz w:val="24"/>
    </w:rPr>
  </w:style>
  <w:style w:type="paragraph" w:styleId="af6">
    <w:name w:val="Normal (Web)"/>
    <w:basedOn w:val="a"/>
    <w:uiPriority w:val="99"/>
    <w:unhideWhenUsed/>
    <w:rsid w:val="00883D7A"/>
    <w:pPr>
      <w:spacing w:before="100" w:beforeAutospacing="1" w:after="100" w:afterAutospacing="1"/>
    </w:pPr>
  </w:style>
  <w:style w:type="table" w:styleId="2">
    <w:name w:val="Plain Table 2"/>
    <w:basedOn w:val="a1"/>
    <w:uiPriority w:val="42"/>
    <w:rsid w:val="007A14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7">
    <w:name w:val="header"/>
    <w:basedOn w:val="a"/>
    <w:link w:val="af8"/>
    <w:uiPriority w:val="99"/>
    <w:unhideWhenUsed/>
    <w:rsid w:val="002F3F09"/>
    <w:pPr>
      <w:tabs>
        <w:tab w:val="center" w:pos="4513"/>
        <w:tab w:val="right" w:pos="9026"/>
      </w:tabs>
    </w:pPr>
  </w:style>
  <w:style w:type="character" w:customStyle="1" w:styleId="af8">
    <w:name w:val="页眉 字符"/>
    <w:basedOn w:val="a0"/>
    <w:link w:val="af7"/>
    <w:uiPriority w:val="99"/>
    <w:rsid w:val="002F3F09"/>
    <w:rPr>
      <w:rFonts w:ascii="宋体" w:eastAsia="宋体" w:hAnsi="宋体" w:cs="宋体"/>
      <w:kern w:val="0"/>
      <w:sz w:val="24"/>
      <w:lang w:val="en-GB"/>
    </w:rPr>
  </w:style>
  <w:style w:type="paragraph" w:styleId="af9">
    <w:name w:val="footer"/>
    <w:basedOn w:val="a"/>
    <w:link w:val="afa"/>
    <w:uiPriority w:val="99"/>
    <w:unhideWhenUsed/>
    <w:rsid w:val="002F3F09"/>
    <w:pPr>
      <w:tabs>
        <w:tab w:val="center" w:pos="4513"/>
        <w:tab w:val="right" w:pos="9026"/>
      </w:tabs>
    </w:pPr>
  </w:style>
  <w:style w:type="character" w:customStyle="1" w:styleId="afa">
    <w:name w:val="页脚 字符"/>
    <w:basedOn w:val="a0"/>
    <w:link w:val="af9"/>
    <w:uiPriority w:val="99"/>
    <w:rsid w:val="002F3F09"/>
    <w:rPr>
      <w:rFonts w:ascii="宋体" w:eastAsia="宋体" w:hAnsi="宋体" w:cs="宋体"/>
      <w:kern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ean.org/eu-asean-launch-2nd-phase-of-border-management-programme/" TargetMode="External"/><Relationship Id="rId18" Type="http://schemas.openxmlformats.org/officeDocument/2006/relationships/hyperlink" Target="http://www.cscap.org/uploads/docs/Towards%20Preventive%20Dip/1MtgRptSGTowardsPDApril2015.pdf" TargetMode="External"/><Relationship Id="rId26" Type="http://schemas.openxmlformats.org/officeDocument/2006/relationships/hyperlink" Target="https://www.eca.europa.eu/Lists/ECADocuments/SR18_14/SR_CBRN_EN.pdf" TargetMode="External"/><Relationship Id="rId3" Type="http://schemas.openxmlformats.org/officeDocument/2006/relationships/styles" Target="styles.xml"/><Relationship Id="rId21" Type="http://schemas.openxmlformats.org/officeDocument/2006/relationships/hyperlink" Target="http://eeas.europa.eu/archives/docs/library/publications/2004_seasia_en.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il.nus.edu.sg/wp-content/uploads/2019/02/1995-THE-ASEAN-REGIONAL-FORUM-A-CONCEPT-PAPER.pdf" TargetMode="External"/><Relationship Id="rId17" Type="http://schemas.openxmlformats.org/officeDocument/2006/relationships/hyperlink" Target="http://eeas.europa.eu/archives/docs/asia/docs/guidelines_eu_foreign_sec_pol_east_asia_en.pdf" TargetMode="External"/><Relationship Id="rId25" Type="http://schemas.openxmlformats.org/officeDocument/2006/relationships/hyperlink" Target="https://ec.europa.eu/jrc/en/research-topic/chemical-biological-radiological-and-nuclear-hazards/cbrn-risk-mitigation-centres-of-excellence" TargetMode="External"/><Relationship Id="rId33" Type="http://schemas.openxmlformats.org/officeDocument/2006/relationships/hyperlink" Target="https://www.maritime-executive.com/article/asean-considers-common-visa-program" TargetMode="External"/><Relationship Id="rId2" Type="http://schemas.openxmlformats.org/officeDocument/2006/relationships/numbering" Target="numbering.xml"/><Relationship Id="rId16" Type="http://schemas.openxmlformats.org/officeDocument/2006/relationships/hyperlink" Target="https://ec.europa.eu/commission/presscorner/detail/en/PRES_07_54" TargetMode="External"/><Relationship Id="rId20" Type="http://schemas.openxmlformats.org/officeDocument/2006/relationships/hyperlink" Target="http://aei.pitt.edu/4280/1/4280.pdf" TargetMode="External"/><Relationship Id="rId29" Type="http://schemas.openxmlformats.org/officeDocument/2006/relationships/hyperlink" Target="https://www.youtube.com/watch?v=8F8Q-l1i5S4&amp;list=PLKSkwAb-NAsIA-yi69eEJNb-505NrpyFK&amp;index=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ur-lex.europa.eu/legal-content/EN/TXT/PDF/?uri=JOIN:2015:22:FIN&amp;from=EN" TargetMode="External"/><Relationship Id="rId32" Type="http://schemas.openxmlformats.org/officeDocument/2006/relationships/hyperlink" Target="https://www.youtube.com/watch?v=EawEeD_rhpI" TargetMode="External"/><Relationship Id="rId5" Type="http://schemas.openxmlformats.org/officeDocument/2006/relationships/webSettings" Target="webSettings.xml"/><Relationship Id="rId15" Type="http://schemas.openxmlformats.org/officeDocument/2006/relationships/hyperlink" Target="https://www.consilium.europa.eu/en/documents-publications/publications/european-security-strategy-secure-europe-better-world/" TargetMode="External"/><Relationship Id="rId23" Type="http://schemas.openxmlformats.org/officeDocument/2006/relationships/hyperlink" Target="http://www.eeas.europa.eu/archives/docs/csdp/structures-instruments-agencies/eu-military-staff/save_the_date/docs/joint_communication_on_comprehensive_approach.pdf" TargetMode="External"/><Relationship Id="rId28" Type="http://schemas.openxmlformats.org/officeDocument/2006/relationships/hyperlink" Target="https://op.europa.eu/en/publication-detail/-/publication/0181b029-29e3-4747-8763-10b38b7b634c/language-en"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eeas.europa.eu/archives/docs/top_stories/pdf/eugs_review_web.pdf" TargetMode="External"/><Relationship Id="rId31" Type="http://schemas.openxmlformats.org/officeDocument/2006/relationships/hyperlink" Target="https://www.youtube.com/watch?v=fVcSRgEo3VI&amp;list=PLKSkwAb-NAsIA-yi69eEJNb-505NrpyFK&amp;index=28" TargetMode="External"/><Relationship Id="rId4" Type="http://schemas.openxmlformats.org/officeDocument/2006/relationships/settings" Target="settings.xml"/><Relationship Id="rId9" Type="http://schemas.openxmlformats.org/officeDocument/2006/relationships/hyperlink" Target="https://scholar.google.com/citations?user=Gu2E6HkAAAAJ&amp;hl=en&amp;oi=sra" TargetMode="External"/><Relationship Id="rId14" Type="http://schemas.openxmlformats.org/officeDocument/2006/relationships/hyperlink" Target="http://bordermanagement.net/?p=277" TargetMode="External"/><Relationship Id="rId22" Type="http://schemas.openxmlformats.org/officeDocument/2006/relationships/hyperlink" Target="https://ec.europa.eu/research/iscp/pdf/policy/action_plan_07.pdf" TargetMode="External"/><Relationship Id="rId27" Type="http://schemas.openxmlformats.org/officeDocument/2006/relationships/hyperlink" Target="https://eur-lex.europa.eu/legal-content/EN/TXT/?uri=celex%3A12012M%2FTXT" TargetMode="External"/><Relationship Id="rId30" Type="http://schemas.openxmlformats.org/officeDocument/2006/relationships/hyperlink" Target="https://www.youtube.com/watch?v=RoZpqKpIBb8&amp;list=PLKSkwAb-NAsIA-yi69eEJNb-505NrpyFK&amp;index=13" TargetMode="External"/><Relationship Id="rId35" Type="http://schemas.openxmlformats.org/officeDocument/2006/relationships/fontTable" Target="fontTable.xml"/><Relationship Id="rId8" Type="http://schemas.openxmlformats.org/officeDocument/2006/relationships/hyperlink" Target="https://scholar.google.com/citations?user=Gu2E6HkAAAAJ&amp;hl=en&amp;oi=sr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ean.org/eu-asean-launch-2nd-phase-of-border-management-programme/" TargetMode="External"/><Relationship Id="rId3" Type="http://schemas.openxmlformats.org/officeDocument/2006/relationships/hyperlink" Target="http://www.cbrn-coe46.eu/index.php/the-project/strengthening-legal-framework" TargetMode="External"/><Relationship Id="rId7" Type="http://schemas.openxmlformats.org/officeDocument/2006/relationships/hyperlink" Target="https://theaseanpost.com/article/hard-tackle-against-illegal-fishing" TargetMode="External"/><Relationship Id="rId2" Type="http://schemas.openxmlformats.org/officeDocument/2006/relationships/hyperlink" Target="https://asean.org/eu-asean-launch-2nd-phase-of-border-management-programme/" TargetMode="External"/><Relationship Id="rId1" Type="http://schemas.openxmlformats.org/officeDocument/2006/relationships/hyperlink" Target="http://www.cscap.org/index.php?page=towards-preventive-diplomacy" TargetMode="External"/><Relationship Id="rId6" Type="http://schemas.openxmlformats.org/officeDocument/2006/relationships/hyperlink" Target="http://aseanregionalforum.asean.org/wp-content/uploads/2020/03/Annex-46-Concept-Paper-for-the-ARF-Seminar-on-PD-and-Early-Warning-Systems.pdf" TargetMode="External"/><Relationship Id="rId5" Type="http://schemas.openxmlformats.org/officeDocument/2006/relationships/hyperlink" Target="https://www.mmtimes.com/asean-focus/26000-asean-ponders-a-common-visa-scheme.html" TargetMode="External"/><Relationship Id="rId4" Type="http://schemas.openxmlformats.org/officeDocument/2006/relationships/hyperlink" Target="http://bordermanagement.net/?p=27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72131-45CE-6547-BEF8-54E8DA7B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13929</Words>
  <Characters>79397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Xuechen</dc:creator>
  <cp:keywords/>
  <dc:description/>
  <cp:lastModifiedBy>Chen, Xuechen</cp:lastModifiedBy>
  <cp:revision>4</cp:revision>
  <cp:lastPrinted>2021-07-17T13:32:00Z</cp:lastPrinted>
  <dcterms:created xsi:type="dcterms:W3CDTF">2023-10-23T12:20:00Z</dcterms:created>
  <dcterms:modified xsi:type="dcterms:W3CDTF">2023-10-23T12:21:00Z</dcterms:modified>
</cp:coreProperties>
</file>