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70846" w:rsidRDefault="00C71C23" w:rsidP="00E8649C">
      <w:pPr>
        <w:jc w:val="center"/>
        <w:rPr>
          <w:b/>
          <w:bCs/>
        </w:rPr>
      </w:pPr>
      <w:r>
        <w:rPr>
          <w:b/>
          <w:bCs/>
        </w:rPr>
        <w:t>TEMPO and a co-reductant mediated aerobic epoxidation of olefins using a new magnetically recoverable iron(III) bis(phenol)diamine complex: Experimental and computational studies</w:t>
      </w:r>
    </w:p>
    <w:p w:rsidR="00470846" w:rsidRDefault="00C71C23" w:rsidP="00D11DBF">
      <w:pPr>
        <w:shd w:val="clear" w:color="auto" w:fill="FFFFFF" w:themeFill="background1"/>
        <w:rPr>
          <w:b/>
          <w:bCs/>
        </w:rPr>
      </w:pPr>
      <w:r>
        <w:rPr>
          <w:b/>
          <w:bCs/>
        </w:rPr>
        <w:t>Pegah Mohammadpour</w:t>
      </w:r>
      <w:r>
        <w:rPr>
          <w:b/>
          <w:bCs/>
          <w:vertAlign w:val="superscript"/>
        </w:rPr>
        <w:t>1</w:t>
      </w:r>
      <w:r>
        <w:rPr>
          <w:b/>
          <w:bCs/>
        </w:rPr>
        <w:t>, Elham Safaei</w:t>
      </w:r>
      <w:r>
        <w:rPr>
          <w:b/>
          <w:bCs/>
          <w:vertAlign w:val="superscript"/>
        </w:rPr>
        <w:t>1,</w:t>
      </w:r>
      <w:r>
        <w:rPr>
          <w:b/>
          <w:bCs/>
        </w:rPr>
        <w:t xml:space="preserve">* Elham </w:t>
      </w:r>
      <w:r w:rsidRPr="00D11DBF">
        <w:rPr>
          <w:b/>
          <w:bCs/>
          <w:shd w:val="clear" w:color="auto" w:fill="FFFFFF" w:themeFill="background1"/>
        </w:rPr>
        <w:t>Mazarei</w:t>
      </w:r>
      <w:r w:rsidRPr="00D11DBF">
        <w:rPr>
          <w:b/>
          <w:bCs/>
          <w:shd w:val="clear" w:color="auto" w:fill="FFFFFF" w:themeFill="background1"/>
          <w:vertAlign w:val="superscript"/>
        </w:rPr>
        <w:t>2</w:t>
      </w:r>
      <w:r w:rsidRPr="00D11DBF">
        <w:rPr>
          <w:b/>
          <w:bCs/>
          <w:shd w:val="clear" w:color="auto" w:fill="FFFFFF" w:themeFill="background1"/>
        </w:rPr>
        <w:t xml:space="preserve"> and</w:t>
      </w:r>
      <w:r>
        <w:rPr>
          <w:b/>
          <w:bCs/>
        </w:rPr>
        <w:t xml:space="preserve"> Constantinos D. Zeinalipour-Yazd</w:t>
      </w:r>
      <w:r w:rsidRPr="00D11DBF">
        <w:rPr>
          <w:b/>
          <w:bCs/>
          <w:shd w:val="clear" w:color="auto" w:fill="FFFFFF" w:themeFill="background1"/>
        </w:rPr>
        <w:t>i</w:t>
      </w:r>
      <w:r w:rsidRPr="00D11DBF">
        <w:rPr>
          <w:b/>
          <w:bCs/>
          <w:shd w:val="clear" w:color="auto" w:fill="FFFFFF" w:themeFill="background1"/>
          <w:vertAlign w:val="superscript"/>
        </w:rPr>
        <w:t>3</w:t>
      </w:r>
    </w:p>
    <w:p w:rsidR="00470846" w:rsidRPr="00E667B1" w:rsidRDefault="00C71C23" w:rsidP="00D11DBF">
      <w:pPr>
        <w:pStyle w:val="BCAuthorAddress"/>
        <w:shd w:val="clear" w:color="auto" w:fill="FFFFFF" w:themeFill="background1"/>
        <w:spacing w:after="0" w:line="240" w:lineRule="auto"/>
        <w:jc w:val="left"/>
        <w:rPr>
          <w:rFonts w:asciiTheme="minorHAnsi" w:hAnsiTheme="minorHAnsi" w:cstheme="majorBidi"/>
          <w:color w:val="0D0D0D" w:themeColor="text1" w:themeTint="F2"/>
          <w:sz w:val="22"/>
          <w:szCs w:val="22"/>
        </w:rPr>
      </w:pPr>
      <w:r w:rsidRPr="00E667B1">
        <w:rPr>
          <w:rFonts w:asciiTheme="minorHAnsi" w:hAnsiTheme="minorHAnsi" w:cstheme="majorBidi"/>
          <w:color w:val="0D0D0D" w:themeColor="text1" w:themeTint="F2"/>
          <w:sz w:val="22"/>
          <w:szCs w:val="22"/>
          <w:vertAlign w:val="superscript"/>
        </w:rPr>
        <w:t>1</w:t>
      </w:r>
      <w:r w:rsidRPr="00E667B1">
        <w:rPr>
          <w:rFonts w:asciiTheme="minorHAnsi" w:hAnsiTheme="minorHAnsi" w:cstheme="majorBidi"/>
          <w:color w:val="0D0D0D" w:themeColor="text1" w:themeTint="F2"/>
          <w:sz w:val="22"/>
          <w:szCs w:val="22"/>
        </w:rPr>
        <w:t>Department of Chemistry, College of Sciences, Shiraz University, Shiraz, 7194684795, Iran</w:t>
      </w:r>
    </w:p>
    <w:p w:rsidR="00470846" w:rsidRPr="00E667B1" w:rsidRDefault="00C71C23" w:rsidP="00D11DBF">
      <w:pPr>
        <w:pStyle w:val="BCAuthorAddress"/>
        <w:shd w:val="clear" w:color="auto" w:fill="FFFFFF" w:themeFill="background1"/>
        <w:spacing w:after="0" w:line="240" w:lineRule="auto"/>
        <w:jc w:val="left"/>
      </w:pPr>
      <w:r w:rsidRPr="00D11DBF">
        <w:rPr>
          <w:rFonts w:asciiTheme="minorHAnsi" w:hAnsiTheme="minorHAnsi" w:cstheme="majorBidi"/>
          <w:color w:val="0D0D0D" w:themeColor="text1" w:themeTint="F2"/>
          <w:sz w:val="22"/>
          <w:szCs w:val="22"/>
          <w:shd w:val="clear" w:color="auto" w:fill="FFFFFF" w:themeFill="background1"/>
          <w:vertAlign w:val="superscript"/>
        </w:rPr>
        <w:t>2</w:t>
      </w:r>
      <w:r w:rsidRPr="00D11DBF">
        <w:rPr>
          <w:rFonts w:asciiTheme="minorHAnsi" w:hAnsiTheme="minorHAnsi" w:cstheme="majorBidi"/>
          <w:color w:val="0D0D0D" w:themeColor="text1" w:themeTint="F2"/>
          <w:sz w:val="22"/>
          <w:szCs w:val="22"/>
          <w:shd w:val="clear" w:color="auto" w:fill="FFFFFF" w:themeFill="background1"/>
        </w:rPr>
        <w:t>Theoretical Chemistry, Institute of Chemistry, University of Potsdam, Karl-Liebknecht-Str. 24-25, 14476</w:t>
      </w:r>
      <w:r w:rsidRPr="00E8649C">
        <w:rPr>
          <w:rFonts w:asciiTheme="minorHAnsi" w:hAnsiTheme="minorHAnsi" w:cstheme="majorBidi"/>
          <w:color w:val="0D0D0D" w:themeColor="text1" w:themeTint="F2"/>
          <w:sz w:val="22"/>
          <w:szCs w:val="22"/>
          <w:shd w:val="clear" w:color="auto" w:fill="FFFF00"/>
        </w:rPr>
        <w:t xml:space="preserve"> </w:t>
      </w:r>
      <w:r w:rsidRPr="00D11DBF">
        <w:rPr>
          <w:rFonts w:asciiTheme="minorHAnsi" w:hAnsiTheme="minorHAnsi" w:cstheme="majorBidi"/>
          <w:color w:val="0D0D0D" w:themeColor="text1" w:themeTint="F2"/>
          <w:sz w:val="22"/>
          <w:szCs w:val="22"/>
          <w:shd w:val="clear" w:color="auto" w:fill="FFFFFF" w:themeFill="background1"/>
        </w:rPr>
        <w:t>Potsdam, Germany</w:t>
      </w:r>
    </w:p>
    <w:p w:rsidR="00470846" w:rsidRPr="00E667B1" w:rsidRDefault="00C71C23" w:rsidP="00D11DBF">
      <w:pPr>
        <w:pStyle w:val="BCAuthorAddress"/>
        <w:shd w:val="clear" w:color="auto" w:fill="FFFFFF" w:themeFill="background1"/>
        <w:spacing w:after="0" w:line="240" w:lineRule="auto"/>
        <w:jc w:val="left"/>
        <w:rPr>
          <w:rFonts w:asciiTheme="minorHAnsi" w:hAnsiTheme="minorHAnsi" w:cstheme="majorBidi"/>
          <w:color w:val="0D0D0D" w:themeColor="text1" w:themeTint="F2"/>
          <w:sz w:val="22"/>
          <w:szCs w:val="22"/>
        </w:rPr>
      </w:pPr>
      <w:r w:rsidRPr="00D11DBF">
        <w:rPr>
          <w:rFonts w:asciiTheme="minorHAnsi" w:hAnsiTheme="minorHAnsi" w:cstheme="majorBidi"/>
          <w:color w:val="0D0D0D" w:themeColor="text1" w:themeTint="F2"/>
          <w:sz w:val="22"/>
          <w:szCs w:val="22"/>
          <w:shd w:val="clear" w:color="auto" w:fill="FFFFFF" w:themeFill="background1"/>
          <w:vertAlign w:val="superscript"/>
        </w:rPr>
        <w:t>3</w:t>
      </w:r>
      <w:r w:rsidRPr="00D11DBF">
        <w:rPr>
          <w:rFonts w:asciiTheme="minorHAnsi" w:hAnsiTheme="minorHAnsi" w:cstheme="majorBidi"/>
          <w:color w:val="0D0D0D" w:themeColor="text1" w:themeTint="F2"/>
          <w:sz w:val="22"/>
          <w:szCs w:val="22"/>
          <w:shd w:val="clear" w:color="auto" w:fill="FFFFFF" w:themeFill="background1"/>
        </w:rPr>
        <w:t>D</w:t>
      </w:r>
      <w:r w:rsidRPr="00E667B1">
        <w:rPr>
          <w:rFonts w:asciiTheme="minorHAnsi" w:hAnsiTheme="minorHAnsi" w:cstheme="majorBidi"/>
          <w:color w:val="0D0D0D" w:themeColor="text1" w:themeTint="F2"/>
          <w:sz w:val="22"/>
          <w:szCs w:val="22"/>
        </w:rPr>
        <w:t xml:space="preserve">epartment of Natural Sciences, Middlesex University, Hendon Campus, the Burroughs, London NW4 </w:t>
      </w:r>
      <w:r w:rsidR="00AD057B">
        <w:rPr>
          <w:rFonts w:asciiTheme="minorHAnsi" w:hAnsiTheme="minorHAnsi" w:cstheme="majorBidi"/>
          <w:color w:val="0D0D0D" w:themeColor="text1" w:themeTint="F2"/>
          <w:sz w:val="22"/>
          <w:szCs w:val="22"/>
        </w:rPr>
        <w:t xml:space="preserve">   </w:t>
      </w:r>
      <w:r w:rsidRPr="00E667B1">
        <w:rPr>
          <w:rFonts w:asciiTheme="minorHAnsi" w:hAnsiTheme="minorHAnsi" w:cstheme="majorBidi"/>
          <w:color w:val="0D0D0D" w:themeColor="text1" w:themeTint="F2"/>
          <w:sz w:val="22"/>
          <w:szCs w:val="22"/>
        </w:rPr>
        <w:t>4BT, UK</w:t>
      </w:r>
    </w:p>
    <w:p w:rsidR="00470846" w:rsidRPr="00E667B1" w:rsidRDefault="00470846">
      <w:pPr>
        <w:rPr>
          <w:b/>
          <w:bCs/>
        </w:rPr>
      </w:pPr>
    </w:p>
    <w:p w:rsidR="00470846" w:rsidRPr="00E667B1" w:rsidRDefault="00C71C23">
      <w:pPr>
        <w:rPr>
          <w:b/>
          <w:bCs/>
        </w:rPr>
      </w:pPr>
      <w:r w:rsidRPr="00E667B1">
        <w:rPr>
          <w:b/>
          <w:bCs/>
        </w:rPr>
        <w:t>Abstract</w:t>
      </w:r>
      <w:bookmarkStart w:id="0" w:name="_GoBack"/>
      <w:bookmarkEnd w:id="0"/>
    </w:p>
    <w:p w:rsidR="00470846" w:rsidRPr="00E8649C" w:rsidRDefault="00C71C23" w:rsidP="00E8649C">
      <w:pPr>
        <w:jc w:val="lowKashida"/>
        <w:rPr>
          <w:rFonts w:cs="Shonar Bangla"/>
          <w:bCs/>
        </w:rPr>
      </w:pPr>
      <w:r w:rsidRPr="00E8649C">
        <w:t xml:space="preserve">A magnetically recoverable catalyst of iron(III) bis(phenol) diamine complex immobilized onto amine functionalized silica-coated magnetic nanoparticles has been synthesized. The catalyst was characterized </w:t>
      </w:r>
      <w:r w:rsidRPr="00E8649C">
        <w:rPr>
          <w:rFonts w:eastAsia="MS Mincho" w:cs="Times New Roman"/>
          <w:sz w:val="24"/>
          <w:szCs w:val="24"/>
          <w:lang w:eastAsia="ja-JP"/>
        </w:rPr>
        <w:t xml:space="preserve">using FESEM, TEM and </w:t>
      </w:r>
      <w:r w:rsidRPr="00E8649C">
        <w:rPr>
          <w:rFonts w:eastAsia="MS Mincho" w:cs="Times New Roman"/>
          <w:sz w:val="24"/>
          <w:szCs w:val="24"/>
          <w:lang w:val="de-DE" w:eastAsia="ja-JP"/>
        </w:rPr>
        <w:t xml:space="preserve">XRD which confirmed the nano structure of catalyst. The physico-chemical techniques of ICP, </w:t>
      </w:r>
      <w:r w:rsidRPr="00E8649C">
        <w:rPr>
          <w:rFonts w:eastAsia="MS Mincho" w:cs="Times New Roman"/>
          <w:sz w:val="24"/>
          <w:szCs w:val="24"/>
          <w:lang w:eastAsia="ja-JP"/>
        </w:rPr>
        <w:t>FT-IR</w:t>
      </w:r>
      <w:r w:rsidRPr="00E8649C">
        <w:rPr>
          <w:rFonts w:eastAsia="MS Mincho" w:cs="Times New Roman"/>
          <w:sz w:val="24"/>
          <w:szCs w:val="24"/>
          <w:lang w:val="de-DE" w:eastAsia="ja-JP"/>
        </w:rPr>
        <w:t xml:space="preserve">, XPS, EDS and TGA proved the </w:t>
      </w:r>
      <w:r w:rsidRPr="00E8649C">
        <w:t>loading of ligand and metal complex on silica-coated magnetic nanoparticles. Using the prepared heterogeneous catalyst, aerobic epoxidation reactions of different alkenes have been investigated in the presence of SO</w:t>
      </w:r>
      <w:r w:rsidRPr="00E8649C">
        <w:rPr>
          <w:vertAlign w:val="subscript"/>
        </w:rPr>
        <w:t>3</w:t>
      </w:r>
      <w:r w:rsidRPr="00E8649C">
        <w:rPr>
          <w:vertAlign w:val="superscript"/>
        </w:rPr>
        <w:t>2-</w:t>
      </w:r>
      <w:r w:rsidRPr="00E8649C">
        <w:t xml:space="preserve"> as a reducing agent. Moreover, using TEMPO (2,2,6,6-tetramethyl-1-piperidinyloxy) to discover the aerobic epoxidation of olefins mechanism, a new TEMPO-assisted route has been explored. Both of the reaction pathways led to the moderate to high percentage yield of epoxides in water at room temperature. For further consideration of mechanistic aspects, Density Functional Theory (DFT) computational studies have been performed.</w:t>
      </w:r>
      <w:r w:rsidRPr="00E8649C">
        <w:rPr>
          <w:rFonts w:cs="Times New Roman"/>
          <w:bCs/>
          <w:sz w:val="24"/>
          <w:szCs w:val="24"/>
        </w:rPr>
        <w:t xml:space="preserve"> </w:t>
      </w:r>
      <w:r w:rsidRPr="00E8649C">
        <w:rPr>
          <w:rFonts w:cs="Shonar Bangla"/>
          <w:bCs/>
        </w:rPr>
        <w:t>The DFT calculation confirms the suggested mechanism for title reaction and shows the electron density in the vicinity of Fe(II) in the presence of TEMPO as co catalyst was more than SO</w:t>
      </w:r>
      <w:r w:rsidRPr="00E8649C">
        <w:rPr>
          <w:rFonts w:cs="Shonar Bangla"/>
          <w:bCs/>
          <w:vertAlign w:val="subscript"/>
        </w:rPr>
        <w:t>3</w:t>
      </w:r>
      <w:r w:rsidRPr="00E8649C">
        <w:rPr>
          <w:rFonts w:cs="Shonar Bangla"/>
          <w:bCs/>
          <w:vertAlign w:val="superscript"/>
        </w:rPr>
        <w:t>2-</w:t>
      </w:r>
      <w:r w:rsidRPr="00E8649C">
        <w:rPr>
          <w:rFonts w:cs="Shonar Bangla"/>
          <w:bCs/>
        </w:rPr>
        <w:t xml:space="preserve">. </w:t>
      </w:r>
    </w:p>
    <w:p w:rsidR="00470846" w:rsidRDefault="00470846">
      <w:pPr>
        <w:rPr>
          <w:bCs/>
        </w:rPr>
      </w:pPr>
    </w:p>
    <w:p w:rsidR="00470846" w:rsidRDefault="00C71C23" w:rsidP="00AD057B">
      <w:r>
        <w:rPr>
          <w:b/>
          <w:bCs/>
        </w:rPr>
        <w:t>Keywords:</w:t>
      </w:r>
      <w:r>
        <w:t xml:space="preserve"> Aerobic epoxidation, B</w:t>
      </w:r>
      <w:r w:rsidR="00AD057B">
        <w:t>is(phenol) diamine, TEMPO, iron</w:t>
      </w:r>
      <w:r>
        <w:t>(III) complex</w:t>
      </w:r>
    </w:p>
    <w:p w:rsidR="00470846" w:rsidRDefault="00470846"/>
    <w:p w:rsidR="00470846" w:rsidRDefault="00C71C23">
      <w:pPr>
        <w:rPr>
          <w:b/>
          <w:bCs/>
        </w:rPr>
      </w:pPr>
      <w:r>
        <w:rPr>
          <w:b/>
          <w:bCs/>
        </w:rPr>
        <w:t>Introduction</w:t>
      </w:r>
    </w:p>
    <w:p w:rsidR="00470846" w:rsidRDefault="00C71C23" w:rsidP="00E8649C">
      <w:pPr>
        <w:jc w:val="lowKashida"/>
      </w:pPr>
      <w:r>
        <w:t>The improvement of active and sustainable catalysts for the economic synthesis of functionalized compounds from simple hydrocarbons for various industrial targets remains an important challenge.</w:t>
      </w:r>
      <w:r>
        <w:rPr>
          <w:vertAlign w:val="superscript"/>
        </w:rPr>
        <w:t>1</w:t>
      </w:r>
      <w:r>
        <w:t xml:space="preserve"> Among these research areas, the catalytic selective oxidation reactions of organic substrates are very noticeable.</w:t>
      </w:r>
      <w:r>
        <w:rPr>
          <w:vertAlign w:val="superscript"/>
        </w:rPr>
        <w:t xml:space="preserve">2 </w:t>
      </w:r>
      <w:r>
        <w:t>Lately, epoxidation reaction of alkenes have received prominent attention due to the remarkable role of epoxides as key intermediates in various key organic transformations.</w:t>
      </w:r>
      <w:r>
        <w:rPr>
          <w:vertAlign w:val="superscript"/>
        </w:rPr>
        <w:t>3</w:t>
      </w:r>
    </w:p>
    <w:p w:rsidR="00470846" w:rsidRDefault="00C71C23" w:rsidP="00E8649C">
      <w:pPr>
        <w:jc w:val="lowKashida"/>
      </w:pPr>
      <w:r>
        <w:t>For large-scale production of oxygenated hydrocarbons from alkanes or olefins which are obtained from petroleum industry, choosing a green and economical oxygen source is a key consideration, and consequently, most research studies have concentrated on aerobic oxidation developments in recent years.</w:t>
      </w:r>
    </w:p>
    <w:p w:rsidR="00470846" w:rsidRDefault="00C71C23" w:rsidP="00E8649C">
      <w:pPr>
        <w:jc w:val="lowKashida"/>
      </w:pPr>
      <w:r>
        <w:t>However, regarding triplet spin-state of oxygen and singlet spin-state of organic substrates, direct oxidation of organic compounds with molecular O</w:t>
      </w:r>
      <w:r>
        <w:rPr>
          <w:vertAlign w:val="subscript"/>
        </w:rPr>
        <w:t xml:space="preserve">2 </w:t>
      </w:r>
      <w:r>
        <w:t>is spin-forbidden</w:t>
      </w:r>
      <w:r>
        <w:rPr>
          <w:vertAlign w:val="superscript"/>
        </w:rPr>
        <w:t>4</w:t>
      </w:r>
      <w:r>
        <w:t xml:space="preserve"> and transition metal catalysts are required to facilitate the oxidation process.</w:t>
      </w:r>
      <w:r>
        <w:rPr>
          <w:vertAlign w:val="superscript"/>
        </w:rPr>
        <w:t>5</w:t>
      </w:r>
      <w:r>
        <w:t xml:space="preserve"> </w:t>
      </w:r>
      <w:r w:rsidRPr="00E667B1">
        <w:rPr>
          <w:color w:val="FF0000"/>
          <w:highlight w:val="cyan"/>
        </w:rPr>
        <w:t>Hence, the</w:t>
      </w:r>
      <w:r w:rsidR="00E667B1" w:rsidRPr="00E667B1">
        <w:rPr>
          <w:color w:val="FF0000"/>
          <w:highlight w:val="cyan"/>
        </w:rPr>
        <w:t>re have been limited</w:t>
      </w:r>
      <w:r w:rsidRPr="00E667B1">
        <w:rPr>
          <w:color w:val="FF0000"/>
          <w:highlight w:val="cyan"/>
        </w:rPr>
        <w:t xml:space="preserve"> reports o</w:t>
      </w:r>
      <w:r w:rsidR="00E667B1" w:rsidRPr="00E667B1">
        <w:rPr>
          <w:color w:val="FF0000"/>
          <w:highlight w:val="cyan"/>
        </w:rPr>
        <w:t>n</w:t>
      </w:r>
      <w:r w:rsidRPr="00E667B1">
        <w:rPr>
          <w:color w:val="FF0000"/>
          <w:highlight w:val="cyan"/>
        </w:rPr>
        <w:t xml:space="preserve"> hydrocarbons </w:t>
      </w:r>
      <w:r w:rsidRPr="00E667B1">
        <w:rPr>
          <w:color w:val="FF0000"/>
          <w:highlight w:val="cyan"/>
        </w:rPr>
        <w:lastRenderedPageBreak/>
        <w:t xml:space="preserve">oxidation reactions using </w:t>
      </w:r>
      <w:r w:rsidR="00E667B1" w:rsidRPr="00E667B1">
        <w:rPr>
          <w:color w:val="FF0000"/>
          <w:highlight w:val="cyan"/>
        </w:rPr>
        <w:t xml:space="preserve">a heterogeneous catalyst comprising non-noble metal and </w:t>
      </w:r>
      <w:r w:rsidRPr="00E667B1">
        <w:rPr>
          <w:color w:val="FF0000"/>
          <w:highlight w:val="cyan"/>
        </w:rPr>
        <w:t xml:space="preserve">molecular oxygen as the </w:t>
      </w:r>
      <w:r w:rsidR="00E667B1" w:rsidRPr="00E667B1">
        <w:rPr>
          <w:color w:val="FF0000"/>
          <w:highlight w:val="cyan"/>
        </w:rPr>
        <w:t>most cost-effective</w:t>
      </w:r>
      <w:r w:rsidRPr="00E667B1">
        <w:rPr>
          <w:color w:val="FF0000"/>
          <w:highlight w:val="cyan"/>
        </w:rPr>
        <w:t xml:space="preserve"> and </w:t>
      </w:r>
      <w:r w:rsidR="00E667B1" w:rsidRPr="00E667B1">
        <w:rPr>
          <w:color w:val="FF0000"/>
          <w:highlight w:val="cyan"/>
        </w:rPr>
        <w:t>environmentally friendly</w:t>
      </w:r>
      <w:r w:rsidRPr="00E667B1">
        <w:rPr>
          <w:color w:val="FF0000"/>
          <w:highlight w:val="cyan"/>
        </w:rPr>
        <w:t xml:space="preserve"> oxidant</w:t>
      </w:r>
      <w:r w:rsidRPr="00E667B1">
        <w:rPr>
          <w:highlight w:val="cyan"/>
        </w:rPr>
        <w:t>.</w:t>
      </w:r>
      <w:r>
        <w:rPr>
          <w:vertAlign w:val="superscript"/>
        </w:rPr>
        <w:t>6</w:t>
      </w:r>
      <w:r>
        <w:t xml:space="preserve"> On the other hand, although the stronger oxidants such as peroxides are known as waste-producing reagents, they are usually employed. </w:t>
      </w:r>
      <w:r>
        <w:rPr>
          <w:vertAlign w:val="superscript"/>
        </w:rPr>
        <w:t xml:space="preserve">7 </w:t>
      </w:r>
      <w:r>
        <w:t>Among them, hydrogen peroxide is one of the most common oxidant which is employed widely in oxidation reactions due to water being produced as byproduct; but according to its synthesis route, using H</w:t>
      </w:r>
      <w:r>
        <w:rPr>
          <w:vertAlign w:val="subscript"/>
        </w:rPr>
        <w:t>2</w:t>
      </w:r>
      <w:r>
        <w:t xml:space="preserve"> and CO gas is not considered as a totally green oxygen source.</w:t>
      </w:r>
      <w:r>
        <w:rPr>
          <w:vertAlign w:val="superscript"/>
        </w:rPr>
        <w:t xml:space="preserve"> </w:t>
      </w:r>
      <w:r>
        <w:t>Therefore, considerable effort has been oriented towards the use of molecular oxygen toward designing catalytic complexes especially late-transition-metal complexes in recent years.</w:t>
      </w:r>
      <w:r>
        <w:rPr>
          <w:vertAlign w:val="superscript"/>
        </w:rPr>
        <w:t>8</w:t>
      </w:r>
    </w:p>
    <w:p w:rsidR="00470846" w:rsidRDefault="00C71C23" w:rsidP="00E8649C">
      <w:pPr>
        <w:jc w:val="lowKashida"/>
      </w:pPr>
      <w:r>
        <w:t>In nature, metalloenzymes selectively oxidize hydrocarbons through dioxygen activation process in the presence of NADH as an electron and proton source.</w:t>
      </w:r>
      <w:r>
        <w:rPr>
          <w:vertAlign w:val="superscript"/>
        </w:rPr>
        <w:t>9</w:t>
      </w:r>
      <w:r>
        <w:t xml:space="preserve"> Non-heme and heme iron dependent oxygenases  are one of the most significant groups of these metalloenzymes which show a desire to incorporate molecular oxygen into a variety of biomolecules.</w:t>
      </w:r>
      <w:r>
        <w:rPr>
          <w:vertAlign w:val="superscript"/>
        </w:rPr>
        <w:t>10</w:t>
      </w:r>
      <w:r>
        <w:t xml:space="preserve"> Actually, iron due to the availability of different redox states, has good potential to activate dioxygen and facilitate the reaction of molecular oxygen incorporation into biomolecules which is often challenging with synthetic approaches. In metalloenzymes such as cytochrome P450, these reactions regularly proceed via high valent Fe(IV) oxo (ferryl) [Fe(IV)=O] or, Fe (V) oxo (perferryl) [Fe(V)=O] intermediates in the presence of molecular oxygen and a reducing agent but in synthetic and artificial models, high valent iron-oxo species usually arise via strong oxidants (Figure 1).</w:t>
      </w:r>
      <w:r>
        <w:rPr>
          <w:vertAlign w:val="superscript"/>
        </w:rPr>
        <w:t>11</w:t>
      </w:r>
      <w:r>
        <w:t xml:space="preserve"> </w:t>
      </w:r>
    </w:p>
    <w:p w:rsidR="00470846" w:rsidRDefault="00C71C23" w:rsidP="00E8649C">
      <w:pPr>
        <w:jc w:val="lowKashida"/>
      </w:pPr>
      <w:r>
        <w:t>Alternatively, sulfite (SO</w:t>
      </w:r>
      <w:r>
        <w:rPr>
          <w:vertAlign w:val="subscript"/>
        </w:rPr>
        <w:t>3</w:t>
      </w:r>
      <w:r>
        <w:rPr>
          <w:vertAlign w:val="superscript"/>
        </w:rPr>
        <w:t>-</w:t>
      </w:r>
      <w:r>
        <w:t>) is one of the known reducing agents that has recently considered for oxidation reaction using O</w:t>
      </w:r>
      <w:r>
        <w:rPr>
          <w:vertAlign w:val="subscript"/>
        </w:rPr>
        <w:t>2</w:t>
      </w:r>
      <w:r>
        <w:t xml:space="preserve"> and iron-based catalysts.</w:t>
      </w:r>
      <w:r>
        <w:rPr>
          <w:vertAlign w:val="superscript"/>
        </w:rPr>
        <w:t>12</w:t>
      </w:r>
    </w:p>
    <w:p w:rsidR="00470846" w:rsidRDefault="00C71C23" w:rsidP="00E8649C">
      <w:pPr>
        <w:jc w:val="lowKashida"/>
      </w:pPr>
      <w:r>
        <w:t>One of the most popular radical scavenging antioxidants is nitroxyl radicals. Among these compounds, TEMPO (2,2,6,6-tetramethyl-piperidinoxyl) is the most well-known nitroxyl radical. This stable radical in combination with metal complexes has been studied for many chemical transformations such as oxidation of alcohols to aldehyde.</w:t>
      </w:r>
      <w:r>
        <w:rPr>
          <w:vertAlign w:val="superscript"/>
        </w:rPr>
        <w:t>13</w:t>
      </w:r>
      <w:r>
        <w:t xml:space="preserve"> However, to the best of our knowledge, there is not any report containing TEMPO/metal (complex) system for the oxidation of alkenes using molecular oxygen or air under mild conditions. </w:t>
      </w:r>
    </w:p>
    <w:p w:rsidR="00470846" w:rsidRDefault="00C71C23" w:rsidP="00E8649C">
      <w:pPr>
        <w:jc w:val="lowKashida"/>
        <w:rPr>
          <w:vertAlign w:val="superscript"/>
        </w:rPr>
      </w:pPr>
      <w:r>
        <w:t>Scientists have performed widespread investigations to achieve the oxygenase enzymes performance in vitro. One of the most popular strategies is bio inspiration of these macromolecules.  Most of the attempts that have been made to reach this goal are focused on designing N, O and S ligands comprising pyridyl</w:t>
      </w:r>
      <w:r>
        <w:rPr>
          <w:vertAlign w:val="superscript"/>
        </w:rPr>
        <w:t xml:space="preserve"> 14</w:t>
      </w:r>
      <w:r>
        <w:t>,</w:t>
      </w:r>
      <w:r w:rsidR="00C659D4">
        <w:t xml:space="preserve"> </w:t>
      </w:r>
      <w:r>
        <w:t>imidazole moieties</w:t>
      </w:r>
      <w:r>
        <w:rPr>
          <w:vertAlign w:val="superscript"/>
        </w:rPr>
        <w:t xml:space="preserve"> 15</w:t>
      </w:r>
      <w:r>
        <w:t>, porphyrins</w:t>
      </w:r>
      <w:r>
        <w:rPr>
          <w:vertAlign w:val="superscript"/>
        </w:rPr>
        <w:t xml:space="preserve"> 16</w:t>
      </w:r>
      <w:r>
        <w:t xml:space="preserve"> and amine phenol</w:t>
      </w:r>
      <w:r>
        <w:rPr>
          <w:vertAlign w:val="superscript"/>
        </w:rPr>
        <w:t xml:space="preserve"> 17</w:t>
      </w:r>
      <w:r w:rsidR="00C659D4">
        <w:t>, O,N,O or</w:t>
      </w:r>
      <w:r>
        <w:t xml:space="preserve"> ONNO multi-dentate ligands</w:t>
      </w:r>
      <w:r>
        <w:rPr>
          <w:vertAlign w:val="superscript"/>
        </w:rPr>
        <w:t xml:space="preserve"> 18</w:t>
      </w:r>
      <w:r>
        <w:t xml:space="preserve"> which are able to provide a coordination sphere around the metal center with tunable properties such as Lewis acidity and catalytic activities.</w:t>
      </w:r>
      <w:r>
        <w:rPr>
          <w:vertAlign w:val="superscript"/>
        </w:rPr>
        <w:t xml:space="preserve">  </w:t>
      </w:r>
      <w:r>
        <w:t>Amine phenols through substituted benzyl group of phenols could easily make complexes with hard metal ions in relatively high oxidation state. On the other hand, CH</w:t>
      </w:r>
      <w:r>
        <w:rPr>
          <w:vertAlign w:val="subscript"/>
        </w:rPr>
        <w:t>2</w:t>
      </w:r>
      <w:r>
        <w:t xml:space="preserve"> bridges between amine and phenol groups not only let the ligand accept metals with different radii owing to the structural flexibility, but also improve structural performance in various catalytic processes.</w:t>
      </w:r>
      <w:r>
        <w:rPr>
          <w:vertAlign w:val="superscript"/>
        </w:rPr>
        <w:t>19</w:t>
      </w:r>
    </w:p>
    <w:p w:rsidR="00470846" w:rsidRDefault="00C71C23" w:rsidP="00E8649C">
      <w:pPr>
        <w:jc w:val="lowKashida"/>
      </w:pPr>
      <w:r>
        <w:t xml:space="preserve">Scientists have developed some strategies for supporting these ligands on stable supports such as SBA-15 </w:t>
      </w:r>
      <w:r>
        <w:rPr>
          <w:vertAlign w:val="superscript"/>
        </w:rPr>
        <w:t>20</w:t>
      </w:r>
      <w:r>
        <w:t xml:space="preserve"> and nanomagnets </w:t>
      </w:r>
      <w:r>
        <w:rPr>
          <w:vertAlign w:val="superscript"/>
        </w:rPr>
        <w:t>21</w:t>
      </w:r>
      <w:r>
        <w:t xml:space="preserve"> to prepare highly active, recoverable, reusable and selective catalysts to overcome the problems such as separation of catalysts from the reaction mixture. In the past decades, immobilization of metal complexes on magnetic nanoparticles has been investigated due to their easy isolation by applying a magnetic field and because they benefit from both homogeneous and heterogeneous catalysts.</w:t>
      </w:r>
      <w:r>
        <w:rPr>
          <w:vertAlign w:val="superscript"/>
        </w:rPr>
        <w:t>22</w:t>
      </w:r>
    </w:p>
    <w:p w:rsidR="00470846" w:rsidRDefault="00C71C23" w:rsidP="00E8649C">
      <w:pPr>
        <w:jc w:val="lowKashida"/>
        <w:rPr>
          <w:lang w:bidi="fa-IR"/>
        </w:rPr>
      </w:pPr>
      <w:r>
        <w:t>In this study, we have introduced a homogeneously heterogeneous catalyst which contains FeL</w:t>
      </w:r>
      <w:r>
        <w:rPr>
          <w:vertAlign w:val="superscript"/>
        </w:rPr>
        <w:t>AE</w:t>
      </w:r>
      <w:r>
        <w:t xml:space="preserve"> complex [in which L</w:t>
      </w:r>
      <w:r>
        <w:rPr>
          <w:vertAlign w:val="superscript"/>
        </w:rPr>
        <w:t>AE</w:t>
      </w:r>
      <w:r>
        <w:t xml:space="preserve"> (four dentate N</w:t>
      </w:r>
      <w:r>
        <w:rPr>
          <w:vertAlign w:val="subscript"/>
        </w:rPr>
        <w:t>2</w:t>
      </w:r>
      <w:r>
        <w:t>O</w:t>
      </w:r>
      <w:r>
        <w:rPr>
          <w:vertAlign w:val="subscript"/>
        </w:rPr>
        <w:t>2</w:t>
      </w:r>
      <w:r>
        <w:t xml:space="preserve"> donor) is the anion of a bis(phenol) di amine  H</w:t>
      </w:r>
      <w:r>
        <w:rPr>
          <w:vertAlign w:val="subscript"/>
        </w:rPr>
        <w:t>2</w:t>
      </w:r>
      <w:r>
        <w:t>L</w:t>
      </w:r>
      <w:r>
        <w:rPr>
          <w:vertAlign w:val="superscript"/>
        </w:rPr>
        <w:t>AE</w:t>
      </w:r>
      <w:r>
        <w:t xml:space="preserve"> ligand</w:t>
      </w:r>
      <w:r>
        <w:rPr>
          <w:vertAlign w:val="superscript"/>
        </w:rPr>
        <w:t xml:space="preserve">20a </w:t>
      </w:r>
      <w:r>
        <w:t xml:space="preserve">that covalently bonded to </w:t>
      </w:r>
      <w:r>
        <w:rPr>
          <w:i/>
          <w:iCs/>
        </w:rPr>
        <w:t>n</w:t>
      </w:r>
      <w:r>
        <w:t>-propylamine functionalized silica coated Fe</w:t>
      </w:r>
      <w:r>
        <w:rPr>
          <w:vertAlign w:val="subscript"/>
        </w:rPr>
        <w:t>3</w:t>
      </w:r>
      <w:r>
        <w:t>O</w:t>
      </w:r>
      <w:r>
        <w:rPr>
          <w:vertAlign w:val="subscript"/>
        </w:rPr>
        <w:t>4</w:t>
      </w:r>
      <w:r>
        <w:t xml:space="preserve"> magnetic nanoparticles through the ligand side arm which allows the catalyst a homogenous performance and possesses heterogeneous advantages simultaneously. Herein, we have explored aerobic epoxidation of the scope of olefins in the presence of inexpensive sodium sulfite as reducing agent using the mentioned iron(III)-based complex magnetic catalyst at room temperature.</w:t>
      </w:r>
    </w:p>
    <w:p w:rsidR="00470846" w:rsidRDefault="00C71C23" w:rsidP="00E8649C">
      <w:pPr>
        <w:jc w:val="lowKashida"/>
        <w:rPr>
          <w:lang w:bidi="fa-IR"/>
        </w:rPr>
      </w:pPr>
      <w:r>
        <w:t xml:space="preserve">Additionally, the mechanistic studies have directed the inquiries to another novel </w:t>
      </w:r>
      <w:r>
        <w:rPr>
          <w:lang w:bidi="fa-IR"/>
        </w:rPr>
        <w:t>and unpredictable catalytic TEMPO-assisted aerobic epoxidation reaction procedure. Furthermore, the observations and hypothesizes were investigated using DFT calculations.</w:t>
      </w:r>
    </w:p>
    <w:p w:rsidR="00470846" w:rsidRDefault="00470846">
      <w:pPr>
        <w:rPr>
          <w:lang w:bidi="fa-IR"/>
        </w:rPr>
      </w:pPr>
    </w:p>
    <w:p w:rsidR="00470846" w:rsidRDefault="00C71C23">
      <w:pPr>
        <w:jc w:val="center"/>
        <w:rPr>
          <w:b/>
          <w:bCs/>
        </w:rPr>
      </w:pPr>
      <w:r>
        <w:rPr>
          <w:noProof/>
        </w:rPr>
        <w:drawing>
          <wp:inline distT="0" distB="0" distL="0" distR="0">
            <wp:extent cx="3586480" cy="2916555"/>
            <wp:effectExtent l="0" t="0" r="0" b="0"/>
            <wp:docPr id="1" name="Picture 3" descr="Figure 1 The CYP monooxygenase cycle. The sequential steps by which CYP enzymes catalyze the NAD(P)H/O2-mediated oxidation of a substrate (signified by A) to a monooxygenated substrate (signified by AO) are illustrated numerically in steps 16, indicated by encircled numbers shown in purple (light gray in the print version). CYP intermediary states are depicted by capital letters shown in red (dark gray in the print version). The substrate (A) is bound to states A through F but is only shown in step 1 and step 6 as a monooxygenated substrate (AO) to simplify the scheme. States A through F contain a cysteine thiolate ligand (Cys) that displays a delocalized negative charge in states D and E. H2O2-forming pathways in uncoupled reactions are shown in steps 2A and 3A. Ferric CYP (FeIII) can react with oxotransfer agents (RO) and peroxy compounds (XOOH) to generate the Cpd I species [Por%+FeIV]O] (F) via the shunt pathway (step 7). Ferric CYP enzymes such as CYPcam, CYP2B4, and CYP3A4 can react with H2O2 to form the ferric-hydroperoxo species [CysFeIIIOOH] (E) (step 8), which is believed to rapidly dissociate, upon protonation, to produce Cpd I (F) and H2O (step 5). Due to spatial considerations, the line representing the chemical bond between the iron and oxygen atom (e.g., in FeIIIOOH) is omitted. The + charges on the iron atom are also omitted. All intermediates (A through F) contain the porphyrin (Por) moiety that is shown as a Por%+ radical cation only for Cpd I (F). Briefly, the CYP monooxygenase cycle follows the order of substrate (signified by A) binding to ferric CYP, a one-electron reduction of ferric CYP, O2 binding to ferrous CYP to produce the ferric-superoxo anion complex Cys FeIII O2 (C), which is the resonance hybrid of the ferrous-dioxygen complex [CysFeII O2], a second one-electron reduction to produce the ferric-peroxo anion intermediate Cys FeIII O2 (D), an initial protonation to form the ferrichydroperoxo intermediate [CysFeIIIOOH] (E), a second protonation followed by loss of a water molecule to generate the Por radical ferryl intermediate [Por%+FeIV]O] (F) known as Compound I (Cpd I), and transfer of the ferryl oxygen atom to the substrate, forming the monooxygenated substrate (signified by AO) and regenerated ferric CYP (Hrycay &amp; Bandiera, 2012, 2015). Adapted from Hrycay and Bandiera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Figure 1 The CYP monooxygenase cycle. The sequential steps by which CYP enzymes catalyze the NAD(P)H/O2-mediated oxidation of a substrate (signified by A) to a monooxygenated substrate (signified by AO) are illustrated numerically in steps 16, indicated by encircled numbers shown in purple (light gray in the print version). CYP intermediary states are depicted by capital letters shown in red (dark gray in the print version). The substrate (A) is bound to states A through F but is only shown in step 1 and step 6 as a monooxygenated substrate (AO) to simplify the scheme. States A through F contain a cysteine thiolate ligand (Cys) that displays a delocalized negative charge in states D and E. H2O2-forming pathways in uncoupled reactions are shown in steps 2A and 3A. Ferric CYP (FeIII) can react with oxotransfer agents (RO) and peroxy compounds (XOOH) to generate the Cpd I species [Por%+FeIV]O] (F) via the shunt pathway (step 7). Ferric CYP enzymes such as CYPcam, CYP2B4, and CYP3A4 can react with H2O2 to form the ferric-hydroperoxo species [CysFeIIIOOH] (E) (step 8), which is believed to rapidly dissociate, upon protonation, to produce Cpd I (F) and H2O (step 5). Due to spatial considerations, the line representing the chemical bond between the iron and oxygen atom (e.g., in FeIIIOOH) is omitted. The + charges on the iron atom are also omitted. All intermediates (A through F) contain the porphyrin (Por) moiety that is shown as a Por%+ radical cation only for Cpd I (F). Briefly, the CYP monooxygenase cycle follows the order of substrate (signified by A) binding to ferric CYP, a one-electron reduction of ferric CYP, O2 binding to ferrous CYP to produce the ferric-superoxo anion complex Cys FeIII O2 (C), which is the resonance hybrid of the ferrous-dioxygen complex [CysFeII O2], a second one-electron reduction to produce the ferric-peroxo anion intermediate Cys FeIII O2 (D), an initial protonation to form the ferrichydroperoxo intermediate [CysFeIIIOOH] (E), a second protonation followed by loss of a water molecule to generate the Por radical ferryl intermediate [Por%+FeIV]O] (F) known as Compound I (Cpd I), and transfer of the ferryl oxygen atom to the substrate, forming the monooxygenated substrate (signified by AO) and regenerated ferric CYP (Hrycay &amp; Bandiera, 2012, 2015). Adapted from Hrycay and Bandiera (2015)."/>
                    <pic:cNvPicPr>
                      <a:picLocks noChangeAspect="1" noChangeArrowheads="1"/>
                    </pic:cNvPicPr>
                  </pic:nvPicPr>
                  <pic:blipFill>
                    <a:blip r:embed="rId7"/>
                    <a:stretch>
                      <a:fillRect/>
                    </a:stretch>
                  </pic:blipFill>
                  <pic:spPr bwMode="auto">
                    <a:xfrm>
                      <a:off x="0" y="0"/>
                      <a:ext cx="3586480" cy="2916555"/>
                    </a:xfrm>
                    <a:prstGeom prst="rect">
                      <a:avLst/>
                    </a:prstGeom>
                  </pic:spPr>
                </pic:pic>
              </a:graphicData>
            </a:graphic>
          </wp:inline>
        </w:drawing>
      </w:r>
    </w:p>
    <w:p w:rsidR="00470846" w:rsidRDefault="00C71C23">
      <w:pPr>
        <w:jc w:val="center"/>
        <w:rPr>
          <w:sz w:val="20"/>
          <w:szCs w:val="20"/>
        </w:rPr>
      </w:pPr>
      <w:r>
        <w:rPr>
          <w:b/>
          <w:bCs/>
          <w:sz w:val="20"/>
          <w:szCs w:val="20"/>
        </w:rPr>
        <w:t>Figure 1.</w:t>
      </w:r>
      <w:r>
        <w:rPr>
          <w:sz w:val="20"/>
          <w:szCs w:val="20"/>
        </w:rPr>
        <w:t xml:space="preserve"> The cytochrome P450 catalytic cycle. Figure reproduced from Ref. 11c</w:t>
      </w:r>
    </w:p>
    <w:p w:rsidR="00470846" w:rsidRDefault="00470846">
      <w:pPr>
        <w:rPr>
          <w:b/>
          <w:bCs/>
        </w:rPr>
      </w:pPr>
    </w:p>
    <w:p w:rsidR="00470846" w:rsidRDefault="00C71C23">
      <w:pPr>
        <w:rPr>
          <w:b/>
          <w:bCs/>
        </w:rPr>
      </w:pPr>
      <w:r>
        <w:rPr>
          <w:b/>
          <w:bCs/>
        </w:rPr>
        <w:t>Result and discussion</w:t>
      </w:r>
    </w:p>
    <w:p w:rsidR="00470846" w:rsidRDefault="00C71C23">
      <w:pPr>
        <w:rPr>
          <w:b/>
          <w:bCs/>
        </w:rPr>
      </w:pPr>
      <w:r>
        <w:rPr>
          <w:b/>
          <w:bCs/>
        </w:rPr>
        <w:t>Preparation and characterization of catalyst</w:t>
      </w:r>
    </w:p>
    <w:p w:rsidR="00470846" w:rsidRDefault="00C71C23" w:rsidP="00E8649C">
      <w:pPr>
        <w:jc w:val="lowKashida"/>
      </w:pPr>
      <w:r>
        <w:t xml:space="preserve">The preparation and modification of catalyst was followed through the synthetic stepwise procedures (Scheme 1). The iron oxide nanoparticles were formed via co-precipitation of Iron(II) and Iron(III) salts in alkaline media and tetraethylorthosilicate (TEOS) was introduced to form silica-shell on the surface of nanoparticles to protect them. The presence of -OH groups on silica-coated magnetic nanoparticles was functionalized with (3-aminopropyl)triethoxysilane (APTES) to prepare </w:t>
      </w:r>
      <w:r>
        <w:rPr>
          <w:i/>
          <w:iCs/>
        </w:rPr>
        <w:t>n</w:t>
      </w:r>
      <w:r>
        <w:t>-propylamine functionalized nanoparticles Fe</w:t>
      </w:r>
      <w:r>
        <w:rPr>
          <w:vertAlign w:val="subscript"/>
        </w:rPr>
        <w:t>3</w:t>
      </w:r>
      <w:r>
        <w:t>O</w:t>
      </w:r>
      <w:r>
        <w:rPr>
          <w:vertAlign w:val="subscript"/>
        </w:rPr>
        <w:t>4</w:t>
      </w:r>
      <w:r>
        <w:t>@SiO</w:t>
      </w:r>
      <w:r>
        <w:rPr>
          <w:vertAlign w:val="subscript"/>
        </w:rPr>
        <w:t>2</w:t>
      </w:r>
      <w:r>
        <w:t>-APTES. A bis(phenol) diamine ligand containing a brominated alkyl side arm immobilized on amine functionalized magnetic nanoparticles through the reaction of Br with –NH</w:t>
      </w:r>
      <w:r>
        <w:rPr>
          <w:vertAlign w:val="subscript"/>
        </w:rPr>
        <w:t>2</w:t>
      </w:r>
      <w:r>
        <w:t xml:space="preserve"> groups to form Fe</w:t>
      </w:r>
      <w:r>
        <w:rPr>
          <w:vertAlign w:val="subscript"/>
        </w:rPr>
        <w:t>3</w:t>
      </w:r>
      <w:r>
        <w:t>O</w:t>
      </w:r>
      <w:r>
        <w:rPr>
          <w:vertAlign w:val="subscript"/>
        </w:rPr>
        <w:t>4</w:t>
      </w:r>
      <w:r>
        <w:t>@SiO</w:t>
      </w:r>
      <w:r>
        <w:rPr>
          <w:vertAlign w:val="subscript"/>
        </w:rPr>
        <w:t>2</w:t>
      </w:r>
      <w:r>
        <w:t>-APTES-H</w:t>
      </w:r>
      <w:r>
        <w:rPr>
          <w:vertAlign w:val="subscript"/>
        </w:rPr>
        <w:t>2</w:t>
      </w:r>
      <w:r>
        <w:t>L</w:t>
      </w:r>
      <w:r>
        <w:rPr>
          <w:vertAlign w:val="superscript"/>
        </w:rPr>
        <w:t>AE</w:t>
      </w:r>
      <w:r>
        <w:t>. Afterwards, the ligand was metalated with FeCl</w:t>
      </w:r>
      <w:r>
        <w:rPr>
          <w:vertAlign w:val="subscript"/>
        </w:rPr>
        <w:t>3</w:t>
      </w:r>
      <w:r>
        <w:t xml:space="preserve"> to obtain the recoverable magnetically heterogeneous catalyst with an efficient catalytic active site (Fe</w:t>
      </w:r>
      <w:r>
        <w:rPr>
          <w:vertAlign w:val="subscript"/>
        </w:rPr>
        <w:t>3</w:t>
      </w:r>
      <w:r>
        <w:t>O</w:t>
      </w:r>
      <w:r>
        <w:rPr>
          <w:vertAlign w:val="subscript"/>
        </w:rPr>
        <w:t>4</w:t>
      </w:r>
      <w:r>
        <w:t>@SiO</w:t>
      </w:r>
      <w:r>
        <w:rPr>
          <w:vertAlign w:val="subscript"/>
        </w:rPr>
        <w:t>2</w:t>
      </w:r>
      <w:r>
        <w:t>-APTES-FeL</w:t>
      </w:r>
      <w:r>
        <w:rPr>
          <w:vertAlign w:val="superscript"/>
        </w:rPr>
        <w:t>AE</w:t>
      </w:r>
      <w:r>
        <w:t>).</w:t>
      </w:r>
    </w:p>
    <w:p w:rsidR="00470846" w:rsidRDefault="00C71C23" w:rsidP="00E8649C">
      <w:pPr>
        <w:jc w:val="lowKashida"/>
      </w:pPr>
      <w:r>
        <w:t>The synthesized Fe</w:t>
      </w:r>
      <w:r>
        <w:rPr>
          <w:vertAlign w:val="subscript"/>
        </w:rPr>
        <w:t>3</w:t>
      </w:r>
      <w:r>
        <w:t>O</w:t>
      </w:r>
      <w:r>
        <w:rPr>
          <w:vertAlign w:val="subscript"/>
        </w:rPr>
        <w:t>4</w:t>
      </w:r>
      <w:r>
        <w:t>@SiO</w:t>
      </w:r>
      <w:r>
        <w:rPr>
          <w:vertAlign w:val="subscript"/>
        </w:rPr>
        <w:t>2</w:t>
      </w:r>
      <w:r>
        <w:t>-APTES-FeL</w:t>
      </w:r>
      <w:r>
        <w:rPr>
          <w:vertAlign w:val="superscript"/>
        </w:rPr>
        <w:t>AE</w:t>
      </w:r>
      <w:r>
        <w:t xml:space="preserve"> nanoparticles were characterized by several techniques comprising Fourier-Transform Infrared Spectroscopy (FTIR), Transmission Electron Microscopy (TEM), Scanning electron microscopy (SEM), Thermal Gravimetric Analysis (TGA), X-Ray Diffraction (XRD), X-ray Photoelectron Spectroscopy (XPS), Vibrating-Sample Magnetometer (VSM) and Inductively Coupled Plasma Optical Emission Spectroscopy (ICP-OES).</w:t>
      </w:r>
    </w:p>
    <w:p w:rsidR="00470846" w:rsidRDefault="00470846"/>
    <w:p w:rsidR="00470846" w:rsidRDefault="00C71C23">
      <w:pPr>
        <w:jc w:val="center"/>
      </w:pPr>
      <w:r>
        <w:rPr>
          <w:noProof/>
        </w:rPr>
        <mc:AlternateContent>
          <mc:Choice Requires="wps">
            <w:drawing>
              <wp:anchor distT="0" distB="0" distL="114300" distR="0" simplePos="0" relativeHeight="251659264" behindDoc="0" locked="0" layoutInCell="0" allowOverlap="1">
                <wp:simplePos x="0" y="0"/>
                <wp:positionH relativeFrom="column">
                  <wp:posOffset>635</wp:posOffset>
                </wp:positionH>
                <wp:positionV relativeFrom="paragraph">
                  <wp:posOffset>635</wp:posOffset>
                </wp:positionV>
                <wp:extent cx="635000" cy="635000"/>
                <wp:effectExtent l="635" t="0" r="0" b="0"/>
                <wp:wrapNone/>
                <wp:docPr id="2" name="_x0000_tole_rId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_x0000_tole_rId3" stroked="f" o:allowincell="f"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tole_rId3" o:spid="_x0000_s1113" type="#_x0000_t75" style="position:absolute;left:0;text-align:left;margin-left:0;margin-top:0;width:50pt;height:50pt;z-index:251663360;visibility:hidden;mso-position-horizontal-relative:text;mso-position-vertical-relative:text">
            <o:lock v:ext="edit" selection="t"/>
          </v:shape>
        </w:pict>
      </w:r>
      <w:r>
        <w:object w:dxaOrig="8640" w:dyaOrig="6165">
          <v:shape id="ole_rId3" o:spid="_x0000_i1025" type="#_x0000_t75" style="width:6in;height:308.25pt;visibility:visible;mso-wrap-distance-right:0" o:ole="">
            <v:imagedata r:id="rId8" o:title=""/>
          </v:shape>
          <o:OLEObject Type="Embed" ProgID="ChemDraw.Document.6.0" ShapeID="ole_rId3" DrawAspect="Content" ObjectID="_1751767583" r:id="rId9"/>
        </w:object>
      </w:r>
    </w:p>
    <w:p w:rsidR="00470846" w:rsidRDefault="00C71C23">
      <w:pPr>
        <w:jc w:val="center"/>
      </w:pPr>
      <w:r>
        <w:rPr>
          <w:b/>
          <w:bCs/>
        </w:rPr>
        <w:t xml:space="preserve">Scheme 1: </w:t>
      </w:r>
      <w:r>
        <w:t>The schematic preparation steps of catalyst.</w:t>
      </w:r>
    </w:p>
    <w:p w:rsidR="00470846" w:rsidRDefault="00470846"/>
    <w:p w:rsidR="00470846" w:rsidRDefault="00C71C23" w:rsidP="00E8649C">
      <w:pPr>
        <w:jc w:val="lowKashida"/>
      </w:pPr>
      <w:r>
        <w:t>FTIR spectroscopy was applied to investigate the different preparation steps of functionalized particles. The signals near 500 cm</w:t>
      </w:r>
      <w:r>
        <w:rPr>
          <w:vertAlign w:val="superscript"/>
        </w:rPr>
        <w:t>-1</w:t>
      </w:r>
      <w:r>
        <w:t xml:space="preserve"> were assigned to Fe-O stretching modes. The absorption bands around 800-1400 cm</w:t>
      </w:r>
      <w:r>
        <w:rPr>
          <w:vertAlign w:val="superscript"/>
        </w:rPr>
        <w:t>-1</w:t>
      </w:r>
      <w:r>
        <w:t xml:space="preserve"> refer to asymmetric and symmetric stretching vibrations of Si-O-Si and Si-OH (Figure 2-A). Moreover, peaks at 1620 cm</w:t>
      </w:r>
      <w:r>
        <w:rPr>
          <w:vertAlign w:val="superscript"/>
        </w:rPr>
        <w:t>-1</w:t>
      </w:r>
      <w:r>
        <w:t xml:space="preserve"> and 3400 cm</w:t>
      </w:r>
      <w:r>
        <w:rPr>
          <w:vertAlign w:val="superscript"/>
        </w:rPr>
        <w:t>-1</w:t>
      </w:r>
      <w:r>
        <w:t xml:space="preserve"> appeared due to the bending and stretching vibration of O-H bond of adsorbed water and silica surface. Successful immobilization of propyl amine groups onto silica surface has been proven by symmetric and asymmetric stretching modes of –CH</w:t>
      </w:r>
      <w:r>
        <w:rPr>
          <w:vertAlign w:val="subscript"/>
        </w:rPr>
        <w:t>2</w:t>
      </w:r>
      <w:r>
        <w:t xml:space="preserve"> at 2890 and 2936 cm</w:t>
      </w:r>
      <w:r>
        <w:rPr>
          <w:vertAlign w:val="superscript"/>
        </w:rPr>
        <w:t>-1</w:t>
      </w:r>
      <w:r>
        <w:t>, stretching mode of N-H at 3430 cm</w:t>
      </w:r>
      <w:r>
        <w:rPr>
          <w:vertAlign w:val="superscript"/>
        </w:rPr>
        <w:t>-1</w:t>
      </w:r>
      <w:r>
        <w:t xml:space="preserve"> and bending modes of –NH</w:t>
      </w:r>
      <w:r>
        <w:rPr>
          <w:vertAlign w:val="subscript"/>
        </w:rPr>
        <w:t>2</w:t>
      </w:r>
      <w:r>
        <w:t xml:space="preserve"> and –CH</w:t>
      </w:r>
      <w:r>
        <w:rPr>
          <w:vertAlign w:val="subscript"/>
        </w:rPr>
        <w:t>2</w:t>
      </w:r>
      <w:r>
        <w:t xml:space="preserve"> groups at 1450 cm</w:t>
      </w:r>
      <w:r>
        <w:rPr>
          <w:vertAlign w:val="superscript"/>
        </w:rPr>
        <w:t>-1</w:t>
      </w:r>
      <w:r>
        <w:t xml:space="preserve"> (Figure 2-B). Furthermore, the observed decreasing and a slight shift in O-H bond confirm the effective graft of the complex on amine groups.</w:t>
      </w:r>
      <w:r>
        <w:rPr>
          <w:vertAlign w:val="superscript"/>
        </w:rPr>
        <w:t>23</w:t>
      </w:r>
    </w:p>
    <w:p w:rsidR="00470846" w:rsidRDefault="00C71C23" w:rsidP="00E8649C">
      <w:pPr>
        <w:jc w:val="lowKashida"/>
      </w:pPr>
      <w:r>
        <w:t xml:space="preserve">The morphological quality of catalyst nanoparticles was examined by transmission electron microscopy (TEM) and scanning electron microscopy (SEM) techniques (Figure 3). In different magnitudes, TEM images exhibit the nanoparticles spherically and uniformly. Similarly, SEM images clearly display uniform spreading of nanoparticles after metalation and the nanoparticle average diameters are approximately 33 </w:t>
      </w:r>
      <w:r>
        <w:rPr>
          <w:rFonts w:cstheme="minorHAnsi"/>
        </w:rPr>
        <w:t xml:space="preserve">± </w:t>
      </w:r>
      <w:r>
        <w:t>3 nm (Figure 3 E-G). Additionally, the SEM image of catalyst after 8 catalytic cycles shows an insignificant aggregation (Figure 3-H).</w:t>
      </w:r>
    </w:p>
    <w:p w:rsidR="00470846" w:rsidRDefault="00470846"/>
    <w:p w:rsidR="00470846" w:rsidRDefault="00C71C23">
      <w:r>
        <w:rPr>
          <w:noProof/>
        </w:rPr>
        <w:drawing>
          <wp:inline distT="0" distB="0" distL="0" distR="0">
            <wp:extent cx="2630805" cy="2879090"/>
            <wp:effectExtent l="0" t="0" r="0" b="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7"/>
                    <pic:cNvPicPr>
                      <a:picLocks noChangeAspect="1" noChangeArrowheads="1"/>
                    </pic:cNvPicPr>
                  </pic:nvPicPr>
                  <pic:blipFill>
                    <a:blip r:embed="rId10"/>
                    <a:stretch>
                      <a:fillRect/>
                    </a:stretch>
                  </pic:blipFill>
                  <pic:spPr bwMode="auto">
                    <a:xfrm>
                      <a:off x="0" y="0"/>
                      <a:ext cx="2630805" cy="2879090"/>
                    </a:xfrm>
                    <a:prstGeom prst="rect">
                      <a:avLst/>
                    </a:prstGeom>
                  </pic:spPr>
                </pic:pic>
              </a:graphicData>
            </a:graphic>
          </wp:inline>
        </w:drawing>
      </w:r>
      <w:r>
        <w:t xml:space="preserve">              </w:t>
      </w:r>
      <w:r>
        <w:rPr>
          <w:noProof/>
        </w:rPr>
        <w:drawing>
          <wp:inline distT="0" distB="0" distL="0" distR="0">
            <wp:extent cx="2853303" cy="2825750"/>
            <wp:effectExtent l="0" t="0" r="4445" b="0"/>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8"/>
                    <pic:cNvPicPr>
                      <a:picLocks noChangeAspect="1" noChangeArrowheads="1"/>
                    </pic:cNvPicPr>
                  </pic:nvPicPr>
                  <pic:blipFill>
                    <a:blip r:embed="rId11"/>
                    <a:stretch>
                      <a:fillRect/>
                    </a:stretch>
                  </pic:blipFill>
                  <pic:spPr bwMode="auto">
                    <a:xfrm>
                      <a:off x="0" y="0"/>
                      <a:ext cx="2854075" cy="2826515"/>
                    </a:xfrm>
                    <a:prstGeom prst="rect">
                      <a:avLst/>
                    </a:prstGeom>
                  </pic:spPr>
                </pic:pic>
              </a:graphicData>
            </a:graphic>
          </wp:inline>
        </w:drawing>
      </w:r>
    </w:p>
    <w:p w:rsidR="00470846" w:rsidRDefault="00470846">
      <w:pPr>
        <w:sectPr w:rsidR="00470846">
          <w:pgSz w:w="12240" w:h="15840"/>
          <w:pgMar w:top="1440" w:right="1440" w:bottom="1440" w:left="1440" w:header="0" w:footer="0" w:gutter="0"/>
          <w:cols w:space="720"/>
          <w:formProt w:val="0"/>
          <w:docGrid w:linePitch="360" w:charSpace="8192"/>
        </w:sectPr>
      </w:pPr>
    </w:p>
    <w:p w:rsidR="00470846" w:rsidRDefault="00C71C23" w:rsidP="00671854">
      <w:pPr>
        <w:shd w:val="clear" w:color="auto" w:fill="FFFFFF" w:themeFill="background1"/>
        <w:spacing w:line="240" w:lineRule="auto"/>
        <w:jc w:val="lowKashida"/>
        <w:rPr>
          <w:sz w:val="20"/>
          <w:szCs w:val="20"/>
          <w:highlight w:val="yellow"/>
        </w:rPr>
      </w:pPr>
      <w:r w:rsidRPr="00671854">
        <w:rPr>
          <w:b/>
          <w:bCs/>
          <w:sz w:val="20"/>
          <w:szCs w:val="20"/>
          <w:shd w:val="clear" w:color="auto" w:fill="FFFFFF" w:themeFill="background1"/>
        </w:rPr>
        <w:t>Figure 2:</w:t>
      </w:r>
      <w:r w:rsidRPr="00671854">
        <w:rPr>
          <w:sz w:val="20"/>
          <w:szCs w:val="20"/>
          <w:shd w:val="clear" w:color="auto" w:fill="FFFFFF" w:themeFill="background1"/>
        </w:rPr>
        <w:t xml:space="preserve"> FT-IR spectra of A) Fe</w:t>
      </w:r>
      <w:r w:rsidRPr="00671854">
        <w:rPr>
          <w:sz w:val="20"/>
          <w:szCs w:val="20"/>
          <w:shd w:val="clear" w:color="auto" w:fill="FFFFFF" w:themeFill="background1"/>
          <w:vertAlign w:val="subscript"/>
        </w:rPr>
        <w:t>3</w:t>
      </w:r>
      <w:r w:rsidRPr="00671854">
        <w:rPr>
          <w:sz w:val="20"/>
          <w:szCs w:val="20"/>
          <w:shd w:val="clear" w:color="auto" w:fill="FFFFFF" w:themeFill="background1"/>
        </w:rPr>
        <w:t>O</w:t>
      </w:r>
      <w:r w:rsidRPr="00671854">
        <w:rPr>
          <w:sz w:val="20"/>
          <w:szCs w:val="20"/>
          <w:shd w:val="clear" w:color="auto" w:fill="FFFFFF" w:themeFill="background1"/>
          <w:vertAlign w:val="subscript"/>
        </w:rPr>
        <w:t>4</w:t>
      </w:r>
      <w:r w:rsidRPr="00671854">
        <w:rPr>
          <w:sz w:val="20"/>
          <w:szCs w:val="20"/>
          <w:shd w:val="clear" w:color="auto" w:fill="FFFFFF" w:themeFill="background1"/>
        </w:rPr>
        <w:t>@SiO</w:t>
      </w:r>
      <w:r w:rsidRPr="00671854">
        <w:rPr>
          <w:sz w:val="20"/>
          <w:szCs w:val="20"/>
          <w:shd w:val="clear" w:color="auto" w:fill="FFFFFF" w:themeFill="background1"/>
          <w:vertAlign w:val="subscript"/>
        </w:rPr>
        <w:t>2</w:t>
      </w:r>
      <w:r w:rsidRPr="00671854">
        <w:rPr>
          <w:sz w:val="20"/>
          <w:szCs w:val="20"/>
          <w:shd w:val="clear" w:color="auto" w:fill="FFFFFF" w:themeFill="background1"/>
        </w:rPr>
        <w:t>, B) Fe</w:t>
      </w:r>
      <w:r w:rsidRPr="00671854">
        <w:rPr>
          <w:sz w:val="20"/>
          <w:szCs w:val="20"/>
          <w:shd w:val="clear" w:color="auto" w:fill="FFFFFF" w:themeFill="background1"/>
          <w:vertAlign w:val="subscript"/>
        </w:rPr>
        <w:t>3</w:t>
      </w:r>
      <w:r w:rsidRPr="00671854">
        <w:rPr>
          <w:sz w:val="20"/>
          <w:szCs w:val="20"/>
          <w:shd w:val="clear" w:color="auto" w:fill="FFFFFF" w:themeFill="background1"/>
        </w:rPr>
        <w:t>O</w:t>
      </w:r>
      <w:r w:rsidRPr="00671854">
        <w:rPr>
          <w:sz w:val="20"/>
          <w:szCs w:val="20"/>
          <w:shd w:val="clear" w:color="auto" w:fill="FFFFFF" w:themeFill="background1"/>
          <w:vertAlign w:val="subscript"/>
        </w:rPr>
        <w:t>4</w:t>
      </w:r>
      <w:r w:rsidRPr="00671854">
        <w:rPr>
          <w:sz w:val="20"/>
          <w:szCs w:val="20"/>
          <w:shd w:val="clear" w:color="auto" w:fill="FFFFFF" w:themeFill="background1"/>
        </w:rPr>
        <w:t>@SiO</w:t>
      </w:r>
      <w:r w:rsidRPr="00671854">
        <w:rPr>
          <w:sz w:val="20"/>
          <w:szCs w:val="20"/>
          <w:shd w:val="clear" w:color="auto" w:fill="FFFFFF" w:themeFill="background1"/>
          <w:vertAlign w:val="subscript"/>
        </w:rPr>
        <w:t>2</w:t>
      </w:r>
      <w:r w:rsidRPr="00671854">
        <w:rPr>
          <w:sz w:val="20"/>
          <w:szCs w:val="20"/>
          <w:shd w:val="clear" w:color="auto" w:fill="FFFFFF" w:themeFill="background1"/>
        </w:rPr>
        <w:t>-APTES, C</w:t>
      </w:r>
      <w:r w:rsidRPr="00671854">
        <w:rPr>
          <w:sz w:val="20"/>
          <w:szCs w:val="20"/>
        </w:rPr>
        <w:t>)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-APTES-H</w:t>
      </w:r>
      <w:r w:rsidRPr="00671854">
        <w:rPr>
          <w:sz w:val="20"/>
          <w:szCs w:val="20"/>
          <w:vertAlign w:val="subscript"/>
        </w:rPr>
        <w:t>2</w:t>
      </w:r>
      <w:r w:rsidRPr="00671854">
        <w:rPr>
          <w:sz w:val="20"/>
          <w:szCs w:val="20"/>
        </w:rPr>
        <w:t>L</w:t>
      </w:r>
      <w:r w:rsidRPr="00671854">
        <w:rPr>
          <w:sz w:val="20"/>
          <w:szCs w:val="20"/>
          <w:vertAlign w:val="superscript"/>
        </w:rPr>
        <w:t>AE</w:t>
      </w:r>
      <w:r w:rsidRPr="00671854">
        <w:rPr>
          <w:sz w:val="20"/>
          <w:szCs w:val="20"/>
        </w:rPr>
        <w:t>, and D)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-APTES-FeL</w:t>
      </w:r>
      <w:r w:rsidRPr="00671854">
        <w:rPr>
          <w:sz w:val="20"/>
          <w:szCs w:val="20"/>
          <w:vertAlign w:val="superscript"/>
        </w:rPr>
        <w:t>AE</w:t>
      </w:r>
      <w:r w:rsidRPr="00671854">
        <w:rPr>
          <w:sz w:val="20"/>
          <w:szCs w:val="20"/>
        </w:rPr>
        <w:t>.</w:t>
      </w:r>
    </w:p>
    <w:p w:rsidR="00470846" w:rsidRDefault="00C71C23" w:rsidP="00671854">
      <w:pPr>
        <w:shd w:val="clear" w:color="auto" w:fill="FFFFFF" w:themeFill="background1"/>
        <w:spacing w:after="0" w:line="240" w:lineRule="auto"/>
        <w:jc w:val="lowKashida"/>
        <w:rPr>
          <w:sz w:val="20"/>
          <w:szCs w:val="20"/>
        </w:rPr>
      </w:pPr>
      <w:r w:rsidRPr="00671854">
        <w:rPr>
          <w:b/>
          <w:bCs/>
          <w:sz w:val="20"/>
          <w:szCs w:val="20"/>
        </w:rPr>
        <w:t xml:space="preserve">Figure 3: </w:t>
      </w:r>
      <w:r w:rsidRPr="00671854">
        <w:rPr>
          <w:sz w:val="20"/>
          <w:szCs w:val="20"/>
        </w:rPr>
        <w:t>TEM images of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-APTES-FeL</w:t>
      </w:r>
      <w:r w:rsidRPr="00671854">
        <w:rPr>
          <w:sz w:val="20"/>
          <w:szCs w:val="20"/>
          <w:vertAlign w:val="superscript"/>
        </w:rPr>
        <w:t>AE</w:t>
      </w:r>
      <w:r w:rsidRPr="00671854">
        <w:rPr>
          <w:sz w:val="20"/>
          <w:szCs w:val="20"/>
        </w:rPr>
        <w:t>: A) 200 nm, B) 50 nm, C) 20 nm. D) SAED pattern, and SEM images of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-APTES-FeL</w:t>
      </w:r>
      <w:r w:rsidRPr="00671854">
        <w:rPr>
          <w:sz w:val="20"/>
          <w:szCs w:val="20"/>
          <w:vertAlign w:val="superscript"/>
        </w:rPr>
        <w:t>AE</w:t>
      </w:r>
      <w:r w:rsidRPr="00671854">
        <w:rPr>
          <w:sz w:val="20"/>
          <w:szCs w:val="20"/>
        </w:rPr>
        <w:t>: E) 1 µm, F) 500 nm, G) 200 nm, H) after recycling.</w:t>
      </w:r>
    </w:p>
    <w:p w:rsidR="00470846" w:rsidRDefault="00470846">
      <w:pPr>
        <w:sectPr w:rsidR="00470846">
          <w:type w:val="continuous"/>
          <w:pgSz w:w="12240" w:h="15840"/>
          <w:pgMar w:top="1440" w:right="1440" w:bottom="1440" w:left="1440" w:header="0" w:footer="0" w:gutter="0"/>
          <w:cols w:num="2" w:space="720"/>
          <w:formProt w:val="0"/>
          <w:docGrid w:linePitch="360" w:charSpace="8192"/>
        </w:sectPr>
      </w:pPr>
    </w:p>
    <w:p w:rsidR="00470846" w:rsidRDefault="00C71C23">
      <w:r>
        <w:rPr>
          <w:noProof/>
        </w:rPr>
        <mc:AlternateContent>
          <mc:Choice Requires="wps">
            <w:drawing>
              <wp:anchor distT="3175" distB="3175" distL="635" distR="635" simplePos="0" relativeHeight="251657216" behindDoc="0" locked="0" layoutInCell="0" allowOverlap="1" wp14:anchorId="75212D7A">
                <wp:simplePos x="0" y="0"/>
                <wp:positionH relativeFrom="margin">
                  <wp:align>left</wp:align>
                </wp:positionH>
                <wp:positionV relativeFrom="paragraph">
                  <wp:posOffset>121920</wp:posOffset>
                </wp:positionV>
                <wp:extent cx="6263005" cy="635"/>
                <wp:effectExtent l="635" t="3175" r="635" b="3175"/>
                <wp:wrapNone/>
                <wp:docPr id="5" name="Straight Connector 41"/>
                <wp:cNvGraphicFramePr/>
                <a:graphic xmlns:a="http://schemas.openxmlformats.org/drawingml/2006/main">
                  <a:graphicData uri="http://schemas.microsoft.com/office/word/2010/wordprocessingShape">
                    <wps:wsp>
                      <wps:cNvCnPr/>
                      <wps:spPr>
                        <a:xfrm>
                          <a:off x="0" y="0"/>
                          <a:ext cx="6262920" cy="720"/>
                        </a:xfrm>
                        <a:prstGeom prst="line">
                          <a:avLst/>
                        </a:prstGeom>
                        <a:ln>
                          <a:solidFill>
                            <a:srgbClr val="5B9BD5"/>
                          </a:solidFill>
                        </a:ln>
                      </wps:spPr>
                      <wps:style>
                        <a:lnRef idx="1">
                          <a:schemeClr val="accent1"/>
                        </a:lnRef>
                        <a:fillRef idx="0">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line id="shape_0" from="0.05pt,9.6pt" to="493.15pt,9.6pt" ID="Straight Connector 41" stroked="t" o:allowincell="f" style="position:absolute;mso-position-horizontal:left;mso-position-horizontal-relative:margin" wp14:anchorId="75212D7A">
                <v:stroke color="#5b9bd5" weight="6480" joinstyle="miter" endcap="flat"/>
                <v:fill o:detectmouseclick="t" on="false"/>
                <w10:wrap type="none"/>
              </v:line>
            </w:pict>
          </mc:Fallback>
        </mc:AlternateContent>
      </w:r>
    </w:p>
    <w:p w:rsidR="00470846" w:rsidRDefault="00470846"/>
    <w:p w:rsidR="00470846" w:rsidRDefault="00C71C23" w:rsidP="00E8649C">
      <w:pPr>
        <w:jc w:val="lowKashida"/>
      </w:pPr>
      <w:r>
        <w:t>Immobilization of propylamine groups on silica surface, and afterwards bond formation between ligand and amine groups were verified by Thermogravimetric analysis (TGA) studies. The slight weight loss below 200 ᴼC usually relates to the loss of water, while the main weight loss in higher temperatures refers to loss of aminopropyl group and L</w:t>
      </w:r>
      <w:r>
        <w:rPr>
          <w:vertAlign w:val="superscript"/>
        </w:rPr>
        <w:t>AE</w:t>
      </w:r>
      <w:r>
        <w:t xml:space="preserve"> ligand. Remarkable decrease in weight of Fe</w:t>
      </w:r>
      <w:r>
        <w:rPr>
          <w:vertAlign w:val="subscript"/>
        </w:rPr>
        <w:t>3</w:t>
      </w:r>
      <w:r>
        <w:t>O</w:t>
      </w:r>
      <w:r>
        <w:rPr>
          <w:vertAlign w:val="subscript"/>
        </w:rPr>
        <w:t>4</w:t>
      </w:r>
      <w:r>
        <w:t>@SiO</w:t>
      </w:r>
      <w:r>
        <w:rPr>
          <w:vertAlign w:val="subscript"/>
        </w:rPr>
        <w:t>2</w:t>
      </w:r>
      <w:r>
        <w:t>-APTES (0.8719 mg) obviously confirms the presence of functional groups on silica surface (Figure 4-A) and more weight reduction in Fe</w:t>
      </w:r>
      <w:r>
        <w:rPr>
          <w:vertAlign w:val="subscript"/>
        </w:rPr>
        <w:t>3</w:t>
      </w:r>
      <w:r>
        <w:t>O</w:t>
      </w:r>
      <w:r>
        <w:rPr>
          <w:vertAlign w:val="subscript"/>
        </w:rPr>
        <w:t>4</w:t>
      </w:r>
      <w:r>
        <w:t>@SiO</w:t>
      </w:r>
      <w:r>
        <w:rPr>
          <w:vertAlign w:val="subscript"/>
        </w:rPr>
        <w:t>2</w:t>
      </w:r>
      <w:r>
        <w:t>-APTES-Fe</w:t>
      </w:r>
      <w:r>
        <w:rPr>
          <w:vertAlign w:val="superscript"/>
        </w:rPr>
        <w:t>AE</w:t>
      </w:r>
      <w:r>
        <w:t xml:space="preserve"> (1.990 mg) approves the successful ligand bonding onto anchored amines (Figure 4-B). In addition, the metal loading in the synthesized catalyst was determined by using Inductively Coupled Plasma (ICP) analysis. The mol percentage of Fe was measured approximately by calculating the difference between the quantity of Fe in Fe</w:t>
      </w:r>
      <w:r>
        <w:rPr>
          <w:vertAlign w:val="subscript"/>
        </w:rPr>
        <w:t>3</w:t>
      </w:r>
      <w:r>
        <w:t>O</w:t>
      </w:r>
      <w:r>
        <w:rPr>
          <w:vertAlign w:val="subscript"/>
        </w:rPr>
        <w:t>4</w:t>
      </w:r>
      <w:r>
        <w:t>@SiO</w:t>
      </w:r>
      <w:r>
        <w:rPr>
          <w:vertAlign w:val="subscript"/>
        </w:rPr>
        <w:t>2</w:t>
      </w:r>
      <w:r>
        <w:t>-APTES-H</w:t>
      </w:r>
      <w:r>
        <w:rPr>
          <w:vertAlign w:val="subscript"/>
        </w:rPr>
        <w:t>2</w:t>
      </w:r>
      <w:r>
        <w:t>L</w:t>
      </w:r>
      <w:r>
        <w:rPr>
          <w:vertAlign w:val="superscript"/>
        </w:rPr>
        <w:t>AE</w:t>
      </w:r>
      <w:r>
        <w:t xml:space="preserve"> and Fe</w:t>
      </w:r>
      <w:r>
        <w:rPr>
          <w:vertAlign w:val="subscript"/>
        </w:rPr>
        <w:t>3</w:t>
      </w:r>
      <w:r>
        <w:t>O</w:t>
      </w:r>
      <w:r>
        <w:rPr>
          <w:vertAlign w:val="subscript"/>
        </w:rPr>
        <w:t>4</w:t>
      </w:r>
      <w:r>
        <w:t>@SiO</w:t>
      </w:r>
      <w:r>
        <w:rPr>
          <w:vertAlign w:val="subscript"/>
        </w:rPr>
        <w:t>2</w:t>
      </w:r>
      <w:r>
        <w:t>-APTES-FeL</w:t>
      </w:r>
      <w:r>
        <w:rPr>
          <w:vertAlign w:val="superscript"/>
        </w:rPr>
        <w:t>AE</w:t>
      </w:r>
      <w:r>
        <w:t xml:space="preserve"> (0.59 mmolg</w:t>
      </w:r>
      <w:r>
        <w:rPr>
          <w:vertAlign w:val="superscript"/>
        </w:rPr>
        <w:t>-1</w:t>
      </w:r>
      <w:r>
        <w:t>).</w:t>
      </w:r>
    </w:p>
    <w:p w:rsidR="00470846" w:rsidRDefault="00C71C23" w:rsidP="00E8649C">
      <w:pPr>
        <w:jc w:val="lowKashida"/>
      </w:pPr>
      <w:r>
        <w:t>The crystal structure of catalyst was considered by X-Ray diffraction (XRD) and according to the position and intensity of diffraction peaks, the cubic structure of Fe</w:t>
      </w:r>
      <w:r>
        <w:rPr>
          <w:vertAlign w:val="subscript"/>
        </w:rPr>
        <w:t>3</w:t>
      </w:r>
      <w:r>
        <w:t>O</w:t>
      </w:r>
      <w:r>
        <w:rPr>
          <w:vertAlign w:val="subscript"/>
        </w:rPr>
        <w:t>4</w:t>
      </w:r>
      <w:r>
        <w:t xml:space="preserve"> nanoparticles has been confirmed (Figure 5).</w:t>
      </w:r>
    </w:p>
    <w:p w:rsidR="00470846" w:rsidRDefault="00C71C23" w:rsidP="00E8649C">
      <w:pPr>
        <w:jc w:val="lowKashida"/>
      </w:pPr>
      <w:r>
        <w:t>In addition, the superparamagnetic activity of prepared catalyst was explored by vibrating sample magnetometer (VSM) at room temperature (Figure S1). The magnetization curve of catalyst showed the field-dependent magnetization behavior of catalyst and high amount of saturation magnetization (</w:t>
      </w:r>
      <w:r>
        <w:rPr>
          <w:i/>
          <w:iCs/>
        </w:rPr>
        <w:t>M</w:t>
      </w:r>
      <w:r>
        <w:rPr>
          <w:i/>
          <w:iCs/>
          <w:vertAlign w:val="subscript"/>
        </w:rPr>
        <w:t>s</w:t>
      </w:r>
      <w:r>
        <w:t>) of about 20 emu g</w:t>
      </w:r>
      <w:r>
        <w:rPr>
          <w:vertAlign w:val="superscript"/>
        </w:rPr>
        <w:t>-1</w:t>
      </w:r>
      <w:r>
        <w:t xml:space="preserve"> confirmed the easy separation of catalyst from reaction using an external magnet.</w:t>
      </w:r>
    </w:p>
    <w:p w:rsidR="00470846" w:rsidRDefault="00470846"/>
    <w:p w:rsidR="00470846" w:rsidRDefault="00C71C23">
      <w:r>
        <w:rPr>
          <w:noProof/>
        </w:rPr>
        <w:drawing>
          <wp:inline distT="0" distB="0" distL="0" distR="0">
            <wp:extent cx="2619375" cy="1767536"/>
            <wp:effectExtent l="0" t="0" r="0" b="4445"/>
            <wp:docPr id="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9"/>
                    <pic:cNvPicPr>
                      <a:picLocks noChangeAspect="1" noChangeArrowheads="1"/>
                    </pic:cNvPicPr>
                  </pic:nvPicPr>
                  <pic:blipFill>
                    <a:blip r:embed="rId12"/>
                    <a:stretch>
                      <a:fillRect/>
                    </a:stretch>
                  </pic:blipFill>
                  <pic:spPr bwMode="auto">
                    <a:xfrm>
                      <a:off x="0" y="0"/>
                      <a:ext cx="2622009" cy="1769313"/>
                    </a:xfrm>
                    <a:prstGeom prst="rect">
                      <a:avLst/>
                    </a:prstGeom>
                  </pic:spPr>
                </pic:pic>
              </a:graphicData>
            </a:graphic>
          </wp:inline>
        </w:drawing>
      </w:r>
      <w:r>
        <w:t xml:space="preserve">        </w:t>
      </w:r>
      <w:r>
        <w:rPr>
          <w:noProof/>
        </w:rPr>
        <w:drawing>
          <wp:inline distT="0" distB="0" distL="0" distR="0">
            <wp:extent cx="2969872" cy="1800225"/>
            <wp:effectExtent l="0" t="0" r="2540" b="0"/>
            <wp:docPr id="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0"/>
                    <pic:cNvPicPr>
                      <a:picLocks noChangeAspect="1" noChangeArrowheads="1"/>
                    </pic:cNvPicPr>
                  </pic:nvPicPr>
                  <pic:blipFill>
                    <a:blip r:embed="rId13"/>
                    <a:stretch>
                      <a:fillRect/>
                    </a:stretch>
                  </pic:blipFill>
                  <pic:spPr bwMode="auto">
                    <a:xfrm>
                      <a:off x="0" y="0"/>
                      <a:ext cx="2971385" cy="1801142"/>
                    </a:xfrm>
                    <a:prstGeom prst="rect">
                      <a:avLst/>
                    </a:prstGeom>
                  </pic:spPr>
                </pic:pic>
              </a:graphicData>
            </a:graphic>
          </wp:inline>
        </w:drawing>
      </w:r>
    </w:p>
    <w:p w:rsidR="00470846" w:rsidRDefault="00470846">
      <w:pPr>
        <w:sectPr w:rsidR="00470846">
          <w:type w:val="continuous"/>
          <w:pgSz w:w="12240" w:h="15840"/>
          <w:pgMar w:top="1440" w:right="1440" w:bottom="1440" w:left="1440" w:header="0" w:footer="0" w:gutter="0"/>
          <w:cols w:space="720"/>
          <w:formProt w:val="0"/>
          <w:docGrid w:linePitch="360" w:charSpace="8192"/>
        </w:sectPr>
      </w:pPr>
    </w:p>
    <w:p w:rsidR="00470846" w:rsidRPr="00671854" w:rsidRDefault="00C71C23">
      <w:pPr>
        <w:tabs>
          <w:tab w:val="left" w:pos="4200"/>
        </w:tabs>
        <w:spacing w:line="240" w:lineRule="auto"/>
        <w:rPr>
          <w:sz w:val="20"/>
          <w:szCs w:val="20"/>
        </w:rPr>
      </w:pPr>
      <w:r w:rsidRPr="00671854">
        <w:rPr>
          <w:b/>
          <w:bCs/>
          <w:sz w:val="20"/>
          <w:szCs w:val="20"/>
        </w:rPr>
        <w:t xml:space="preserve">Figure 4: </w:t>
      </w:r>
      <w:r w:rsidRPr="00671854">
        <w:rPr>
          <w:sz w:val="20"/>
          <w:szCs w:val="20"/>
        </w:rPr>
        <w:t>TG plots of A)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 B)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-APTES-FeL</w:t>
      </w:r>
      <w:r w:rsidRPr="00671854">
        <w:rPr>
          <w:sz w:val="20"/>
          <w:szCs w:val="20"/>
          <w:vertAlign w:val="superscript"/>
        </w:rPr>
        <w:t>AE</w:t>
      </w:r>
      <w:r w:rsidRPr="00671854">
        <w:rPr>
          <w:sz w:val="20"/>
          <w:szCs w:val="20"/>
        </w:rPr>
        <w:t>.</w:t>
      </w:r>
    </w:p>
    <w:p w:rsidR="00470846" w:rsidRDefault="00C71C23">
      <w:pPr>
        <w:tabs>
          <w:tab w:val="left" w:pos="4200"/>
        </w:tabs>
        <w:spacing w:line="240" w:lineRule="auto"/>
        <w:rPr>
          <w:sz w:val="20"/>
          <w:szCs w:val="20"/>
        </w:rPr>
      </w:pPr>
      <w:r w:rsidRPr="00671854">
        <w:rPr>
          <w:b/>
          <w:bCs/>
          <w:sz w:val="20"/>
          <w:szCs w:val="20"/>
        </w:rPr>
        <w:t>Figure 5:</w:t>
      </w:r>
      <w:r w:rsidRPr="00671854">
        <w:rPr>
          <w:sz w:val="20"/>
          <w:szCs w:val="20"/>
        </w:rPr>
        <w:t xml:space="preserve"> XRD pattern of Fe</w:t>
      </w:r>
      <w:r w:rsidRPr="00671854">
        <w:rPr>
          <w:sz w:val="20"/>
          <w:szCs w:val="20"/>
          <w:vertAlign w:val="subscript"/>
        </w:rPr>
        <w:t>3</w:t>
      </w:r>
      <w:r w:rsidRPr="00671854">
        <w:rPr>
          <w:sz w:val="20"/>
          <w:szCs w:val="20"/>
        </w:rPr>
        <w:t>O</w:t>
      </w:r>
      <w:r w:rsidRPr="00671854">
        <w:rPr>
          <w:sz w:val="20"/>
          <w:szCs w:val="20"/>
          <w:vertAlign w:val="subscript"/>
        </w:rPr>
        <w:t>4</w:t>
      </w:r>
      <w:r w:rsidRPr="00671854">
        <w:rPr>
          <w:sz w:val="20"/>
          <w:szCs w:val="20"/>
        </w:rPr>
        <w:t>@SiO</w:t>
      </w:r>
      <w:r w:rsidRPr="00671854">
        <w:rPr>
          <w:sz w:val="20"/>
          <w:szCs w:val="20"/>
          <w:vertAlign w:val="subscript"/>
        </w:rPr>
        <w:t>2</w:t>
      </w:r>
      <w:r w:rsidRPr="00671854">
        <w:rPr>
          <w:sz w:val="20"/>
          <w:szCs w:val="20"/>
        </w:rPr>
        <w:t>-APTES-FeL</w:t>
      </w:r>
      <w:r w:rsidRPr="00671854">
        <w:rPr>
          <w:sz w:val="20"/>
          <w:szCs w:val="20"/>
          <w:vertAlign w:val="superscript"/>
        </w:rPr>
        <w:t>AE</w:t>
      </w:r>
      <w:r w:rsidRPr="00671854">
        <w:rPr>
          <w:sz w:val="20"/>
          <w:szCs w:val="20"/>
        </w:rPr>
        <w:t>.</w:t>
      </w:r>
    </w:p>
    <w:p w:rsidR="00470846" w:rsidRDefault="00470846">
      <w:pPr>
        <w:sectPr w:rsidR="00470846">
          <w:type w:val="continuous"/>
          <w:pgSz w:w="12240" w:h="15840"/>
          <w:pgMar w:top="1440" w:right="1440" w:bottom="1440" w:left="1440" w:header="0" w:footer="0" w:gutter="0"/>
          <w:cols w:num="2" w:space="720"/>
          <w:formProt w:val="0"/>
          <w:docGrid w:linePitch="360" w:charSpace="8192"/>
        </w:sectPr>
      </w:pPr>
    </w:p>
    <w:p w:rsidR="00470846" w:rsidRDefault="00C71C23">
      <w:pPr>
        <w:tabs>
          <w:tab w:val="left" w:pos="4200"/>
        </w:tabs>
      </w:pPr>
      <w:r>
        <w:rPr>
          <w:noProof/>
        </w:rPr>
        <mc:AlternateContent>
          <mc:Choice Requires="wps">
            <w:drawing>
              <wp:anchor distT="3175" distB="3810" distL="635" distR="635" simplePos="0" relativeHeight="251658240" behindDoc="0" locked="0" layoutInCell="0" allowOverlap="1" wp14:anchorId="4836820D">
                <wp:simplePos x="0" y="0"/>
                <wp:positionH relativeFrom="margin">
                  <wp:align>right</wp:align>
                </wp:positionH>
                <wp:positionV relativeFrom="paragraph">
                  <wp:posOffset>167640</wp:posOffset>
                </wp:positionV>
                <wp:extent cx="5908040" cy="17145"/>
                <wp:effectExtent l="635" t="3175" r="635" b="3810"/>
                <wp:wrapNone/>
                <wp:docPr id="8" name="Straight Connector 42"/>
                <wp:cNvGraphicFramePr/>
                <a:graphic xmlns:a="http://schemas.openxmlformats.org/drawingml/2006/main">
                  <a:graphicData uri="http://schemas.microsoft.com/office/word/2010/wordprocessingShape">
                    <wps:wsp>
                      <wps:cNvCnPr/>
                      <wps:spPr>
                        <a:xfrm flipV="1">
                          <a:off x="0" y="0"/>
                          <a:ext cx="5907960" cy="17280"/>
                        </a:xfrm>
                        <a:prstGeom prst="line">
                          <a:avLst/>
                        </a:prstGeom>
                        <a:ln>
                          <a:solidFill>
                            <a:srgbClr val="5B9BD5"/>
                          </a:solidFill>
                        </a:ln>
                      </wps:spPr>
                      <wps:style>
                        <a:lnRef idx="1">
                          <a:schemeClr val="accent1"/>
                        </a:lnRef>
                        <a:fillRef idx="0">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line id="shape_0" from="2.7pt,13.2pt" to="467.85pt,14.5pt" ID="Straight Connector 42" stroked="t" o:allowincell="f" style="position:absolute;flip:y;mso-position-horizontal:right;mso-position-horizontal-relative:margin" wp14:anchorId="4836820D">
                <v:stroke color="#5b9bd5" weight="6480" joinstyle="miter" endcap="flat"/>
                <v:fill o:detectmouseclick="t" on="false"/>
                <w10:wrap type="none"/>
              </v:line>
            </w:pict>
          </mc:Fallback>
        </mc:AlternateContent>
      </w:r>
    </w:p>
    <w:p w:rsidR="00470846" w:rsidRDefault="00470846"/>
    <w:p w:rsidR="00470846" w:rsidRDefault="00C71C23" w:rsidP="00E8649C">
      <w:pPr>
        <w:jc w:val="lowKashida"/>
      </w:pPr>
      <w:r>
        <w:t>Further exploration of catalyst has been performed by using X-ray photoelectron spectroscopy (XPS)  which is a powerful technique to measure the elemental composition, chemical state and electronic state of the elements in materials (Figure 6-A). Regarding the representative XPS scan of the Fe 2p lines (Figure 6-B), the binding energies (BE) 710.75 eV and 724.28 eV are respectively correlated to Fe 2p</w:t>
      </w:r>
      <w:r>
        <w:rPr>
          <w:vertAlign w:val="subscript"/>
        </w:rPr>
        <w:t>3/2</w:t>
      </w:r>
      <w:r>
        <w:t xml:space="preserve"> and Fe 2p</w:t>
      </w:r>
      <w:r>
        <w:rPr>
          <w:vertAlign w:val="subscript"/>
        </w:rPr>
        <w:t>1/2</w:t>
      </w:r>
      <w:r>
        <w:t xml:space="preserve"> which indicates that Fe</w:t>
      </w:r>
      <w:r>
        <w:rPr>
          <w:vertAlign w:val="superscript"/>
        </w:rPr>
        <w:t>2+</w:t>
      </w:r>
      <w:r>
        <w:t xml:space="preserve"> and Fe</w:t>
      </w:r>
      <w:r>
        <w:rPr>
          <w:vertAlign w:val="superscript"/>
        </w:rPr>
        <w:t xml:space="preserve">3+ </w:t>
      </w:r>
      <w:r>
        <w:t>peaks are not separated from each other, but are located between these two binding energies as a mixed peak (Figure 6-B).</w:t>
      </w:r>
      <w:r>
        <w:rPr>
          <w:vertAlign w:val="superscript"/>
        </w:rPr>
        <w:t>24</w:t>
      </w:r>
      <w:r>
        <w:t xml:space="preserve"> Moreover, the silica binding energies appeared at 103.08 eV (Si 2p) and 154.08 eV (Si 2s), and the peaks at 284.7 eV (C 1s), 399.95 eV (N 1s) and 531.77 eV (O 1s) are good evidence of the effective grafting of ligand (Figure 6-A).</w:t>
      </w:r>
    </w:p>
    <w:p w:rsidR="00470846" w:rsidRDefault="00470846">
      <w:pPr>
        <w:rPr>
          <w:b/>
          <w:bCs/>
        </w:rPr>
      </w:pPr>
    </w:p>
    <w:p w:rsidR="00470846" w:rsidRDefault="00C71C23">
      <w:pPr>
        <w:rPr>
          <w:b/>
          <w:bCs/>
        </w:rPr>
      </w:pPr>
      <w:r>
        <w:rPr>
          <w:noProof/>
        </w:rPr>
        <mc:AlternateContent>
          <mc:Choice Requires="wps">
            <w:drawing>
              <wp:anchor distT="0" distB="0" distL="0" distR="0" simplePos="0" relativeHeight="251655168" behindDoc="0" locked="0" layoutInCell="0" allowOverlap="1" wp14:anchorId="01CB6228">
                <wp:simplePos x="0" y="0"/>
                <wp:positionH relativeFrom="column">
                  <wp:posOffset>390525</wp:posOffset>
                </wp:positionH>
                <wp:positionV relativeFrom="paragraph">
                  <wp:posOffset>69215</wp:posOffset>
                </wp:positionV>
                <wp:extent cx="438150" cy="285750"/>
                <wp:effectExtent l="0" t="0" r="0" b="0"/>
                <wp:wrapNone/>
                <wp:docPr id="9" name="Text Box 12"/>
                <wp:cNvGraphicFramePr/>
                <a:graphic xmlns:a="http://schemas.openxmlformats.org/drawingml/2006/main">
                  <a:graphicData uri="http://schemas.microsoft.com/office/word/2010/wordprocessingShape">
                    <wps:wsp>
                      <wps:cNvSpPr/>
                      <wps:spPr>
                        <a:xfrm>
                          <a:off x="0" y="0"/>
                          <a:ext cx="438120" cy="285840"/>
                        </a:xfrm>
                        <a:prstGeom prst="rect">
                          <a:avLst/>
                        </a:prstGeom>
                        <a:noFill/>
                        <a:ln w="6350">
                          <a:noFill/>
                        </a:ln>
                      </wps:spPr>
                      <wps:style>
                        <a:lnRef idx="0">
                          <a:schemeClr val="accent1"/>
                        </a:lnRef>
                        <a:fillRef idx="0">
                          <a:schemeClr val="accent1"/>
                        </a:fillRef>
                        <a:effectRef idx="0">
                          <a:schemeClr val="accent1"/>
                        </a:effectRef>
                        <a:fontRef idx="minor"/>
                      </wps:style>
                      <wps:txbx>
                        <w:txbxContent>
                          <w:p w:rsidR="00AD057B" w:rsidRDefault="00AD057B">
                            <w:pPr>
                              <w:pStyle w:val="FrameContents"/>
                              <w:rPr>
                                <w:color w:val="000000"/>
                              </w:rPr>
                            </w:pPr>
                            <w:r>
                              <w:rPr>
                                <w:color w:val="000000"/>
                              </w:rPr>
                              <w:t>A</w:t>
                            </w:r>
                          </w:p>
                        </w:txbxContent>
                      </wps:txbx>
                      <wps:bodyPr anchor="t">
                        <a:prstTxWarp prst="textNoShape">
                          <a:avLst/>
                        </a:prstTxWarp>
                        <a:noAutofit/>
                      </wps:bodyPr>
                    </wps:wsp>
                  </a:graphicData>
                </a:graphic>
              </wp:anchor>
            </w:drawing>
          </mc:Choice>
          <mc:Fallback>
            <w:pict>
              <v:rect w14:anchorId="01CB6228" id="Text Box 12" o:spid="_x0000_s1026" style="position:absolute;margin-left:30.75pt;margin-top:5.45pt;width:34.5pt;height:22.5pt;z-index:25165516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" o:allowincell="f" filled="f" stroked="f" strokeweight=".5pt">
                <v:textbox>
                  <w:txbxContent>
                    <w:p w:rsidR="00AD057B" w:rsidRDefault="00AD057B">
                      <w:pPr>
                        <w:pStyle w:val="FrameContents"/>
                        <w:rPr>
                          <w:color w:val="000000"/>
                        </w:rPr>
                      </w:pPr>
                      <w:r>
                        <w:rPr>
                          <w:color w:val="000000"/>
                        </w:rPr>
                        <w:t>A</w:t>
                      </w:r>
                    </w:p>
                  </w:txbxContent>
                </v:textbox>
              </v:rect>
            </w:pict>
          </mc:Fallback>
        </mc:AlternateContent>
      </w:r>
      <w:r>
        <w:rPr>
          <w:noProof/>
        </w:rPr>
        <mc:AlternateContent>
          <mc:Choice Requires="wps">
            <w:drawing>
              <wp:anchor distT="0" distB="0" distL="0" distR="0" simplePos="0" relativeHeight="251656192" behindDoc="0" locked="0" layoutInCell="0" allowOverlap="1" wp14:anchorId="23808A6B">
                <wp:simplePos x="0" y="0"/>
                <wp:positionH relativeFrom="column">
                  <wp:posOffset>3324225</wp:posOffset>
                </wp:positionH>
                <wp:positionV relativeFrom="paragraph">
                  <wp:posOffset>59690</wp:posOffset>
                </wp:positionV>
                <wp:extent cx="342900" cy="333375"/>
                <wp:effectExtent l="0" t="0" r="0" b="0"/>
                <wp:wrapNone/>
                <wp:docPr id="11" name="Text Box 13"/>
                <wp:cNvGraphicFramePr/>
                <a:graphic xmlns:a="http://schemas.openxmlformats.org/drawingml/2006/main">
                  <a:graphicData uri="http://schemas.microsoft.com/office/word/2010/wordprocessingShape">
                    <wps:wsp>
                      <wps:cNvSpPr/>
                      <wps:spPr>
                        <a:xfrm>
                          <a:off x="0" y="0"/>
                          <a:ext cx="343080" cy="333360"/>
                        </a:xfrm>
                        <a:prstGeom prst="rect">
                          <a:avLst/>
                        </a:prstGeom>
                        <a:noFill/>
                        <a:ln w="6350">
                          <a:noFill/>
                        </a:ln>
                      </wps:spPr>
                      <wps:style>
                        <a:lnRef idx="0">
                          <a:schemeClr val="accent1"/>
                        </a:lnRef>
                        <a:fillRef idx="0">
                          <a:schemeClr val="accent1"/>
                        </a:fillRef>
                        <a:effectRef idx="0">
                          <a:schemeClr val="accent1"/>
                        </a:effectRef>
                        <a:fontRef idx="minor"/>
                      </wps:style>
                      <wps:txbx>
                        <w:txbxContent>
                          <w:p w:rsidR="00AD057B" w:rsidRDefault="00AD057B">
                            <w:pPr>
                              <w:pStyle w:val="FrameContents"/>
                              <w:rPr>
                                <w:color w:val="000000"/>
                              </w:rPr>
                            </w:pPr>
                            <w:r>
                              <w:rPr>
                                <w:color w:val="000000"/>
                              </w:rPr>
                              <w:t>B</w:t>
                            </w:r>
                          </w:p>
                        </w:txbxContent>
                      </wps:txbx>
                      <wps:bodyPr anchor="t">
                        <a:prstTxWarp prst="textNoShape">
                          <a:avLst/>
                        </a:prstTxWarp>
                        <a:noAutofit/>
                      </wps:bodyPr>
                    </wps:wsp>
                  </a:graphicData>
                </a:graphic>
              </wp:anchor>
            </w:drawing>
          </mc:Choice>
          <mc:Fallback>
            <w:pict>
              <v:rect w14:anchorId="23808A6B" id="Text Box 13" o:spid="_x0000_s1027" style="position:absolute;margin-left:261.75pt;margin-top:4.7pt;width:27pt;height:26.25pt;z-index:2516561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" o:allowincell="f" filled="f" stroked="f" strokeweight=".5pt">
                <v:textbox>
                  <w:txbxContent>
                    <w:p w:rsidR="00AD057B" w:rsidRDefault="00AD057B">
                      <w:pPr>
                        <w:pStyle w:val="FrameContents"/>
                        <w:rPr>
                          <w:color w:val="000000"/>
                        </w:rPr>
                      </w:pPr>
                      <w:r>
                        <w:rPr>
                          <w:color w:val="000000"/>
                        </w:rPr>
                        <w:t>B</w:t>
                      </w:r>
                    </w:p>
                  </w:txbxContent>
                </v:textbox>
              </v:rect>
            </w:pict>
          </mc:Fallback>
        </mc:AlternateContent>
      </w:r>
      <w:r>
        <w:rPr>
          <w:noProof/>
        </w:rPr>
        <w:drawing>
          <wp:inline distT="0" distB="0" distL="0" distR="0">
            <wp:extent cx="3122930" cy="1810385"/>
            <wp:effectExtent l="0" t="0" r="0" b="0"/>
            <wp:docPr id="13"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
                    <pic:cNvPicPr>
                      <a:picLocks noChangeAspect="1" noChangeArrowheads="1"/>
                    </pic:cNvPicPr>
                  </pic:nvPicPr>
                  <pic:blipFill>
                    <a:blip r:embed="rId14"/>
                    <a:stretch>
                      <a:fillRect/>
                    </a:stretch>
                  </pic:blipFill>
                  <pic:spPr bwMode="auto">
                    <a:xfrm>
                      <a:off x="0" y="0"/>
                      <a:ext cx="3122930" cy="1810385"/>
                    </a:xfrm>
                    <a:prstGeom prst="rect">
                      <a:avLst/>
                    </a:prstGeom>
                  </pic:spPr>
                </pic:pic>
              </a:graphicData>
            </a:graphic>
          </wp:inline>
        </w:drawing>
      </w:r>
      <w:r>
        <w:rPr>
          <w:noProof/>
        </w:rPr>
        <w:drawing>
          <wp:inline distT="0" distB="0" distL="0" distR="0">
            <wp:extent cx="2633345" cy="1784350"/>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15"/>
                    <a:stretch>
                      <a:fillRect/>
                    </a:stretch>
                  </pic:blipFill>
                  <pic:spPr bwMode="auto">
                    <a:xfrm>
                      <a:off x="0" y="0"/>
                      <a:ext cx="2633345" cy="1784350"/>
                    </a:xfrm>
                    <a:prstGeom prst="rect">
                      <a:avLst/>
                    </a:prstGeom>
                  </pic:spPr>
                </pic:pic>
              </a:graphicData>
            </a:graphic>
          </wp:inline>
        </w:drawing>
      </w:r>
    </w:p>
    <w:p w:rsidR="00470846" w:rsidRPr="00AD057B" w:rsidRDefault="00C71C23" w:rsidP="00AD057B">
      <w:pPr>
        <w:jc w:val="center"/>
        <w:rPr>
          <w:sz w:val="20"/>
          <w:szCs w:val="20"/>
        </w:rPr>
      </w:pPr>
      <w:r>
        <w:rPr>
          <w:b/>
          <w:bCs/>
          <w:sz w:val="20"/>
          <w:szCs w:val="20"/>
        </w:rPr>
        <w:t xml:space="preserve">Figure 6. </w:t>
      </w:r>
      <w:r>
        <w:rPr>
          <w:sz w:val="20"/>
          <w:szCs w:val="20"/>
        </w:rPr>
        <w:t>XPS spectrum: A) Survey of Fe</w:t>
      </w:r>
      <w:r>
        <w:rPr>
          <w:sz w:val="20"/>
          <w:szCs w:val="20"/>
          <w:vertAlign w:val="subscript"/>
        </w:rPr>
        <w:t>3</w:t>
      </w:r>
      <w:r>
        <w:rPr>
          <w:sz w:val="20"/>
          <w:szCs w:val="20"/>
        </w:rPr>
        <w:t>O</w:t>
      </w:r>
      <w:r>
        <w:rPr>
          <w:sz w:val="20"/>
          <w:szCs w:val="20"/>
          <w:vertAlign w:val="subscript"/>
        </w:rPr>
        <w:t>4</w:t>
      </w:r>
      <w:r>
        <w:rPr>
          <w:sz w:val="20"/>
          <w:szCs w:val="20"/>
        </w:rPr>
        <w:t>@SiO</w:t>
      </w:r>
      <w:r>
        <w:rPr>
          <w:sz w:val="20"/>
          <w:szCs w:val="20"/>
          <w:vertAlign w:val="subscript"/>
        </w:rPr>
        <w:t>2</w:t>
      </w:r>
      <w:r>
        <w:rPr>
          <w:sz w:val="20"/>
          <w:szCs w:val="20"/>
        </w:rPr>
        <w:t>-APTES-FeL</w:t>
      </w:r>
      <w:r>
        <w:rPr>
          <w:sz w:val="20"/>
          <w:szCs w:val="20"/>
          <w:vertAlign w:val="superscript"/>
        </w:rPr>
        <w:t>AE</w:t>
      </w:r>
      <w:r>
        <w:rPr>
          <w:sz w:val="20"/>
          <w:szCs w:val="20"/>
        </w:rPr>
        <w:t xml:space="preserve"> and B) Fine spectrum of Fe2p.</w:t>
      </w:r>
    </w:p>
    <w:p w:rsidR="00470846" w:rsidRDefault="00C71C23">
      <w:pPr>
        <w:rPr>
          <w:b/>
          <w:bCs/>
        </w:rPr>
      </w:pPr>
      <w:r>
        <w:rPr>
          <w:b/>
          <w:bCs/>
        </w:rPr>
        <w:t>Catalytic epoxidation reaction evaluation</w:t>
      </w:r>
    </w:p>
    <w:p w:rsidR="00470846" w:rsidRDefault="00C71C23" w:rsidP="00E8649C">
      <w:pPr>
        <w:jc w:val="lowKashida"/>
      </w:pPr>
      <w:r>
        <w:t>The initial studies were concentrated on optimization of additive and catalyst loading in cyclopentene epoxidation reaction at room temperature in water (Table 1) and the conversion of cyclopentene and selectivity to cyclopentene oxide was analyzed by Gas chromatography (GC) method (Figure S2). Sulfite ion as reducing agent is necessary for the aerobic epoxidation reaction to convert Fe(III) to Fe(II).</w:t>
      </w:r>
      <w:r>
        <w:rPr>
          <w:vertAlign w:val="superscript"/>
        </w:rPr>
        <w:t xml:space="preserve">25 </w:t>
      </w:r>
      <w:r>
        <w:t>The changes of Na</w:t>
      </w:r>
      <w:r>
        <w:rPr>
          <w:vertAlign w:val="subscript"/>
        </w:rPr>
        <w:t>2</w:t>
      </w:r>
      <w:r>
        <w:t>SO</w:t>
      </w:r>
      <w:r>
        <w:rPr>
          <w:vertAlign w:val="subscript"/>
        </w:rPr>
        <w:t>3</w:t>
      </w:r>
      <w:r>
        <w:t xml:space="preserve"> equivalent investigations proved that the catalytic epoxidation performance is directly dependent on the presence of sulfite</w:t>
      </w:r>
      <w:r>
        <w:rPr>
          <w:lang w:bidi="fa-IR"/>
        </w:rPr>
        <w:t xml:space="preserve"> and the system </w:t>
      </w:r>
      <w:r>
        <w:t>does not work if there is a lack of reducing agent source (Table 1, entry 1).</w:t>
      </w:r>
    </w:p>
    <w:p w:rsidR="00470846" w:rsidRDefault="00C71C23" w:rsidP="00E8649C">
      <w:pPr>
        <w:jc w:val="lowKashida"/>
      </w:pPr>
      <w:r>
        <w:t xml:space="preserve">The optimized equivalent of sulfite was shown in Table 1, entry 4 which led to the 97% conversion of cyclopentene to 1,2-epoxycyclopentane and excellent selectivity. </w:t>
      </w:r>
      <w:r w:rsidRPr="00671854">
        <w:t>Alternatively, increasing the amount of catalyst to 60 mg not only impairs efficiency but also reduces selectivity. Moreover</w:t>
      </w:r>
      <w:r>
        <w:t xml:space="preserve">, using a variety of reducing agents including ascorbic acid, </w:t>
      </w:r>
      <w:r>
        <w:rPr>
          <w:i/>
          <w:iCs/>
        </w:rPr>
        <w:t>tri</w:t>
      </w:r>
      <w:r>
        <w:t>-sodium citrate, NaHCO</w:t>
      </w:r>
      <w:r>
        <w:rPr>
          <w:vertAlign w:val="subscript"/>
        </w:rPr>
        <w:t>3</w:t>
      </w:r>
      <w:r>
        <w:t xml:space="preserve"> and Na</w:t>
      </w:r>
      <w:r>
        <w:rPr>
          <w:vertAlign w:val="subscript"/>
        </w:rPr>
        <w:t>2</w:t>
      </w:r>
      <w:r>
        <w:t>CO</w:t>
      </w:r>
      <w:r>
        <w:rPr>
          <w:vertAlign w:val="subscript"/>
        </w:rPr>
        <w:t>3</w:t>
      </w:r>
      <w:r>
        <w:t xml:space="preserve"> did not affect the aerobic epoxidation reaction. On the other hand, to explore the role of Iron(III) catalytic center and the catalyst components of Fe</w:t>
      </w:r>
      <w:r>
        <w:rPr>
          <w:vertAlign w:val="subscript"/>
        </w:rPr>
        <w:t>3</w:t>
      </w:r>
      <w:r>
        <w:t>O</w:t>
      </w:r>
      <w:r>
        <w:rPr>
          <w:vertAlign w:val="subscript"/>
        </w:rPr>
        <w:t>4</w:t>
      </w:r>
      <w:r>
        <w:t>@SiO</w:t>
      </w:r>
      <w:r>
        <w:rPr>
          <w:vertAlign w:val="subscript"/>
        </w:rPr>
        <w:t>2</w:t>
      </w:r>
      <w:r>
        <w:t>-APTES-FeL</w:t>
      </w:r>
      <w:r>
        <w:rPr>
          <w:vertAlign w:val="superscript"/>
        </w:rPr>
        <w:t>AE</w:t>
      </w:r>
      <w:r>
        <w:t>, in a separate test, Fe</w:t>
      </w:r>
      <w:r>
        <w:rPr>
          <w:vertAlign w:val="subscript"/>
        </w:rPr>
        <w:t>3</w:t>
      </w:r>
      <w:r>
        <w:t>O</w:t>
      </w:r>
      <w:r>
        <w:rPr>
          <w:vertAlign w:val="subscript"/>
        </w:rPr>
        <w:t>4</w:t>
      </w:r>
      <w:r>
        <w:t>@SiO</w:t>
      </w:r>
      <w:r>
        <w:rPr>
          <w:vertAlign w:val="subscript"/>
        </w:rPr>
        <w:t>2</w:t>
      </w:r>
      <w:r>
        <w:t>, Fe</w:t>
      </w:r>
      <w:r>
        <w:rPr>
          <w:vertAlign w:val="subscript"/>
        </w:rPr>
        <w:t>3</w:t>
      </w:r>
      <w:r>
        <w:t>O</w:t>
      </w:r>
      <w:r>
        <w:rPr>
          <w:vertAlign w:val="subscript"/>
        </w:rPr>
        <w:t>4</w:t>
      </w:r>
      <w:r>
        <w:t>@SiO</w:t>
      </w:r>
      <w:r>
        <w:rPr>
          <w:vertAlign w:val="subscript"/>
        </w:rPr>
        <w:t>2</w:t>
      </w:r>
      <w:r>
        <w:t>-APTES and Fe</w:t>
      </w:r>
      <w:r>
        <w:rPr>
          <w:vertAlign w:val="subscript"/>
        </w:rPr>
        <w:t>3</w:t>
      </w:r>
      <w:r>
        <w:t>O</w:t>
      </w:r>
      <w:r>
        <w:rPr>
          <w:vertAlign w:val="subscript"/>
        </w:rPr>
        <w:t>4</w:t>
      </w:r>
      <w:r>
        <w:t>@SiO</w:t>
      </w:r>
      <w:r>
        <w:rPr>
          <w:vertAlign w:val="subscript"/>
        </w:rPr>
        <w:t>2</w:t>
      </w:r>
      <w:r>
        <w:t>-APTES-H</w:t>
      </w:r>
      <w:r>
        <w:rPr>
          <w:vertAlign w:val="subscript"/>
        </w:rPr>
        <w:t>2</w:t>
      </w:r>
      <w:r>
        <w:t>L</w:t>
      </w:r>
      <w:r>
        <w:rPr>
          <w:vertAlign w:val="superscript"/>
        </w:rPr>
        <w:t>AE</w:t>
      </w:r>
      <w:r>
        <w:t xml:space="preserve"> have been used instead of catalyst and the obtained conversions  were negligible.</w:t>
      </w:r>
    </w:p>
    <w:p w:rsidR="00470846" w:rsidRDefault="00C71C23">
      <w:pPr>
        <w:rPr>
          <w:b/>
          <w:bCs/>
          <w:sz w:val="20"/>
          <w:szCs w:val="20"/>
        </w:rPr>
      </w:pPr>
      <w:r>
        <w:rPr>
          <w:b/>
          <w:bCs/>
          <w:sz w:val="20"/>
          <w:szCs w:val="20"/>
        </w:rPr>
        <w:t xml:space="preserve">Table 1: </w:t>
      </w:r>
      <w:r>
        <w:rPr>
          <w:sz w:val="20"/>
          <w:szCs w:val="20"/>
        </w:rPr>
        <w:t>The</w:t>
      </w:r>
      <w:r>
        <w:rPr>
          <w:b/>
          <w:bCs/>
          <w:sz w:val="20"/>
          <w:szCs w:val="20"/>
        </w:rPr>
        <w:t xml:space="preserve"> </w:t>
      </w:r>
      <w:r>
        <w:rPr>
          <w:sz w:val="20"/>
          <w:szCs w:val="20"/>
        </w:rPr>
        <w:t>optimization of catalytic epoxidation of cyclopentene</w:t>
      </w:r>
    </w:p>
    <w:tbl>
      <w:tblPr>
        <w:tblStyle w:val="ListTable6Colorful-Accent3"/>
        <w:tblW w:w="9540" w:type="dxa"/>
        <w:tblLayout w:type="fixed"/>
        <w:tblLook w:val="0420" w:firstRow="1" w:lastRow="0" w:firstColumn="0" w:lastColumn="0" w:noHBand="0" w:noVBand="1"/>
      </w:tblPr>
      <w:tblGrid>
        <w:gridCol w:w="602"/>
        <w:gridCol w:w="122"/>
        <w:gridCol w:w="810"/>
        <w:gridCol w:w="270"/>
        <w:gridCol w:w="1800"/>
        <w:gridCol w:w="1085"/>
        <w:gridCol w:w="809"/>
        <w:gridCol w:w="990"/>
        <w:gridCol w:w="1893"/>
        <w:gridCol w:w="1159"/>
      </w:tblGrid>
      <w:tr w:rsidR="00470846" w:rsidTr="00470846">
        <w:trPr>
          <w:cnfStyle w:val="100000000000" w:firstRow="1" w:lastRow="0" w:firstColumn="0" w:lastColumn="0" w:oddVBand="0" w:evenVBand="0" w:oddHBand="0" w:evenHBand="0" w:firstRowFirstColumn="0" w:firstRowLastColumn="0" w:lastRowFirstColumn="0" w:lastRowLastColumn="0"/>
          <w:trHeight w:val="540"/>
        </w:trPr>
        <w:tc>
          <w:tcPr>
            <w:tcW w:w="722" w:type="dxa"/>
            <w:gridSpan w:val="2"/>
            <w:shd w:val="clear" w:color="auto" w:fill="D9E2F3" w:themeFill="accent5" w:themeFillTint="33"/>
          </w:tcPr>
          <w:p w:rsidR="00470846" w:rsidRDefault="00C71C23">
            <w:pPr>
              <w:widowControl w:val="0"/>
              <w:spacing w:after="0"/>
              <w:ind w:left="-1043" w:firstLine="990"/>
              <w:jc w:val="center"/>
              <w:rPr>
                <w:rFonts w:ascii="Calibri" w:hAnsi="Calibri"/>
                <w:color w:val="7B7B7B"/>
              </w:rPr>
            </w:pPr>
            <w:r>
              <w:rPr>
                <w:rFonts w:eastAsia="Calibri" w:cs="Arial"/>
                <w:color w:val="7B7B7B"/>
              </w:rPr>
              <w:t>Entry</w:t>
            </w:r>
          </w:p>
        </w:tc>
        <w:tc>
          <w:tcPr>
            <w:tcW w:w="1080" w:type="dxa"/>
            <w:gridSpan w:val="2"/>
            <w:shd w:val="clear" w:color="auto" w:fill="D9E2F3" w:themeFill="accent5" w:themeFillTint="33"/>
          </w:tcPr>
          <w:p w:rsidR="00470846" w:rsidRDefault="00C71C23">
            <w:pPr>
              <w:widowControl w:val="0"/>
              <w:spacing w:after="0"/>
              <w:jc w:val="center"/>
              <w:rPr>
                <w:rFonts w:ascii="Calibri" w:hAnsi="Calibri"/>
                <w:color w:val="7B7B7B"/>
              </w:rPr>
            </w:pPr>
            <w:r>
              <w:rPr>
                <w:rFonts w:eastAsia="Calibri" w:cs="Arial"/>
                <w:color w:val="7B7B7B"/>
              </w:rPr>
              <w:t>Catalyst (mg)</w:t>
            </w:r>
          </w:p>
        </w:tc>
        <w:tc>
          <w:tcPr>
            <w:tcW w:w="1800" w:type="dxa"/>
            <w:shd w:val="clear" w:color="auto" w:fill="D9E2F3" w:themeFill="accent5" w:themeFillTint="33"/>
          </w:tcPr>
          <w:p w:rsidR="00470846" w:rsidRDefault="00C71C23">
            <w:pPr>
              <w:widowControl w:val="0"/>
              <w:spacing w:after="0"/>
              <w:jc w:val="center"/>
              <w:rPr>
                <w:rFonts w:ascii="Calibri" w:hAnsi="Calibri"/>
                <w:color w:val="7B7B7B"/>
              </w:rPr>
            </w:pPr>
            <w:r>
              <w:rPr>
                <w:rFonts w:eastAsia="Calibri" w:cs="Arial"/>
                <w:color w:val="7B7B7B"/>
              </w:rPr>
              <w:t>Reducing Agent (eq)</w:t>
            </w:r>
          </w:p>
        </w:tc>
        <w:tc>
          <w:tcPr>
            <w:tcW w:w="1085" w:type="dxa"/>
            <w:shd w:val="clear" w:color="auto" w:fill="D9E2F3" w:themeFill="accent5" w:themeFillTint="33"/>
          </w:tcPr>
          <w:p w:rsidR="00470846" w:rsidRDefault="00C71C23">
            <w:pPr>
              <w:widowControl w:val="0"/>
              <w:spacing w:after="0"/>
              <w:jc w:val="center"/>
              <w:rPr>
                <w:rFonts w:ascii="Calibri" w:hAnsi="Calibri"/>
                <w:color w:val="7B7B7B"/>
              </w:rPr>
            </w:pPr>
            <w:r>
              <w:rPr>
                <w:rFonts w:eastAsia="Calibri" w:cs="Arial"/>
                <w:color w:val="7B7B7B"/>
              </w:rPr>
              <w:t>Time (h)</w:t>
            </w:r>
          </w:p>
        </w:tc>
        <w:tc>
          <w:tcPr>
            <w:tcW w:w="809" w:type="dxa"/>
            <w:shd w:val="clear" w:color="auto" w:fill="D9E2F3" w:themeFill="accent5" w:themeFillTint="33"/>
          </w:tcPr>
          <w:p w:rsidR="00470846" w:rsidRDefault="00C71C23">
            <w:pPr>
              <w:widowControl w:val="0"/>
              <w:spacing w:after="0"/>
              <w:jc w:val="center"/>
              <w:rPr>
                <w:rFonts w:ascii="Calibri" w:hAnsi="Calibri"/>
                <w:color w:val="7B7B7B"/>
              </w:rPr>
            </w:pPr>
            <w:r>
              <w:rPr>
                <w:rFonts w:eastAsia="Calibri" w:cs="Arial"/>
                <w:color w:val="7B7B7B"/>
              </w:rPr>
              <w:t>T</w:t>
            </w:r>
          </w:p>
        </w:tc>
        <w:tc>
          <w:tcPr>
            <w:tcW w:w="990" w:type="dxa"/>
            <w:shd w:val="clear" w:color="auto" w:fill="D9E2F3" w:themeFill="accent5" w:themeFillTint="33"/>
          </w:tcPr>
          <w:p w:rsidR="00470846" w:rsidRDefault="00C71C23">
            <w:pPr>
              <w:widowControl w:val="0"/>
              <w:spacing w:after="0" w:line="240" w:lineRule="auto"/>
              <w:jc w:val="center"/>
              <w:rPr>
                <w:rFonts w:ascii="Calibri" w:hAnsi="Calibri"/>
                <w:color w:val="7B7B7B"/>
              </w:rPr>
            </w:pPr>
            <w:r>
              <w:rPr>
                <w:rFonts w:eastAsia="Calibri" w:cs="Arial"/>
                <w:color w:val="7B7B7B"/>
              </w:rPr>
              <w:t>Solvent</w:t>
            </w:r>
          </w:p>
          <w:p w:rsidR="00470846" w:rsidRDefault="00C71C23">
            <w:pPr>
              <w:widowControl w:val="0"/>
              <w:spacing w:after="0"/>
              <w:jc w:val="center"/>
              <w:rPr>
                <w:rFonts w:ascii="Calibri" w:hAnsi="Calibri"/>
                <w:color w:val="7B7B7B"/>
              </w:rPr>
            </w:pPr>
            <w:r>
              <w:rPr>
                <w:rFonts w:eastAsia="Calibri" w:cs="Arial"/>
                <w:color w:val="7B7B7B"/>
              </w:rPr>
              <w:t>(0.6 mL)</w:t>
            </w:r>
          </w:p>
        </w:tc>
        <w:tc>
          <w:tcPr>
            <w:tcW w:w="1893" w:type="dxa"/>
            <w:shd w:val="clear" w:color="auto" w:fill="D9E2F3" w:themeFill="accent5" w:themeFillTint="33"/>
          </w:tcPr>
          <w:p w:rsidR="00470846" w:rsidRDefault="00C71C23">
            <w:pPr>
              <w:widowControl w:val="0"/>
              <w:spacing w:after="0"/>
              <w:ind w:right="597"/>
              <w:jc w:val="center"/>
              <w:rPr>
                <w:rFonts w:ascii="Calibri" w:hAnsi="Calibri"/>
                <w:color w:val="7B7B7B"/>
              </w:rPr>
            </w:pPr>
            <w:r>
              <w:rPr>
                <w:rFonts w:eastAsia="Calibri" w:cs="Arial"/>
                <w:color w:val="7B7B7B"/>
              </w:rPr>
              <w:t>Conversion %</w:t>
            </w:r>
          </w:p>
        </w:tc>
        <w:tc>
          <w:tcPr>
            <w:tcW w:w="1159" w:type="dxa"/>
            <w:shd w:val="clear" w:color="auto" w:fill="D9E2F3" w:themeFill="accent5" w:themeFillTint="33"/>
          </w:tcPr>
          <w:p w:rsidR="00470846" w:rsidRDefault="00C71C23">
            <w:pPr>
              <w:widowControl w:val="0"/>
              <w:spacing w:after="0"/>
              <w:jc w:val="center"/>
              <w:rPr>
                <w:rFonts w:ascii="Calibri" w:hAnsi="Calibri"/>
                <w:color w:val="7B7B7B"/>
              </w:rPr>
            </w:pPr>
            <w:r>
              <w:rPr>
                <w:rFonts w:eastAsia="Calibri" w:cs="Arial"/>
                <w:color w:val="7B7B7B"/>
              </w:rPr>
              <w:t>Selectivity %</w:t>
            </w:r>
          </w:p>
        </w:tc>
      </w:tr>
      <w:tr w:rsidR="00470846" w:rsidTr="00470846">
        <w:trPr>
          <w:cnfStyle w:val="000000100000" w:firstRow="0" w:lastRow="0" w:firstColumn="0" w:lastColumn="0" w:oddVBand="0" w:evenVBand="0" w:oddHBand="1" w:evenHBand="0" w:firstRowFirstColumn="0" w:firstRowLastColumn="0" w:lastRowFirstColumn="0" w:lastRowLastColumn="0"/>
          <w:trHeight w:val="422"/>
        </w:trPr>
        <w:tc>
          <w:tcPr>
            <w:tcW w:w="601" w:type="dxa"/>
            <w:tcBorders>
              <w:top w:val="nil"/>
              <w:bottom w:val="nil"/>
            </w:tcBorders>
            <w:shd w:val="clear" w:color="auto" w:fill="auto"/>
          </w:tcPr>
          <w:p w:rsidR="00470846" w:rsidRDefault="00C71C23">
            <w:pPr>
              <w:widowControl w:val="0"/>
              <w:tabs>
                <w:tab w:val="center" w:pos="167"/>
              </w:tabs>
              <w:spacing w:after="0" w:line="240" w:lineRule="auto"/>
              <w:ind w:left="-1043" w:firstLine="990"/>
              <w:jc w:val="center"/>
              <w:rPr>
                <w:rFonts w:ascii="Calibri" w:hAnsi="Calibri"/>
                <w:color w:val="7B7B7B"/>
              </w:rPr>
            </w:pPr>
            <w:r>
              <w:rPr>
                <w:rFonts w:eastAsia="Calibri" w:cs="Arial"/>
                <w:color w:val="7B7B7B"/>
              </w:rPr>
              <w:t>1</w:t>
            </w:r>
          </w:p>
        </w:tc>
        <w:tc>
          <w:tcPr>
            <w:tcW w:w="931" w:type="dxa"/>
            <w:gridSpan w:val="2"/>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60</w:t>
            </w:r>
          </w:p>
        </w:tc>
        <w:tc>
          <w:tcPr>
            <w:tcW w:w="2070" w:type="dxa"/>
            <w:gridSpan w:val="2"/>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w:t>
            </w:r>
          </w:p>
        </w:tc>
        <w:tc>
          <w:tcPr>
            <w:tcW w:w="1085" w:type="dxa"/>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10</w:t>
            </w:r>
          </w:p>
        </w:tc>
        <w:tc>
          <w:tcPr>
            <w:tcW w:w="809" w:type="dxa"/>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line="240" w:lineRule="auto"/>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4</w:t>
            </w:r>
          </w:p>
        </w:tc>
        <w:tc>
          <w:tcPr>
            <w:tcW w:w="1159" w:type="dxa"/>
            <w:tcBorders>
              <w:top w:val="nil"/>
              <w:bottom w:val="nil"/>
            </w:tcBorders>
            <w:shd w:val="clear" w:color="auto" w:fill="auto"/>
          </w:tcPr>
          <w:p w:rsidR="00470846" w:rsidRDefault="00C71C23">
            <w:pPr>
              <w:widowControl w:val="0"/>
              <w:spacing w:after="0" w:line="240" w:lineRule="auto"/>
              <w:jc w:val="center"/>
              <w:rPr>
                <w:rFonts w:ascii="Calibri" w:hAnsi="Calibri"/>
                <w:color w:val="7B7B7B"/>
              </w:rPr>
            </w:pPr>
            <w:r>
              <w:rPr>
                <w:rFonts w:eastAsia="Calibri" w:cs="Arial"/>
                <w:color w:val="7B7B7B"/>
              </w:rPr>
              <w:t>&gt;99</w:t>
            </w:r>
          </w:p>
        </w:tc>
      </w:tr>
      <w:tr w:rsidR="00470846" w:rsidTr="00470846">
        <w:trPr>
          <w:trHeight w:val="422"/>
        </w:trPr>
        <w:tc>
          <w:tcPr>
            <w:tcW w:w="601" w:type="dxa"/>
            <w:tcBorders>
              <w:top w:val="nil"/>
              <w:bottom w:val="nil"/>
            </w:tcBorders>
            <w:shd w:val="clear" w:color="auto" w:fill="auto"/>
          </w:tcPr>
          <w:p w:rsidR="00470846" w:rsidRDefault="00C71C23">
            <w:pPr>
              <w:widowControl w:val="0"/>
              <w:tabs>
                <w:tab w:val="center" w:pos="167"/>
              </w:tabs>
              <w:spacing w:after="0"/>
              <w:ind w:left="-1043" w:firstLine="990"/>
              <w:rPr>
                <w:rFonts w:ascii="Calibri" w:hAnsi="Calibri"/>
                <w:color w:val="7B7B7B"/>
              </w:rPr>
            </w:pPr>
            <w:r>
              <w:rPr>
                <w:rFonts w:eastAsia="Calibri" w:cs="Arial"/>
                <w:color w:val="7B7B7B"/>
              </w:rPr>
              <w:tab/>
              <w:t>2</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 xml:space="preserve">  Na</w:t>
            </w:r>
            <w:r>
              <w:rPr>
                <w:rFonts w:eastAsia="Calibri" w:cs="Arial"/>
                <w:color w:val="7B7B7B"/>
                <w:vertAlign w:val="subscript"/>
              </w:rPr>
              <w:t>2</w:t>
            </w:r>
            <w:r>
              <w:rPr>
                <w:rFonts w:eastAsia="Calibri" w:cs="Arial"/>
                <w:color w:val="7B7B7B"/>
              </w:rPr>
              <w:t>SO</w:t>
            </w:r>
            <w:r>
              <w:rPr>
                <w:rFonts w:eastAsia="Calibri" w:cs="Arial"/>
                <w:color w:val="7B7B7B"/>
                <w:vertAlign w:val="subscript"/>
              </w:rPr>
              <w:t>3</w:t>
            </w:r>
            <w:r>
              <w:rPr>
                <w:rFonts w:eastAsia="Calibri" w:cs="Arial"/>
                <w:color w:val="7B7B7B"/>
              </w:rPr>
              <w:t xml:space="preserve"> (0.5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48</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92</w:t>
            </w:r>
          </w:p>
        </w:tc>
      </w:tr>
      <w:tr w:rsidR="00470846" w:rsidTr="00470846">
        <w:trPr>
          <w:cnfStyle w:val="000000100000" w:firstRow="0" w:lastRow="0" w:firstColumn="0" w:lastColumn="0" w:oddVBand="0" w:evenVBand="0" w:oddHBand="1" w:evenHBand="0" w:firstRowFirstColumn="0" w:firstRowLastColumn="0" w:lastRowFirstColumn="0" w:lastRowLastColumn="0"/>
          <w:trHeight w:val="378"/>
        </w:trPr>
        <w:tc>
          <w:tcPr>
            <w:tcW w:w="601" w:type="dxa"/>
            <w:tcBorders>
              <w:top w:val="nil"/>
              <w:bottom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3</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Na</w:t>
            </w:r>
            <w:r>
              <w:rPr>
                <w:rFonts w:eastAsia="Calibri" w:cs="Arial"/>
                <w:color w:val="7B7B7B"/>
                <w:vertAlign w:val="subscript"/>
              </w:rPr>
              <w:t>2</w:t>
            </w:r>
            <w:r>
              <w:rPr>
                <w:rFonts w:eastAsia="Calibri" w:cs="Arial"/>
                <w:color w:val="7B7B7B"/>
              </w:rPr>
              <w:t>SO</w:t>
            </w:r>
            <w:r>
              <w:rPr>
                <w:rFonts w:eastAsia="Calibri" w:cs="Arial"/>
                <w:color w:val="7B7B7B"/>
                <w:vertAlign w:val="subscript"/>
              </w:rPr>
              <w:t xml:space="preserve">3  </w:t>
            </w:r>
            <w:r>
              <w:rPr>
                <w:rFonts w:eastAsia="Calibri" w:cs="Arial"/>
                <w:color w:val="7B7B7B"/>
              </w:rPr>
              <w:t>(1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56</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90</w:t>
            </w:r>
          </w:p>
        </w:tc>
      </w:tr>
      <w:tr w:rsidR="00470846" w:rsidTr="00470846">
        <w:trPr>
          <w:trHeight w:val="421"/>
        </w:trPr>
        <w:tc>
          <w:tcPr>
            <w:tcW w:w="601" w:type="dxa"/>
            <w:tcBorders>
              <w:top w:val="nil"/>
              <w:bottom w:val="nil"/>
            </w:tcBorders>
            <w:shd w:val="clear" w:color="auto" w:fill="auto"/>
          </w:tcPr>
          <w:p w:rsidR="00470846" w:rsidRDefault="00C71C23">
            <w:pPr>
              <w:widowControl w:val="0"/>
              <w:spacing w:after="0"/>
              <w:ind w:left="-1043" w:firstLine="990"/>
              <w:jc w:val="center"/>
              <w:rPr>
                <w:b/>
                <w:bCs/>
                <w:color w:val="FF0000"/>
              </w:rPr>
            </w:pPr>
            <w:r>
              <w:rPr>
                <w:rFonts w:eastAsia="Calibri" w:cs="Arial"/>
                <w:b/>
                <w:bCs/>
                <w:color w:val="FF0000"/>
              </w:rPr>
              <w:t>4</w:t>
            </w:r>
          </w:p>
        </w:tc>
        <w:tc>
          <w:tcPr>
            <w:tcW w:w="931" w:type="dxa"/>
            <w:gridSpan w:val="2"/>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40</w:t>
            </w:r>
          </w:p>
        </w:tc>
        <w:tc>
          <w:tcPr>
            <w:tcW w:w="2070" w:type="dxa"/>
            <w:gridSpan w:val="2"/>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Na</w:t>
            </w:r>
            <w:r>
              <w:rPr>
                <w:rFonts w:eastAsia="Calibri" w:cs="Arial"/>
                <w:b/>
                <w:bCs/>
                <w:color w:val="FF0000"/>
                <w:vertAlign w:val="subscript"/>
              </w:rPr>
              <w:t>2</w:t>
            </w:r>
            <w:r>
              <w:rPr>
                <w:rFonts w:eastAsia="Calibri" w:cs="Arial"/>
                <w:b/>
                <w:bCs/>
                <w:color w:val="FF0000"/>
              </w:rPr>
              <w:t>SO</w:t>
            </w:r>
            <w:r>
              <w:rPr>
                <w:rFonts w:eastAsia="Calibri" w:cs="Arial"/>
                <w:b/>
                <w:bCs/>
                <w:color w:val="FF0000"/>
                <w:vertAlign w:val="subscript"/>
              </w:rPr>
              <w:t>3</w:t>
            </w:r>
            <w:r>
              <w:rPr>
                <w:rFonts w:eastAsia="Calibri" w:cs="Arial"/>
                <w:b/>
                <w:bCs/>
                <w:color w:val="FF0000"/>
              </w:rPr>
              <w:t xml:space="preserve"> (3 eq)</w:t>
            </w:r>
          </w:p>
        </w:tc>
        <w:tc>
          <w:tcPr>
            <w:tcW w:w="1085" w:type="dxa"/>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6</w:t>
            </w:r>
          </w:p>
        </w:tc>
        <w:tc>
          <w:tcPr>
            <w:tcW w:w="809" w:type="dxa"/>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R.T.</w:t>
            </w:r>
          </w:p>
        </w:tc>
        <w:tc>
          <w:tcPr>
            <w:tcW w:w="990" w:type="dxa"/>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H</w:t>
            </w:r>
            <w:r>
              <w:rPr>
                <w:rFonts w:eastAsia="Calibri" w:cs="Arial"/>
                <w:b/>
                <w:bCs/>
                <w:color w:val="FF0000"/>
                <w:vertAlign w:val="subscript"/>
              </w:rPr>
              <w:t>2</w:t>
            </w:r>
            <w:r>
              <w:rPr>
                <w:rFonts w:eastAsia="Calibri" w:cs="Arial"/>
                <w:b/>
                <w:bCs/>
                <w:color w:val="FF0000"/>
              </w:rPr>
              <w:t>O</w:t>
            </w:r>
          </w:p>
        </w:tc>
        <w:tc>
          <w:tcPr>
            <w:tcW w:w="1893" w:type="dxa"/>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97</w:t>
            </w:r>
          </w:p>
        </w:tc>
        <w:tc>
          <w:tcPr>
            <w:tcW w:w="1159" w:type="dxa"/>
            <w:tcBorders>
              <w:top w:val="nil"/>
              <w:bottom w:val="nil"/>
            </w:tcBorders>
            <w:shd w:val="clear" w:color="auto" w:fill="auto"/>
          </w:tcPr>
          <w:p w:rsidR="00470846" w:rsidRDefault="00C71C23">
            <w:pPr>
              <w:widowControl w:val="0"/>
              <w:spacing w:after="0"/>
              <w:jc w:val="center"/>
              <w:rPr>
                <w:b/>
                <w:bCs/>
                <w:color w:val="FF0000"/>
              </w:rPr>
            </w:pPr>
            <w:r>
              <w:rPr>
                <w:rFonts w:eastAsia="Calibri" w:cs="Arial"/>
                <w:b/>
                <w:bCs/>
                <w:color w:val="FF0000"/>
              </w:rPr>
              <w:t>97</w:t>
            </w:r>
          </w:p>
        </w:tc>
      </w:tr>
      <w:tr w:rsidR="00470846" w:rsidTr="00470846">
        <w:trPr>
          <w:cnfStyle w:val="000000100000" w:firstRow="0" w:lastRow="0" w:firstColumn="0" w:lastColumn="0" w:oddVBand="0" w:evenVBand="0" w:oddHBand="1" w:evenHBand="0" w:firstRowFirstColumn="0" w:firstRowLastColumn="0" w:lastRowFirstColumn="0" w:lastRowLastColumn="0"/>
          <w:trHeight w:val="403"/>
        </w:trPr>
        <w:tc>
          <w:tcPr>
            <w:tcW w:w="601" w:type="dxa"/>
            <w:tcBorders>
              <w:top w:val="nil"/>
              <w:bottom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5</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60</w:t>
            </w:r>
          </w:p>
        </w:tc>
        <w:tc>
          <w:tcPr>
            <w:tcW w:w="2070" w:type="dxa"/>
            <w:gridSpan w:val="2"/>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Na</w:t>
            </w:r>
            <w:r>
              <w:rPr>
                <w:rFonts w:eastAsia="Calibri" w:cs="Arial"/>
                <w:color w:val="7B7B7B"/>
                <w:vertAlign w:val="subscript"/>
              </w:rPr>
              <w:t>2</w:t>
            </w:r>
            <w:r>
              <w:rPr>
                <w:rFonts w:eastAsia="Calibri" w:cs="Arial"/>
                <w:color w:val="7B7B7B"/>
              </w:rPr>
              <w:t>SO</w:t>
            </w:r>
            <w:r>
              <w:rPr>
                <w:rFonts w:eastAsia="Calibri" w:cs="Arial"/>
                <w:color w:val="7B7B7B"/>
                <w:vertAlign w:val="subscript"/>
              </w:rPr>
              <w:t>3</w:t>
            </w:r>
            <w:r>
              <w:rPr>
                <w:rFonts w:eastAsia="Calibri" w:cs="Arial"/>
                <w:color w:val="7B7B7B"/>
              </w:rPr>
              <w:t xml:space="preserve"> (3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94</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88</w:t>
            </w:r>
          </w:p>
        </w:tc>
      </w:tr>
      <w:tr w:rsidR="00470846" w:rsidTr="00470846">
        <w:trPr>
          <w:trHeight w:val="385"/>
        </w:trPr>
        <w:tc>
          <w:tcPr>
            <w:tcW w:w="601" w:type="dxa"/>
            <w:tcBorders>
              <w:top w:val="nil"/>
              <w:bottom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6</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 xml:space="preserve">Ascorbic acid </w:t>
            </w:r>
          </w:p>
          <w:p w:rsidR="00470846" w:rsidRDefault="00C71C23">
            <w:pPr>
              <w:widowControl w:val="0"/>
              <w:spacing w:after="0"/>
              <w:jc w:val="center"/>
              <w:rPr>
                <w:rFonts w:ascii="Calibri" w:hAnsi="Calibri"/>
                <w:color w:val="7B7B7B"/>
              </w:rPr>
            </w:pPr>
            <w:r>
              <w:rPr>
                <w:rFonts w:eastAsia="Calibri" w:cs="Arial"/>
                <w:color w:val="7B7B7B"/>
              </w:rPr>
              <w:t>(3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21</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99</w:t>
            </w:r>
          </w:p>
        </w:tc>
      </w:tr>
      <w:tr w:rsidR="00470846" w:rsidTr="00470846">
        <w:trPr>
          <w:cnfStyle w:val="000000100000" w:firstRow="0" w:lastRow="0" w:firstColumn="0" w:lastColumn="0" w:oddVBand="0" w:evenVBand="0" w:oddHBand="1" w:evenHBand="0" w:firstRowFirstColumn="0" w:firstRowLastColumn="0" w:lastRowFirstColumn="0" w:lastRowLastColumn="0"/>
          <w:trHeight w:val="395"/>
        </w:trPr>
        <w:tc>
          <w:tcPr>
            <w:tcW w:w="601" w:type="dxa"/>
            <w:tcBorders>
              <w:top w:val="nil"/>
              <w:bottom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7</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i/>
                <w:iCs/>
                <w:color w:val="7B7B7B"/>
              </w:rPr>
              <w:t>Tri</w:t>
            </w:r>
            <w:r>
              <w:rPr>
                <w:rFonts w:eastAsia="Calibri" w:cs="Arial"/>
                <w:color w:val="7B7B7B"/>
              </w:rPr>
              <w:t>-sodium citrate</w:t>
            </w:r>
          </w:p>
          <w:p w:rsidR="00470846" w:rsidRDefault="00C71C23">
            <w:pPr>
              <w:widowControl w:val="0"/>
              <w:spacing w:after="0"/>
              <w:jc w:val="center"/>
              <w:rPr>
                <w:rFonts w:ascii="Calibri" w:hAnsi="Calibri"/>
                <w:color w:val="7B7B7B"/>
              </w:rPr>
            </w:pPr>
            <w:r>
              <w:rPr>
                <w:rFonts w:eastAsia="Calibri" w:cs="Arial"/>
                <w:color w:val="7B7B7B"/>
              </w:rPr>
              <w:t>(3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29</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97</w:t>
            </w:r>
          </w:p>
        </w:tc>
      </w:tr>
      <w:tr w:rsidR="00470846" w:rsidTr="00470846">
        <w:trPr>
          <w:trHeight w:val="331"/>
        </w:trPr>
        <w:tc>
          <w:tcPr>
            <w:tcW w:w="601" w:type="dxa"/>
            <w:tcBorders>
              <w:top w:val="nil"/>
              <w:bottom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8</w:t>
            </w:r>
          </w:p>
        </w:tc>
        <w:tc>
          <w:tcPr>
            <w:tcW w:w="931" w:type="dxa"/>
            <w:gridSpan w:val="2"/>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NaHCO</w:t>
            </w:r>
            <w:r>
              <w:rPr>
                <w:rFonts w:eastAsia="Calibri" w:cs="Arial"/>
                <w:color w:val="7B7B7B"/>
                <w:vertAlign w:val="subscript"/>
              </w:rPr>
              <w:t>3</w:t>
            </w:r>
            <w:r>
              <w:rPr>
                <w:rFonts w:eastAsia="Calibri" w:cs="Arial"/>
                <w:color w:val="7B7B7B"/>
              </w:rPr>
              <w:t xml:space="preserve"> (3 eq)</w:t>
            </w:r>
          </w:p>
        </w:tc>
        <w:tc>
          <w:tcPr>
            <w:tcW w:w="1085"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bottom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39</w:t>
            </w:r>
          </w:p>
        </w:tc>
        <w:tc>
          <w:tcPr>
            <w:tcW w:w="1159" w:type="dxa"/>
            <w:tcBorders>
              <w:top w:val="nil"/>
              <w:bottom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86</w:t>
            </w:r>
          </w:p>
        </w:tc>
      </w:tr>
      <w:tr w:rsidR="00470846" w:rsidTr="00470846">
        <w:trPr>
          <w:cnfStyle w:val="000000100000" w:firstRow="0" w:lastRow="0" w:firstColumn="0" w:lastColumn="0" w:oddVBand="0" w:evenVBand="0" w:oddHBand="1" w:evenHBand="0" w:firstRowFirstColumn="0" w:firstRowLastColumn="0" w:lastRowFirstColumn="0" w:lastRowLastColumn="0"/>
          <w:trHeight w:val="477"/>
        </w:trPr>
        <w:tc>
          <w:tcPr>
            <w:tcW w:w="601" w:type="dxa"/>
            <w:tcBorders>
              <w:top w:val="nil"/>
            </w:tcBorders>
            <w:shd w:val="clear" w:color="auto" w:fill="auto"/>
          </w:tcPr>
          <w:p w:rsidR="00470846" w:rsidRDefault="00C71C23">
            <w:pPr>
              <w:widowControl w:val="0"/>
              <w:spacing w:after="0"/>
              <w:ind w:left="-1043" w:firstLine="990"/>
              <w:jc w:val="center"/>
              <w:rPr>
                <w:rFonts w:ascii="Calibri" w:hAnsi="Calibri"/>
                <w:color w:val="7B7B7B"/>
              </w:rPr>
            </w:pPr>
            <w:r>
              <w:rPr>
                <w:rFonts w:eastAsia="Calibri" w:cs="Arial"/>
                <w:color w:val="7B7B7B"/>
              </w:rPr>
              <w:t>9</w:t>
            </w:r>
          </w:p>
        </w:tc>
        <w:tc>
          <w:tcPr>
            <w:tcW w:w="931" w:type="dxa"/>
            <w:gridSpan w:val="2"/>
            <w:tcBorders>
              <w:top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40</w:t>
            </w:r>
          </w:p>
        </w:tc>
        <w:tc>
          <w:tcPr>
            <w:tcW w:w="2070" w:type="dxa"/>
            <w:gridSpan w:val="2"/>
            <w:tcBorders>
              <w:top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Na</w:t>
            </w:r>
            <w:r>
              <w:rPr>
                <w:rFonts w:eastAsia="Calibri" w:cs="Arial"/>
                <w:color w:val="7B7B7B"/>
                <w:vertAlign w:val="subscript"/>
              </w:rPr>
              <w:t>2</w:t>
            </w:r>
            <w:r>
              <w:rPr>
                <w:rFonts w:eastAsia="Calibri" w:cs="Arial"/>
                <w:color w:val="7B7B7B"/>
              </w:rPr>
              <w:t>CO</w:t>
            </w:r>
            <w:r>
              <w:rPr>
                <w:rFonts w:eastAsia="Calibri" w:cs="Arial"/>
                <w:color w:val="7B7B7B"/>
                <w:vertAlign w:val="subscript"/>
              </w:rPr>
              <w:t>3</w:t>
            </w:r>
            <w:r>
              <w:rPr>
                <w:rFonts w:eastAsia="Calibri" w:cs="Arial"/>
                <w:color w:val="7B7B7B"/>
              </w:rPr>
              <w:t xml:space="preserve"> (3 eq)</w:t>
            </w:r>
          </w:p>
        </w:tc>
        <w:tc>
          <w:tcPr>
            <w:tcW w:w="1085" w:type="dxa"/>
            <w:tcBorders>
              <w:top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6</w:t>
            </w:r>
          </w:p>
        </w:tc>
        <w:tc>
          <w:tcPr>
            <w:tcW w:w="809" w:type="dxa"/>
            <w:tcBorders>
              <w:top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R.T.</w:t>
            </w:r>
          </w:p>
        </w:tc>
        <w:tc>
          <w:tcPr>
            <w:tcW w:w="990" w:type="dxa"/>
            <w:tcBorders>
              <w:top w:val="nil"/>
            </w:tcBorders>
            <w:shd w:val="clear" w:color="auto" w:fill="auto"/>
          </w:tcPr>
          <w:p w:rsidR="00470846" w:rsidRDefault="00C71C23">
            <w:pPr>
              <w:widowControl w:val="0"/>
              <w:spacing w:after="0"/>
              <w:jc w:val="center"/>
              <w:rPr>
                <w:rFonts w:ascii="Calibri" w:eastAsia="Calibri" w:hAnsi="Calibri" w:cs="Arial"/>
              </w:rPr>
            </w:pPr>
            <w:r>
              <w:rPr>
                <w:rFonts w:eastAsia="Calibri" w:cs="Arial"/>
                <w:color w:val="7B7B7B"/>
              </w:rPr>
              <w:t>H</w:t>
            </w:r>
            <w:r>
              <w:rPr>
                <w:rFonts w:eastAsia="Calibri" w:cs="Arial"/>
                <w:color w:val="7B7B7B"/>
                <w:vertAlign w:val="subscript"/>
              </w:rPr>
              <w:t>2</w:t>
            </w:r>
            <w:r>
              <w:rPr>
                <w:rFonts w:eastAsia="Calibri" w:cs="Arial"/>
                <w:color w:val="7B7B7B"/>
              </w:rPr>
              <w:t>O</w:t>
            </w:r>
          </w:p>
        </w:tc>
        <w:tc>
          <w:tcPr>
            <w:tcW w:w="1893" w:type="dxa"/>
            <w:tcBorders>
              <w:top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94</w:t>
            </w:r>
          </w:p>
        </w:tc>
        <w:tc>
          <w:tcPr>
            <w:tcW w:w="1159" w:type="dxa"/>
            <w:tcBorders>
              <w:top w:val="nil"/>
            </w:tcBorders>
            <w:shd w:val="clear" w:color="auto" w:fill="auto"/>
          </w:tcPr>
          <w:p w:rsidR="00470846" w:rsidRDefault="00C71C23">
            <w:pPr>
              <w:widowControl w:val="0"/>
              <w:spacing w:after="0"/>
              <w:jc w:val="center"/>
              <w:rPr>
                <w:rFonts w:ascii="Calibri" w:hAnsi="Calibri"/>
                <w:color w:val="7B7B7B"/>
              </w:rPr>
            </w:pPr>
            <w:r>
              <w:rPr>
                <w:rFonts w:eastAsia="Calibri" w:cs="Arial"/>
                <w:color w:val="7B7B7B"/>
              </w:rPr>
              <w:t>52</w:t>
            </w:r>
          </w:p>
        </w:tc>
      </w:tr>
    </w:tbl>
    <w:p w:rsidR="00470846" w:rsidRDefault="00470846"/>
    <w:p w:rsidR="00470846" w:rsidRDefault="00C71C23" w:rsidP="00E8649C">
      <w:pPr>
        <w:jc w:val="lowKashida"/>
        <w:rPr>
          <w:lang w:bidi="fa-IR"/>
        </w:rPr>
      </w:pPr>
      <w:r>
        <w:rPr>
          <w:lang w:bidi="fa-IR"/>
        </w:rPr>
        <w:t xml:space="preserve">The chemical oxidation of sodium sulfite, as reducing agent, using radicals </w:t>
      </w:r>
      <w:r>
        <w:rPr>
          <w:vertAlign w:val="superscript"/>
          <w:lang w:bidi="fa-IR"/>
        </w:rPr>
        <w:t>26</w:t>
      </w:r>
      <w:r>
        <w:rPr>
          <w:lang w:bidi="fa-IR"/>
        </w:rPr>
        <w:t xml:space="preserve"> such as OH</w:t>
      </w:r>
      <w:r>
        <w:rPr>
          <w:vertAlign w:val="superscript"/>
          <w:lang w:bidi="fa-IR"/>
        </w:rPr>
        <w:t>•</w:t>
      </w:r>
      <w:r>
        <w:rPr>
          <w:lang w:bidi="fa-IR"/>
        </w:rPr>
        <w:t xml:space="preserve"> and NH</w:t>
      </w:r>
      <w:r>
        <w:rPr>
          <w:vertAlign w:val="subscript"/>
          <w:lang w:bidi="fa-IR"/>
        </w:rPr>
        <w:t>2</w:t>
      </w:r>
      <w:r>
        <w:rPr>
          <w:vertAlign w:val="superscript"/>
          <w:lang w:bidi="fa-IR"/>
        </w:rPr>
        <w:t>•</w:t>
      </w:r>
      <w:r>
        <w:rPr>
          <w:lang w:bidi="fa-IR"/>
        </w:rPr>
        <w:t>, or with oxidizing transition metals, for instance Mn(III)</w:t>
      </w:r>
      <w:r>
        <w:rPr>
          <w:vertAlign w:val="superscript"/>
          <w:lang w:bidi="fa-IR"/>
        </w:rPr>
        <w:t>27</w:t>
      </w:r>
      <w:r>
        <w:rPr>
          <w:lang w:bidi="fa-IR"/>
        </w:rPr>
        <w:t>, Ce(IV)</w:t>
      </w:r>
      <w:r>
        <w:rPr>
          <w:vertAlign w:val="superscript"/>
          <w:lang w:bidi="fa-IR"/>
        </w:rPr>
        <w:t>28</w:t>
      </w:r>
      <w:r>
        <w:rPr>
          <w:lang w:bidi="fa-IR"/>
        </w:rPr>
        <w:t xml:space="preserve"> and Fe(III)</w:t>
      </w:r>
      <w:r>
        <w:rPr>
          <w:vertAlign w:val="superscript"/>
          <w:lang w:bidi="fa-IR"/>
        </w:rPr>
        <w:t>29</w:t>
      </w:r>
      <w:r>
        <w:rPr>
          <w:lang w:bidi="fa-IR"/>
        </w:rPr>
        <w:t xml:space="preserve"> to generate sulfite radical anion, has been reported. The free produced sulfite radical anion is able to quickly combine with oxygen (Eq. 1) </w:t>
      </w:r>
      <w:r>
        <w:rPr>
          <w:vertAlign w:val="superscript"/>
          <w:lang w:bidi="fa-IR"/>
        </w:rPr>
        <w:t xml:space="preserve">30 </w:t>
      </w:r>
      <w:r>
        <w:rPr>
          <w:lang w:bidi="fa-IR"/>
        </w:rPr>
        <w:t>to</w:t>
      </w:r>
      <w:r>
        <w:rPr>
          <w:vertAlign w:val="superscript"/>
          <w:lang w:bidi="fa-IR"/>
        </w:rPr>
        <w:t xml:space="preserve"> </w:t>
      </w:r>
      <w:r>
        <w:rPr>
          <w:lang w:bidi="fa-IR"/>
        </w:rPr>
        <w:t>yield peroxomonosulfate radical anion, SO</w:t>
      </w:r>
      <w:r>
        <w:rPr>
          <w:vertAlign w:val="subscript"/>
          <w:lang w:bidi="fa-IR"/>
        </w:rPr>
        <w:t>5</w:t>
      </w:r>
      <w:r>
        <w:rPr>
          <w:vertAlign w:val="superscript"/>
          <w:lang w:bidi="fa-IR"/>
        </w:rPr>
        <w:t>•-</w:t>
      </w:r>
      <w:r>
        <w:rPr>
          <w:lang w:bidi="fa-IR"/>
        </w:rPr>
        <w:t>, which is known as a good oxidant according to its redox potential (</w:t>
      </w:r>
      <w:r>
        <w:rPr>
          <w:i/>
          <w:iCs/>
          <w:lang w:bidi="fa-IR"/>
        </w:rPr>
        <w:t>E</w:t>
      </w:r>
      <w:r>
        <w:rPr>
          <w:vertAlign w:val="superscript"/>
          <w:lang w:bidi="fa-IR"/>
        </w:rPr>
        <w:t>0</w:t>
      </w:r>
      <w:r>
        <w:rPr>
          <w:lang w:bidi="fa-IR"/>
        </w:rPr>
        <w:t xml:space="preserve"> = 0.86 V </w:t>
      </w:r>
      <w:r>
        <w:rPr>
          <w:i/>
          <w:iCs/>
          <w:lang w:bidi="fa-IR"/>
        </w:rPr>
        <w:t>versus</w:t>
      </w:r>
      <w:r>
        <w:rPr>
          <w:lang w:bidi="fa-IR"/>
        </w:rPr>
        <w:t xml:space="preserve"> SCE).</w:t>
      </w:r>
      <w:r>
        <w:rPr>
          <w:vertAlign w:val="superscript"/>
          <w:lang w:bidi="fa-IR"/>
        </w:rPr>
        <w:t>26</w:t>
      </w:r>
    </w:p>
    <w:p w:rsidR="00470846" w:rsidRDefault="00C71C23" w:rsidP="00E8649C">
      <w:pPr>
        <w:jc w:val="lowKashida"/>
        <w:rPr>
          <w:lang w:bidi="fa-IR"/>
        </w:rPr>
      </w:pPr>
      <w:r>
        <w:rPr>
          <w:noProof/>
        </w:rPr>
        <mc:AlternateContent>
          <mc:Choice Requires="wps">
            <w:drawing>
              <wp:anchor distT="37465" distB="38100" distL="635" distR="635" simplePos="0" relativeHeight="251649024" behindDoc="0" locked="0" layoutInCell="0" allowOverlap="1" wp14:anchorId="67D505AD">
                <wp:simplePos x="0" y="0"/>
                <wp:positionH relativeFrom="column">
                  <wp:posOffset>628650</wp:posOffset>
                </wp:positionH>
                <wp:positionV relativeFrom="paragraph">
                  <wp:posOffset>80645</wp:posOffset>
                </wp:positionV>
                <wp:extent cx="381000" cy="635"/>
                <wp:effectExtent l="635" t="37465" r="635" b="38100"/>
                <wp:wrapNone/>
                <wp:docPr id="15" name="Straight Arrow Connector 1"/>
                <wp:cNvGraphicFramePr/>
                <a:graphic xmlns:a="http://schemas.openxmlformats.org/drawingml/2006/main">
                  <a:graphicData uri="http://schemas.microsoft.com/office/word/2010/wordprocessingShape">
                    <wps:wsp>
                      <wps:cNvCnPr/>
                      <wps:spPr>
                        <a:xfrm>
                          <a:off x="0" y="0"/>
                          <a:ext cx="380880" cy="720"/>
                        </a:xfrm>
                        <a:prstGeom prst="straightConnector1">
                          <a:avLst/>
                        </a:prstGeom>
                        <a:noFill/>
                        <a:ln>
                          <a:solidFill>
                            <a:srgbClr val="00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shapetype id="_x0000_t32" coordsize="21600,21600" o:spt="32" path="m,l21600,21600nfe">
                <v:stroke joinstyle="miter"/>
                <v:path gradientshapeok="t" o:connecttype="rect" textboxrect="0,0,21600,21600"/>
              </v:shapetype>
              <v:shape id="shape_0" ID="Straight Arrow Connector 1" path="m0,0l-2147483648,-2147483647e" stroked="t" o:allowincell="f" style="position:absolute;margin-left:49.5pt;margin-top:6.35pt;width:29.95pt;height:0pt;mso-wrap-style:none;v-text-anchor:middle" wp14:anchorId="67D505AD" type="_x0000_t32">
                <v:fill o:detectmouseclick="t" on="false"/>
                <v:stroke color="black" weight="6480" endarrow="block" endarrowwidth="medium" endarrowlength="medium" joinstyle="miter" endcap="flat"/>
                <w10:wrap type="none"/>
              </v:shape>
            </w:pict>
          </mc:Fallback>
        </mc:AlternateContent>
      </w:r>
      <w:r>
        <w:rPr>
          <w:lang w:bidi="fa-IR"/>
        </w:rPr>
        <w:t>SO</w:t>
      </w:r>
      <w:r>
        <w:rPr>
          <w:vertAlign w:val="subscript"/>
          <w:lang w:bidi="fa-IR"/>
        </w:rPr>
        <w:t>3</w:t>
      </w:r>
      <w:r>
        <w:rPr>
          <w:vertAlign w:val="superscript"/>
          <w:lang w:bidi="fa-IR"/>
        </w:rPr>
        <w:t>•-</w:t>
      </w:r>
      <w:r>
        <w:rPr>
          <w:lang w:bidi="fa-IR"/>
        </w:rPr>
        <w:t xml:space="preserve"> + O</w:t>
      </w:r>
      <w:r>
        <w:rPr>
          <w:vertAlign w:val="subscript"/>
          <w:lang w:bidi="fa-IR"/>
        </w:rPr>
        <w:t>2</w:t>
      </w:r>
      <w:r>
        <w:rPr>
          <w:lang w:bidi="fa-IR"/>
        </w:rPr>
        <w:t xml:space="preserve">                SO</w:t>
      </w:r>
      <w:r>
        <w:rPr>
          <w:vertAlign w:val="subscript"/>
          <w:lang w:bidi="fa-IR"/>
        </w:rPr>
        <w:t>5</w:t>
      </w:r>
      <w:r>
        <w:rPr>
          <w:vertAlign w:val="superscript"/>
          <w:lang w:bidi="fa-IR"/>
        </w:rPr>
        <w:t>•-</w:t>
      </w:r>
      <w:r>
        <w:rPr>
          <w:lang w:bidi="fa-IR"/>
        </w:rPr>
        <w:t xml:space="preserve">    </w:t>
      </w:r>
      <w:r>
        <w:rPr>
          <w:rFonts w:asciiTheme="majorBidi" w:hAnsiTheme="majorBidi" w:cstheme="majorBidi"/>
          <w:i/>
          <w:iCs/>
          <w:lang w:bidi="fa-IR"/>
        </w:rPr>
        <w:t>k</w:t>
      </w:r>
      <w:r>
        <w:rPr>
          <w:lang w:bidi="fa-IR"/>
        </w:rPr>
        <w:t xml:space="preserve"> = 1.5 × 10</w:t>
      </w:r>
      <w:r>
        <w:rPr>
          <w:vertAlign w:val="superscript"/>
          <w:lang w:bidi="fa-IR"/>
        </w:rPr>
        <w:t>9</w:t>
      </w:r>
      <w:r>
        <w:rPr>
          <w:lang w:bidi="fa-IR"/>
        </w:rPr>
        <w:t xml:space="preserve"> M</w:t>
      </w:r>
      <w:r>
        <w:rPr>
          <w:vertAlign w:val="superscript"/>
          <w:lang w:bidi="fa-IR"/>
        </w:rPr>
        <w:t>-1</w:t>
      </w:r>
      <w:r>
        <w:rPr>
          <w:lang w:bidi="fa-IR"/>
        </w:rPr>
        <w:t xml:space="preserve"> s</w:t>
      </w:r>
      <w:r>
        <w:rPr>
          <w:vertAlign w:val="superscript"/>
          <w:lang w:bidi="fa-IR"/>
        </w:rPr>
        <w:t>-1</w:t>
      </w:r>
      <w:r>
        <w:rPr>
          <w:lang w:bidi="fa-IR"/>
        </w:rPr>
        <w:t xml:space="preserve">       (Eq. 1)</w:t>
      </w:r>
    </w:p>
    <w:p w:rsidR="00470846" w:rsidRDefault="00C71C23" w:rsidP="00E8649C">
      <w:pPr>
        <w:jc w:val="lowKashida"/>
        <w:rPr>
          <w:lang w:bidi="fa-IR"/>
        </w:rPr>
      </w:pPr>
      <w:r>
        <w:rPr>
          <w:lang w:bidi="fa-IR"/>
        </w:rPr>
        <w:t>The product of one-electron reduction of SO</w:t>
      </w:r>
      <w:r>
        <w:rPr>
          <w:vertAlign w:val="subscript"/>
          <w:lang w:bidi="fa-IR"/>
        </w:rPr>
        <w:t>5</w:t>
      </w:r>
      <w:r>
        <w:rPr>
          <w:vertAlign w:val="superscript"/>
          <w:lang w:bidi="fa-IR"/>
        </w:rPr>
        <w:t>•-</w:t>
      </w:r>
      <w:r>
        <w:rPr>
          <w:lang w:bidi="fa-IR"/>
        </w:rPr>
        <w:t xml:space="preserve"> is SO</w:t>
      </w:r>
      <w:r>
        <w:rPr>
          <w:vertAlign w:val="subscript"/>
          <w:lang w:bidi="fa-IR"/>
        </w:rPr>
        <w:t>5</w:t>
      </w:r>
      <w:r>
        <w:rPr>
          <w:vertAlign w:val="superscript"/>
          <w:lang w:bidi="fa-IR"/>
        </w:rPr>
        <w:t>2-</w:t>
      </w:r>
      <w:r>
        <w:rPr>
          <w:lang w:bidi="fa-IR"/>
        </w:rPr>
        <w:t xml:space="preserve"> with two-electron redox potential of </w:t>
      </w:r>
      <w:r>
        <w:rPr>
          <w:i/>
          <w:iCs/>
          <w:lang w:bidi="fa-IR"/>
        </w:rPr>
        <w:t>E</w:t>
      </w:r>
      <w:r>
        <w:rPr>
          <w:vertAlign w:val="superscript"/>
          <w:lang w:bidi="fa-IR"/>
        </w:rPr>
        <w:t>0</w:t>
      </w:r>
      <w:r>
        <w:rPr>
          <w:lang w:bidi="fa-IR"/>
        </w:rPr>
        <w:t xml:space="preserve"> = 1.58 V </w:t>
      </w:r>
      <w:r>
        <w:rPr>
          <w:i/>
          <w:iCs/>
          <w:lang w:bidi="fa-IR"/>
        </w:rPr>
        <w:t>versus</w:t>
      </w:r>
      <w:r>
        <w:rPr>
          <w:lang w:bidi="fa-IR"/>
        </w:rPr>
        <w:t xml:space="preserve"> SCE which obviously confirms its capability in oxidation reactions (Eq. 2).</w:t>
      </w:r>
      <w:r>
        <w:rPr>
          <w:vertAlign w:val="superscript"/>
          <w:lang w:bidi="fa-IR"/>
        </w:rPr>
        <w:t>31</w:t>
      </w:r>
    </w:p>
    <w:p w:rsidR="00470846" w:rsidRDefault="00C71C23" w:rsidP="00E8649C">
      <w:pPr>
        <w:jc w:val="lowKashida"/>
        <w:rPr>
          <w:lang w:bidi="fa-IR"/>
        </w:rPr>
      </w:pPr>
      <w:r>
        <w:rPr>
          <w:noProof/>
        </w:rPr>
        <mc:AlternateContent>
          <mc:Choice Requires="wps">
            <w:drawing>
              <wp:anchor distT="37465" distB="38100" distL="635" distR="635" simplePos="0" relativeHeight="251650048" behindDoc="0" locked="0" layoutInCell="0" allowOverlap="1" wp14:anchorId="41AF744C">
                <wp:simplePos x="0" y="0"/>
                <wp:positionH relativeFrom="column">
                  <wp:posOffset>1066800</wp:posOffset>
                </wp:positionH>
                <wp:positionV relativeFrom="paragraph">
                  <wp:posOffset>94615</wp:posOffset>
                </wp:positionV>
                <wp:extent cx="381000" cy="635"/>
                <wp:effectExtent l="635" t="37465" r="635" b="38100"/>
                <wp:wrapNone/>
                <wp:docPr id="16" name="Straight Arrow Connector 2"/>
                <wp:cNvGraphicFramePr/>
                <a:graphic xmlns:a="http://schemas.openxmlformats.org/drawingml/2006/main">
                  <a:graphicData uri="http://schemas.microsoft.com/office/word/2010/wordprocessingShape">
                    <wps:wsp>
                      <wps:cNvCnPr/>
                      <wps:spPr>
                        <a:xfrm>
                          <a:off x="0" y="0"/>
                          <a:ext cx="380880" cy="720"/>
                        </a:xfrm>
                        <a:prstGeom prst="straightConnector1">
                          <a:avLst/>
                        </a:prstGeom>
                        <a:noFill/>
                        <a:ln w="6350">
                          <a:solidFill>
                            <a:srgbClr val="000000"/>
                          </a:solidFill>
                          <a:miter/>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Straight Arrow Connector 2" path="m0,0l-2147483648,-2147483647e" stroked="t" o:allowincell="f" style="position:absolute;margin-left:84pt;margin-top:7.45pt;width:29.95pt;height:0pt;mso-wrap-style:none;v-text-anchor:middle" wp14:anchorId="41AF744C" type="_x0000_t32">
                <v:fill o:detectmouseclick="t" on="false"/>
                <v:stroke color="black" weight="6480" endarrow="block" endarrowwidth="medium" endarrowlength="medium" joinstyle="miter" endcap="flat"/>
                <w10:wrap type="none"/>
              </v:shape>
            </w:pict>
          </mc:Fallback>
        </mc:AlternateContent>
      </w:r>
      <w:r>
        <w:rPr>
          <w:lang w:bidi="fa-IR"/>
        </w:rPr>
        <w:t>HSO</w:t>
      </w:r>
      <w:r>
        <w:rPr>
          <w:vertAlign w:val="subscript"/>
          <w:lang w:bidi="fa-IR"/>
        </w:rPr>
        <w:t>5</w:t>
      </w:r>
      <w:r>
        <w:rPr>
          <w:vertAlign w:val="superscript"/>
          <w:lang w:bidi="fa-IR"/>
        </w:rPr>
        <w:t>-</w:t>
      </w:r>
      <w:r>
        <w:rPr>
          <w:lang w:bidi="fa-IR"/>
        </w:rPr>
        <w:t xml:space="preserve"> + 2 H</w:t>
      </w:r>
      <w:r>
        <w:rPr>
          <w:vertAlign w:val="superscript"/>
          <w:lang w:bidi="fa-IR"/>
        </w:rPr>
        <w:t>+</w:t>
      </w:r>
      <w:r>
        <w:rPr>
          <w:lang w:bidi="fa-IR"/>
        </w:rPr>
        <w:t xml:space="preserve"> + 2 e</w:t>
      </w:r>
      <w:r>
        <w:rPr>
          <w:vertAlign w:val="superscript"/>
          <w:lang w:bidi="fa-IR"/>
        </w:rPr>
        <w:t xml:space="preserve">-                         </w:t>
      </w:r>
      <w:r>
        <w:rPr>
          <w:lang w:bidi="fa-IR"/>
        </w:rPr>
        <w:t>HSO</w:t>
      </w:r>
      <w:r>
        <w:rPr>
          <w:vertAlign w:val="subscript"/>
          <w:lang w:bidi="fa-IR"/>
        </w:rPr>
        <w:t>4</w:t>
      </w:r>
      <w:r>
        <w:rPr>
          <w:vertAlign w:val="superscript"/>
          <w:lang w:bidi="fa-IR"/>
        </w:rPr>
        <w:t>-</w:t>
      </w:r>
      <w:r>
        <w:rPr>
          <w:lang w:bidi="fa-IR"/>
        </w:rPr>
        <w:t xml:space="preserve"> + H</w:t>
      </w:r>
      <w:r>
        <w:rPr>
          <w:vertAlign w:val="subscript"/>
          <w:lang w:bidi="fa-IR"/>
        </w:rPr>
        <w:t>2</w:t>
      </w:r>
      <w:r>
        <w:rPr>
          <w:lang w:bidi="fa-IR"/>
        </w:rPr>
        <w:t>O                 (Eq.  2)</w:t>
      </w:r>
    </w:p>
    <w:p w:rsidR="00470846" w:rsidRDefault="00C71C23" w:rsidP="00E8649C">
      <w:pPr>
        <w:jc w:val="lowKashida"/>
        <w:rPr>
          <w:lang w:bidi="fa-IR"/>
        </w:rPr>
      </w:pPr>
      <w:r>
        <w:rPr>
          <w:lang w:bidi="fa-IR"/>
        </w:rPr>
        <w:t xml:space="preserve">There are only a few reports on the use of </w:t>
      </w:r>
      <w:r>
        <w:rPr>
          <w:i/>
          <w:iCs/>
          <w:lang w:bidi="fa-IR"/>
        </w:rPr>
        <w:t>in situ</w:t>
      </w:r>
      <w:r>
        <w:rPr>
          <w:lang w:bidi="fa-IR"/>
        </w:rPr>
        <w:t xml:space="preserve"> formation of HSO</w:t>
      </w:r>
      <w:r>
        <w:rPr>
          <w:vertAlign w:val="subscript"/>
          <w:lang w:bidi="fa-IR"/>
        </w:rPr>
        <w:t>5</w:t>
      </w:r>
      <w:r>
        <w:rPr>
          <w:vertAlign w:val="superscript"/>
          <w:lang w:bidi="fa-IR"/>
        </w:rPr>
        <w:t>-</w:t>
      </w:r>
      <w:r>
        <w:rPr>
          <w:lang w:bidi="fa-IR"/>
        </w:rPr>
        <w:t xml:space="preserve"> from SO</w:t>
      </w:r>
      <w:r>
        <w:rPr>
          <w:vertAlign w:val="subscript"/>
          <w:lang w:bidi="fa-IR"/>
        </w:rPr>
        <w:t>3</w:t>
      </w:r>
      <w:r>
        <w:rPr>
          <w:vertAlign w:val="superscript"/>
          <w:lang w:bidi="fa-IR"/>
        </w:rPr>
        <w:t>2-</w:t>
      </w:r>
      <w:r>
        <w:rPr>
          <w:lang w:bidi="fa-IR"/>
        </w:rPr>
        <w:t xml:space="preserve"> and O</w:t>
      </w:r>
      <w:r>
        <w:rPr>
          <w:vertAlign w:val="subscript"/>
          <w:lang w:bidi="fa-IR"/>
        </w:rPr>
        <w:t>2</w:t>
      </w:r>
      <w:r>
        <w:rPr>
          <w:lang w:bidi="fa-IR"/>
        </w:rPr>
        <w:t xml:space="preserve">, which has been particularly focused on the iron and manganese porphyrins, and polyoxometalates. </w:t>
      </w:r>
      <w:r>
        <w:rPr>
          <w:vertAlign w:val="superscript"/>
          <w:lang w:bidi="fa-IR"/>
        </w:rPr>
        <w:t>32</w:t>
      </w:r>
    </w:p>
    <w:p w:rsidR="00470846" w:rsidRDefault="00C71C23" w:rsidP="00E8649C">
      <w:pPr>
        <w:jc w:val="lowKashida"/>
        <w:rPr>
          <w:lang w:bidi="fa-IR"/>
        </w:rPr>
      </w:pPr>
      <w:r>
        <w:rPr>
          <w:lang w:bidi="fa-IR"/>
        </w:rPr>
        <w:t>Regarding these studies, it could be assumed that the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-APTES-FeL</w:t>
      </w:r>
      <w:r>
        <w:rPr>
          <w:vertAlign w:val="superscript"/>
          <w:lang w:bidi="fa-IR"/>
        </w:rPr>
        <w:t>AE</w:t>
      </w:r>
      <w:r>
        <w:rPr>
          <w:lang w:bidi="fa-IR"/>
        </w:rPr>
        <w:t xml:space="preserve"> catalyze the one-electron oxidation of sulfite anion to yield SO</w:t>
      </w:r>
      <w:r>
        <w:rPr>
          <w:vertAlign w:val="subscript"/>
          <w:lang w:bidi="fa-IR"/>
        </w:rPr>
        <w:t>5</w:t>
      </w:r>
      <w:r>
        <w:rPr>
          <w:vertAlign w:val="superscript"/>
          <w:lang w:bidi="fa-IR"/>
        </w:rPr>
        <w:t>•-</w:t>
      </w:r>
      <w:r>
        <w:rPr>
          <w:lang w:bidi="fa-IR"/>
        </w:rPr>
        <w:t>, which undergoes fast reaction with O</w:t>
      </w:r>
      <w:r>
        <w:rPr>
          <w:vertAlign w:val="subscript"/>
          <w:lang w:bidi="fa-IR"/>
        </w:rPr>
        <w:t>2</w:t>
      </w:r>
      <w:r>
        <w:rPr>
          <w:lang w:bidi="fa-IR"/>
        </w:rPr>
        <w:t xml:space="preserve"> to in situ formation of peroxosulphate species for efficient epoxidation of alkene.</w:t>
      </w:r>
    </w:p>
    <w:p w:rsidR="00470846" w:rsidRDefault="00C71C23" w:rsidP="00E8649C">
      <w:pPr>
        <w:jc w:val="lowKashida"/>
        <w:rPr>
          <w:lang w:bidi="fa-IR"/>
        </w:rPr>
      </w:pPr>
      <w:r>
        <w:rPr>
          <w:lang w:bidi="fa-IR"/>
        </w:rPr>
        <w:t>To verify this assumption, we carried out the reaction in the presence of a radical scavenger agent (TEMPO, 1 eq) under standard conditions. However, it was expected that the TEMPO radicals would be able to trap the SO</w:t>
      </w:r>
      <w:r>
        <w:rPr>
          <w:vertAlign w:val="subscript"/>
          <w:lang w:bidi="fa-IR"/>
        </w:rPr>
        <w:t>5</w:t>
      </w:r>
      <w:r>
        <w:rPr>
          <w:vertAlign w:val="superscript"/>
          <w:lang w:bidi="fa-IR"/>
        </w:rPr>
        <w:t>•-</w:t>
      </w:r>
      <w:r>
        <w:rPr>
          <w:lang w:bidi="fa-IR"/>
        </w:rPr>
        <w:t xml:space="preserve"> species and interrupt the radical chain, but surprisingly, the efficiency of alkene epoxidation was enhanced considerably (total conversion in 4 h but lower selectivity) which rejected our hypothesis about the radical reaction route and producing SO</w:t>
      </w:r>
      <w:r>
        <w:rPr>
          <w:vertAlign w:val="subscript"/>
          <w:lang w:bidi="fa-IR"/>
        </w:rPr>
        <w:t>5</w:t>
      </w:r>
      <w:r>
        <w:rPr>
          <w:vertAlign w:val="superscript"/>
          <w:lang w:bidi="fa-IR"/>
        </w:rPr>
        <w:t>•-</w:t>
      </w:r>
      <w:r>
        <w:rPr>
          <w:lang w:bidi="fa-IR"/>
        </w:rPr>
        <w:t>. Consequently, the non-radical procedure theory via high valent [Fe(IV)=O] or [Fe(V)=O] intermediates production, would be more feasible.</w:t>
      </w:r>
    </w:p>
    <w:p w:rsidR="00470846" w:rsidRDefault="00C71C23" w:rsidP="00AD057B">
      <w:pPr>
        <w:jc w:val="lowKashida"/>
        <w:rPr>
          <w:lang w:bidi="fa-IR"/>
        </w:rPr>
      </w:pPr>
      <w:r>
        <w:rPr>
          <w:lang w:bidi="fa-IR"/>
        </w:rPr>
        <w:t>On the other hand, it seems that TEMPO could accomplish the epoxidation reaction in another parallel orientation which was confirmed by running a test reaction with TEMPO in the absence of sodium sulfite. Therefore, the new optimized conditions for aerobic epoxidation reaction of cyclopentene using TEMPO was inspected (Table 2). The conversion was enhanced along with increasing TEMPO equivalents but selectivity was decreased remarkably which was probably caused by radical chain propagation. Increasing catalyst amount up to 60 mg did not affect the conversion and selectivity (Table 2, entry 8), while decreasing it to 20 mg caused lower conversion (Table 2, entry 9), which proved that the ideal catalyst content per 1 mmol alkene in epoxidation reaction was 0.023 mmol (Table 2, entry 7). Correspondingly, a blank reaction was performed without catalyst in the presence of TEMPO (0.5 equivalent) and the resulted conversion was only 11% which proved the importance of catalyst role (Table 2, entry 10).</w:t>
      </w:r>
    </w:p>
    <w:p w:rsidR="00E8649C" w:rsidRDefault="00E8649C">
      <w:pPr>
        <w:rPr>
          <w:lang w:bidi="fa-IR"/>
        </w:rPr>
      </w:pPr>
    </w:p>
    <w:p w:rsidR="00470846" w:rsidRDefault="00C71C23">
      <w:pPr>
        <w:rPr>
          <w:b/>
          <w:bCs/>
          <w:sz w:val="20"/>
          <w:szCs w:val="20"/>
          <w:lang w:bidi="fa-IR"/>
        </w:rPr>
      </w:pPr>
      <w:r>
        <w:rPr>
          <w:b/>
          <w:bCs/>
          <w:sz w:val="20"/>
          <w:szCs w:val="20"/>
          <w:lang w:bidi="fa-IR"/>
        </w:rPr>
        <w:t xml:space="preserve">Table 2: </w:t>
      </w:r>
      <w:r>
        <w:rPr>
          <w:sz w:val="20"/>
          <w:szCs w:val="20"/>
          <w:lang w:bidi="fa-IR"/>
        </w:rPr>
        <w:t>The</w:t>
      </w:r>
      <w:r>
        <w:rPr>
          <w:b/>
          <w:bCs/>
          <w:sz w:val="20"/>
          <w:szCs w:val="20"/>
          <w:lang w:bidi="fa-IR"/>
        </w:rPr>
        <w:t xml:space="preserve"> </w:t>
      </w:r>
      <w:r>
        <w:rPr>
          <w:sz w:val="20"/>
          <w:szCs w:val="20"/>
          <w:lang w:bidi="fa-IR"/>
        </w:rPr>
        <w:t>optimization of catalytic epoxidation of cyclopentene in the presence of TEMPO</w:t>
      </w:r>
    </w:p>
    <w:tbl>
      <w:tblPr>
        <w:tblStyle w:val="ListTable6Colorful-Accent3"/>
        <w:tblpPr w:leftFromText="180" w:rightFromText="180" w:vertAnchor="text" w:horzAnchor="margin" w:tblpY="43"/>
        <w:tblW w:w="9080" w:type="dxa"/>
        <w:tblLayout w:type="fixed"/>
        <w:tblLook w:val="0420" w:firstRow="1" w:lastRow="0" w:firstColumn="0" w:lastColumn="0" w:noHBand="0" w:noVBand="1"/>
      </w:tblPr>
      <w:tblGrid>
        <w:gridCol w:w="721"/>
        <w:gridCol w:w="1076"/>
        <w:gridCol w:w="175"/>
        <w:gridCol w:w="1358"/>
        <w:gridCol w:w="892"/>
        <w:gridCol w:w="638"/>
        <w:gridCol w:w="1260"/>
        <w:gridCol w:w="1530"/>
        <w:gridCol w:w="1430"/>
      </w:tblGrid>
      <w:tr w:rsidR="00470846" w:rsidTr="00470846">
        <w:trPr>
          <w:cnfStyle w:val="100000000000" w:firstRow="1" w:lastRow="0" w:firstColumn="0" w:lastColumn="0" w:oddVBand="0" w:evenVBand="0" w:oddHBand="0" w:evenHBand="0" w:firstRowFirstColumn="0" w:firstRowLastColumn="0" w:lastRowFirstColumn="0" w:lastRowLastColumn="0"/>
          <w:trHeight w:val="530"/>
        </w:trPr>
        <w:tc>
          <w:tcPr>
            <w:tcW w:w="720"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Entry</w:t>
            </w:r>
          </w:p>
        </w:tc>
        <w:tc>
          <w:tcPr>
            <w:tcW w:w="1076"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Catalyst (mg)</w:t>
            </w:r>
          </w:p>
        </w:tc>
        <w:tc>
          <w:tcPr>
            <w:tcW w:w="1533" w:type="dxa"/>
            <w:gridSpan w:val="2"/>
            <w:shd w:val="clear" w:color="auto" w:fill="D9E2F3" w:themeFill="accent5" w:themeFillTint="33"/>
          </w:tcPr>
          <w:p w:rsidR="00470846" w:rsidRDefault="00C71C23">
            <w:pPr>
              <w:widowControl w:val="0"/>
              <w:jc w:val="center"/>
              <w:rPr>
                <w:lang w:bidi="fa-IR"/>
              </w:rPr>
            </w:pPr>
            <w:r>
              <w:rPr>
                <w:rFonts w:eastAsia="Calibri" w:cs="Arial"/>
                <w:color w:val="7B7B7B"/>
                <w:lang w:bidi="fa-IR"/>
              </w:rPr>
              <w:t>TEMPO (mmol)</w:t>
            </w:r>
          </w:p>
        </w:tc>
        <w:tc>
          <w:tcPr>
            <w:tcW w:w="892"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Time (h)</w:t>
            </w:r>
          </w:p>
        </w:tc>
        <w:tc>
          <w:tcPr>
            <w:tcW w:w="638"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T</w:t>
            </w:r>
          </w:p>
        </w:tc>
        <w:tc>
          <w:tcPr>
            <w:tcW w:w="1260"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Solvent (0.6 mL)</w:t>
            </w:r>
          </w:p>
        </w:tc>
        <w:tc>
          <w:tcPr>
            <w:tcW w:w="1530"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 Conversion</w:t>
            </w:r>
          </w:p>
        </w:tc>
        <w:tc>
          <w:tcPr>
            <w:tcW w:w="1430" w:type="dxa"/>
            <w:shd w:val="clear" w:color="auto" w:fill="D9E2F3" w:themeFill="accent5" w:themeFillTint="33"/>
          </w:tcPr>
          <w:p w:rsidR="00470846" w:rsidRDefault="00C71C23">
            <w:pPr>
              <w:widowControl w:val="0"/>
              <w:jc w:val="center"/>
              <w:rPr>
                <w:lang w:bidi="fa-IR"/>
              </w:rPr>
            </w:pPr>
            <w:r>
              <w:rPr>
                <w:rFonts w:eastAsia="Calibri" w:cs="Arial"/>
                <w:color w:val="7B7B7B"/>
                <w:lang w:bidi="fa-IR"/>
              </w:rPr>
              <w:t>% Selectivity</w:t>
            </w:r>
          </w:p>
        </w:tc>
      </w:tr>
      <w:tr w:rsidR="00470846" w:rsidTr="00470846">
        <w:trPr>
          <w:cnfStyle w:val="000000100000" w:firstRow="0" w:lastRow="0" w:firstColumn="0" w:lastColumn="0" w:oddVBand="0" w:evenVBand="0" w:oddHBand="1" w:evenHBand="0" w:firstRowFirstColumn="0" w:firstRowLastColumn="0" w:lastRowFirstColumn="0" w:lastRowLastColumn="0"/>
          <w:trHeight w:val="333"/>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1</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2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&gt;99</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33</w:t>
            </w:r>
          </w:p>
        </w:tc>
      </w:tr>
      <w:tr w:rsidR="00470846" w:rsidTr="00470846">
        <w:trPr>
          <w:trHeight w:val="402"/>
        </w:trPr>
        <w:tc>
          <w:tcPr>
            <w:tcW w:w="72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2</w:t>
            </w:r>
          </w:p>
        </w:tc>
        <w:tc>
          <w:tcPr>
            <w:tcW w:w="1251" w:type="dxa"/>
            <w:gridSpan w:val="2"/>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1 mmol</w:t>
            </w:r>
          </w:p>
        </w:tc>
        <w:tc>
          <w:tcPr>
            <w:tcW w:w="892"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&gt;99</w:t>
            </w:r>
          </w:p>
        </w:tc>
        <w:tc>
          <w:tcPr>
            <w:tcW w:w="143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40</w:t>
            </w:r>
          </w:p>
        </w:tc>
      </w:tr>
      <w:tr w:rsidR="00470846" w:rsidTr="00470846">
        <w:trPr>
          <w:cnfStyle w:val="000000100000" w:firstRow="0" w:lastRow="0" w:firstColumn="0" w:lastColumn="0" w:oddVBand="0" w:evenVBand="0" w:oddHBand="1" w:evenHBand="0" w:firstRowFirstColumn="0" w:firstRowLastColumn="0" w:lastRowFirstColumn="0" w:lastRowLastColumn="0"/>
          <w:trHeight w:val="301"/>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3</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0.5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92</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60</w:t>
            </w:r>
          </w:p>
        </w:tc>
      </w:tr>
      <w:tr w:rsidR="00470846" w:rsidTr="00470846">
        <w:trPr>
          <w:trHeight w:val="283"/>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0.25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79</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64</w:t>
            </w:r>
          </w:p>
        </w:tc>
      </w:tr>
      <w:tr w:rsidR="00470846" w:rsidTr="00470846">
        <w:trPr>
          <w:cnfStyle w:val="000000100000" w:firstRow="0" w:lastRow="0" w:firstColumn="0" w:lastColumn="0" w:oddVBand="0" w:evenVBand="0" w:oddHBand="1" w:evenHBand="0" w:firstRowFirstColumn="0" w:firstRowLastColumn="0" w:lastRowFirstColumn="0" w:lastRowLastColumn="0"/>
          <w:trHeight w:val="373"/>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5</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0.1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84</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75</w:t>
            </w:r>
          </w:p>
        </w:tc>
      </w:tr>
      <w:tr w:rsidR="00470846" w:rsidTr="00470846">
        <w:trPr>
          <w:trHeight w:val="504"/>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40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0.075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75</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95</w:t>
            </w:r>
          </w:p>
        </w:tc>
      </w:tr>
      <w:tr w:rsidR="00470846" w:rsidTr="00470846">
        <w:trPr>
          <w:cnfStyle w:val="000000100000" w:firstRow="0" w:lastRow="0" w:firstColumn="0" w:lastColumn="0" w:oddVBand="0" w:evenVBand="0" w:oddHBand="1" w:evenHBand="0" w:firstRowFirstColumn="0" w:firstRowLastColumn="0" w:lastRowFirstColumn="0" w:lastRowLastColumn="0"/>
          <w:trHeight w:val="445"/>
        </w:trPr>
        <w:tc>
          <w:tcPr>
            <w:tcW w:w="720"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7</w:t>
            </w:r>
          </w:p>
        </w:tc>
        <w:tc>
          <w:tcPr>
            <w:tcW w:w="1251" w:type="dxa"/>
            <w:gridSpan w:val="2"/>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40</w:t>
            </w:r>
          </w:p>
        </w:tc>
        <w:tc>
          <w:tcPr>
            <w:tcW w:w="1358"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0.05 mmol</w:t>
            </w:r>
          </w:p>
        </w:tc>
        <w:tc>
          <w:tcPr>
            <w:tcW w:w="892"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6</w:t>
            </w:r>
          </w:p>
        </w:tc>
        <w:tc>
          <w:tcPr>
            <w:tcW w:w="638"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R.T.</w:t>
            </w:r>
          </w:p>
        </w:tc>
        <w:tc>
          <w:tcPr>
            <w:tcW w:w="1260"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H</w:t>
            </w:r>
            <w:r>
              <w:rPr>
                <w:rFonts w:eastAsia="Calibri" w:cs="Arial"/>
                <w:b/>
                <w:bCs/>
                <w:color w:val="FF0000"/>
                <w:vertAlign w:val="subscript"/>
                <w:lang w:bidi="fa-IR"/>
              </w:rPr>
              <w:t>2</w:t>
            </w:r>
            <w:r>
              <w:rPr>
                <w:rFonts w:eastAsia="Calibri" w:cs="Arial"/>
                <w:b/>
                <w:bCs/>
                <w:color w:val="FF0000"/>
                <w:lang w:bidi="fa-IR"/>
              </w:rPr>
              <w:t>O</w:t>
            </w:r>
          </w:p>
        </w:tc>
        <w:tc>
          <w:tcPr>
            <w:tcW w:w="1530"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82</w:t>
            </w:r>
          </w:p>
        </w:tc>
        <w:tc>
          <w:tcPr>
            <w:tcW w:w="1430" w:type="dxa"/>
            <w:tcBorders>
              <w:top w:val="nil"/>
              <w:bottom w:val="nil"/>
            </w:tcBorders>
            <w:shd w:val="clear" w:color="auto" w:fill="auto"/>
          </w:tcPr>
          <w:p w:rsidR="00470846" w:rsidRDefault="00C71C23">
            <w:pPr>
              <w:widowControl w:val="0"/>
              <w:jc w:val="center"/>
              <w:rPr>
                <w:b/>
                <w:bCs/>
                <w:color w:val="FF0000"/>
                <w:lang w:bidi="fa-IR"/>
              </w:rPr>
            </w:pPr>
            <w:r>
              <w:rPr>
                <w:rFonts w:eastAsia="Calibri" w:cs="Arial"/>
                <w:b/>
                <w:bCs/>
                <w:color w:val="FF0000"/>
                <w:lang w:bidi="fa-IR"/>
              </w:rPr>
              <w:t>&gt;99</w:t>
            </w:r>
          </w:p>
        </w:tc>
      </w:tr>
      <w:tr w:rsidR="00470846" w:rsidTr="00470846">
        <w:trPr>
          <w:trHeight w:val="373"/>
        </w:trPr>
        <w:tc>
          <w:tcPr>
            <w:tcW w:w="72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8</w:t>
            </w:r>
          </w:p>
        </w:tc>
        <w:tc>
          <w:tcPr>
            <w:tcW w:w="1251" w:type="dxa"/>
            <w:gridSpan w:val="2"/>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60</w:t>
            </w:r>
          </w:p>
        </w:tc>
        <w:tc>
          <w:tcPr>
            <w:tcW w:w="1358"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0.05 mmol</w:t>
            </w:r>
          </w:p>
        </w:tc>
        <w:tc>
          <w:tcPr>
            <w:tcW w:w="892"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80</w:t>
            </w:r>
          </w:p>
        </w:tc>
        <w:tc>
          <w:tcPr>
            <w:tcW w:w="1430" w:type="dxa"/>
            <w:tcBorders>
              <w:top w:val="nil"/>
              <w:bottom w:val="nil"/>
            </w:tcBorders>
            <w:shd w:val="clear" w:color="auto" w:fill="auto"/>
          </w:tcPr>
          <w:p w:rsidR="00470846" w:rsidRDefault="00C71C23">
            <w:pPr>
              <w:widowControl w:val="0"/>
              <w:spacing w:after="0" w:line="240" w:lineRule="auto"/>
              <w:jc w:val="center"/>
              <w:rPr>
                <w:lang w:bidi="fa-IR"/>
              </w:rPr>
            </w:pPr>
            <w:r>
              <w:rPr>
                <w:rFonts w:eastAsia="Calibri" w:cs="Arial"/>
                <w:color w:val="7B7B7B"/>
                <w:lang w:bidi="fa-IR"/>
              </w:rPr>
              <w:t>&gt;99</w:t>
            </w:r>
          </w:p>
        </w:tc>
      </w:tr>
      <w:tr w:rsidR="00470846" w:rsidTr="00470846">
        <w:trPr>
          <w:cnfStyle w:val="000000100000" w:firstRow="0" w:lastRow="0" w:firstColumn="0" w:lastColumn="0" w:oddVBand="0" w:evenVBand="0" w:oddHBand="1" w:evenHBand="0" w:firstRowFirstColumn="0" w:firstRowLastColumn="0" w:lastRowFirstColumn="0" w:lastRowLastColumn="0"/>
          <w:trHeight w:val="373"/>
        </w:trPr>
        <w:tc>
          <w:tcPr>
            <w:tcW w:w="72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9</w:t>
            </w:r>
          </w:p>
        </w:tc>
        <w:tc>
          <w:tcPr>
            <w:tcW w:w="1251" w:type="dxa"/>
            <w:gridSpan w:val="2"/>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20</w:t>
            </w:r>
          </w:p>
        </w:tc>
        <w:tc>
          <w:tcPr>
            <w:tcW w:w="135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0.05 mmol</w:t>
            </w:r>
          </w:p>
        </w:tc>
        <w:tc>
          <w:tcPr>
            <w:tcW w:w="892"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6</w:t>
            </w:r>
          </w:p>
        </w:tc>
        <w:tc>
          <w:tcPr>
            <w:tcW w:w="638"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R.T.</w:t>
            </w:r>
          </w:p>
        </w:tc>
        <w:tc>
          <w:tcPr>
            <w:tcW w:w="126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55</w:t>
            </w:r>
          </w:p>
        </w:tc>
        <w:tc>
          <w:tcPr>
            <w:tcW w:w="1430" w:type="dxa"/>
            <w:tcBorders>
              <w:top w:val="nil"/>
              <w:bottom w:val="nil"/>
            </w:tcBorders>
            <w:shd w:val="clear" w:color="auto" w:fill="auto"/>
          </w:tcPr>
          <w:p w:rsidR="00470846" w:rsidRDefault="00C71C23">
            <w:pPr>
              <w:widowControl w:val="0"/>
              <w:jc w:val="center"/>
              <w:rPr>
                <w:lang w:bidi="fa-IR"/>
              </w:rPr>
            </w:pPr>
            <w:r>
              <w:rPr>
                <w:rFonts w:eastAsia="Calibri" w:cs="Arial"/>
                <w:color w:val="7B7B7B"/>
                <w:lang w:bidi="fa-IR"/>
              </w:rPr>
              <w:t>95</w:t>
            </w:r>
          </w:p>
        </w:tc>
      </w:tr>
      <w:tr w:rsidR="00470846" w:rsidTr="00470846">
        <w:trPr>
          <w:trHeight w:val="306"/>
        </w:trPr>
        <w:tc>
          <w:tcPr>
            <w:tcW w:w="720" w:type="dxa"/>
            <w:tcBorders>
              <w:top w:val="nil"/>
            </w:tcBorders>
          </w:tcPr>
          <w:p w:rsidR="00470846" w:rsidRDefault="00C71C23">
            <w:pPr>
              <w:widowControl w:val="0"/>
              <w:jc w:val="center"/>
              <w:rPr>
                <w:lang w:bidi="fa-IR"/>
              </w:rPr>
            </w:pPr>
            <w:r>
              <w:rPr>
                <w:rFonts w:eastAsia="Calibri" w:cs="Arial"/>
                <w:color w:val="7B7B7B"/>
                <w:lang w:bidi="fa-IR"/>
              </w:rPr>
              <w:t>10</w:t>
            </w:r>
          </w:p>
        </w:tc>
        <w:tc>
          <w:tcPr>
            <w:tcW w:w="1251" w:type="dxa"/>
            <w:gridSpan w:val="2"/>
            <w:tcBorders>
              <w:top w:val="nil"/>
            </w:tcBorders>
          </w:tcPr>
          <w:p w:rsidR="00470846" w:rsidRDefault="00C71C23">
            <w:pPr>
              <w:widowControl w:val="0"/>
              <w:jc w:val="center"/>
              <w:rPr>
                <w:lang w:bidi="fa-IR"/>
              </w:rPr>
            </w:pPr>
            <w:r>
              <w:rPr>
                <w:rFonts w:eastAsia="Calibri" w:cs="Arial"/>
                <w:color w:val="7B7B7B"/>
                <w:lang w:bidi="fa-IR"/>
              </w:rPr>
              <w:t>-</w:t>
            </w:r>
          </w:p>
        </w:tc>
        <w:tc>
          <w:tcPr>
            <w:tcW w:w="1358" w:type="dxa"/>
            <w:tcBorders>
              <w:top w:val="nil"/>
            </w:tcBorders>
          </w:tcPr>
          <w:p w:rsidR="00470846" w:rsidRDefault="00C71C23">
            <w:pPr>
              <w:widowControl w:val="0"/>
              <w:jc w:val="center"/>
              <w:rPr>
                <w:lang w:bidi="fa-IR"/>
              </w:rPr>
            </w:pPr>
            <w:r>
              <w:rPr>
                <w:rFonts w:eastAsia="Calibri" w:cs="Arial"/>
                <w:color w:val="7B7B7B"/>
                <w:lang w:bidi="fa-IR"/>
              </w:rPr>
              <w:t>0.5 mmol</w:t>
            </w:r>
          </w:p>
        </w:tc>
        <w:tc>
          <w:tcPr>
            <w:tcW w:w="892" w:type="dxa"/>
            <w:tcBorders>
              <w:top w:val="nil"/>
            </w:tcBorders>
          </w:tcPr>
          <w:p w:rsidR="00470846" w:rsidRDefault="00C71C23">
            <w:pPr>
              <w:widowControl w:val="0"/>
              <w:jc w:val="center"/>
              <w:rPr>
                <w:lang w:bidi="fa-IR"/>
              </w:rPr>
            </w:pPr>
            <w:r>
              <w:rPr>
                <w:rFonts w:eastAsia="Calibri" w:cs="Arial"/>
                <w:color w:val="7B7B7B"/>
                <w:lang w:bidi="fa-IR"/>
              </w:rPr>
              <w:t>6</w:t>
            </w:r>
          </w:p>
        </w:tc>
        <w:tc>
          <w:tcPr>
            <w:tcW w:w="638" w:type="dxa"/>
            <w:tcBorders>
              <w:top w:val="nil"/>
            </w:tcBorders>
          </w:tcPr>
          <w:p w:rsidR="00470846" w:rsidRDefault="00C71C23">
            <w:pPr>
              <w:widowControl w:val="0"/>
              <w:jc w:val="center"/>
              <w:rPr>
                <w:lang w:bidi="fa-IR"/>
              </w:rPr>
            </w:pPr>
            <w:r>
              <w:rPr>
                <w:rFonts w:eastAsia="Calibri" w:cs="Arial"/>
                <w:color w:val="7B7B7B"/>
                <w:lang w:bidi="fa-IR"/>
              </w:rPr>
              <w:t>R.T.</w:t>
            </w:r>
          </w:p>
        </w:tc>
        <w:tc>
          <w:tcPr>
            <w:tcW w:w="1260" w:type="dxa"/>
            <w:tcBorders>
              <w:top w:val="nil"/>
            </w:tcBorders>
          </w:tcPr>
          <w:p w:rsidR="00470846" w:rsidRDefault="00C71C23">
            <w:pPr>
              <w:widowControl w:val="0"/>
              <w:jc w:val="center"/>
              <w:rPr>
                <w:lang w:bidi="fa-IR"/>
              </w:rPr>
            </w:pPr>
            <w:r>
              <w:rPr>
                <w:rFonts w:eastAsia="Calibri" w:cs="Arial"/>
                <w:color w:val="7B7B7B"/>
                <w:lang w:bidi="fa-IR"/>
              </w:rPr>
              <w:t>H</w:t>
            </w:r>
            <w:r>
              <w:rPr>
                <w:rFonts w:eastAsia="Calibri" w:cs="Arial"/>
                <w:color w:val="7B7B7B"/>
                <w:vertAlign w:val="subscript"/>
                <w:lang w:bidi="fa-IR"/>
              </w:rPr>
              <w:t>2</w:t>
            </w:r>
            <w:r>
              <w:rPr>
                <w:rFonts w:eastAsia="Calibri" w:cs="Arial"/>
                <w:color w:val="7B7B7B"/>
                <w:lang w:bidi="fa-IR"/>
              </w:rPr>
              <w:t>O</w:t>
            </w:r>
          </w:p>
        </w:tc>
        <w:tc>
          <w:tcPr>
            <w:tcW w:w="1530" w:type="dxa"/>
            <w:tcBorders>
              <w:top w:val="nil"/>
            </w:tcBorders>
          </w:tcPr>
          <w:p w:rsidR="00470846" w:rsidRDefault="00C71C23">
            <w:pPr>
              <w:widowControl w:val="0"/>
              <w:jc w:val="center"/>
              <w:rPr>
                <w:lang w:bidi="fa-IR"/>
              </w:rPr>
            </w:pPr>
            <w:r>
              <w:rPr>
                <w:rFonts w:eastAsia="Calibri" w:cs="Arial"/>
                <w:color w:val="7B7B7B"/>
                <w:lang w:bidi="fa-IR"/>
              </w:rPr>
              <w:t>11</w:t>
            </w:r>
          </w:p>
        </w:tc>
        <w:tc>
          <w:tcPr>
            <w:tcW w:w="1430" w:type="dxa"/>
            <w:tcBorders>
              <w:top w:val="nil"/>
            </w:tcBorders>
          </w:tcPr>
          <w:p w:rsidR="00470846" w:rsidRDefault="00C71C23">
            <w:pPr>
              <w:widowControl w:val="0"/>
              <w:jc w:val="center"/>
              <w:rPr>
                <w:lang w:bidi="fa-IR"/>
              </w:rPr>
            </w:pPr>
            <w:r>
              <w:rPr>
                <w:rFonts w:eastAsia="Calibri" w:cs="Arial"/>
                <w:color w:val="7B7B7B"/>
                <w:lang w:bidi="fa-IR"/>
              </w:rPr>
              <w:t>90</w:t>
            </w:r>
          </w:p>
        </w:tc>
      </w:tr>
    </w:tbl>
    <w:p w:rsidR="00470846" w:rsidRDefault="00470846">
      <w:pPr>
        <w:rPr>
          <w:b/>
          <w:bCs/>
          <w:lang w:bidi="fa-IR"/>
        </w:rPr>
      </w:pPr>
    </w:p>
    <w:p w:rsidR="00470846" w:rsidRDefault="00470846">
      <w:pPr>
        <w:rPr>
          <w:b/>
          <w:bCs/>
          <w:lang w:bidi="fa-IR"/>
        </w:rPr>
      </w:pPr>
    </w:p>
    <w:p w:rsidR="00470846" w:rsidRDefault="00C71C23">
      <w:pPr>
        <w:rPr>
          <w:b/>
          <w:bCs/>
          <w:lang w:bidi="fa-IR"/>
        </w:rPr>
      </w:pPr>
      <w:r>
        <w:rPr>
          <w:b/>
          <w:bCs/>
          <w:lang w:bidi="fa-IR"/>
        </w:rPr>
        <w:t>Suggested mechanisms</w:t>
      </w:r>
    </w:p>
    <w:p w:rsidR="00470846" w:rsidRDefault="00C71C23" w:rsidP="00E667B1">
      <w:pPr>
        <w:jc w:val="lowKashida"/>
        <w:rPr>
          <w:sz w:val="24"/>
          <w:szCs w:val="24"/>
        </w:rPr>
      </w:pPr>
      <w:r>
        <w:rPr>
          <w:lang w:bidi="fa-IR"/>
        </w:rPr>
        <w:t>According to the evidence, the catalytic aerobic epoxidation reaction of alkenes using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-APTES-FeL</w:t>
      </w:r>
      <w:r>
        <w:rPr>
          <w:vertAlign w:val="superscript"/>
          <w:lang w:bidi="fa-IR"/>
        </w:rPr>
        <w:t>AE</w:t>
      </w:r>
      <w:r>
        <w:rPr>
          <w:lang w:bidi="fa-IR"/>
        </w:rPr>
        <w:t xml:space="preserve"> and Na</w:t>
      </w:r>
      <w:r>
        <w:rPr>
          <w:vertAlign w:val="subscript"/>
          <w:lang w:bidi="fa-IR"/>
        </w:rPr>
        <w:t>2</w:t>
      </w:r>
      <w:r>
        <w:rPr>
          <w:lang w:bidi="fa-IR"/>
        </w:rPr>
        <w:t>SO</w:t>
      </w:r>
      <w:r>
        <w:rPr>
          <w:vertAlign w:val="subscript"/>
          <w:lang w:bidi="fa-IR"/>
        </w:rPr>
        <w:t>3</w:t>
      </w:r>
      <w:r>
        <w:rPr>
          <w:lang w:bidi="fa-IR"/>
        </w:rPr>
        <w:t xml:space="preserve"> has been followed through a non-radical procedure and generation of high-valent iron-oxo intermediates very similar to the enzymatic behavior. In keeping with Scheme 2, SO</w:t>
      </w:r>
      <w:r>
        <w:rPr>
          <w:vertAlign w:val="subscript"/>
          <w:lang w:bidi="fa-IR"/>
        </w:rPr>
        <w:t>3</w:t>
      </w:r>
      <w:r>
        <w:rPr>
          <w:vertAlign w:val="superscript"/>
          <w:lang w:bidi="fa-IR"/>
        </w:rPr>
        <w:t>2-</w:t>
      </w:r>
      <w:r>
        <w:rPr>
          <w:lang w:bidi="fa-IR"/>
        </w:rPr>
        <w:t xml:space="preserve"> is able to reduce Fe(III) to Fe(II) which is highly motivated to react (in 2 equivalent) with molecular oxygen to form dinuclear µ-peroxo complex, (L</w:t>
      </w:r>
      <w:r>
        <w:rPr>
          <w:vertAlign w:val="superscript"/>
          <w:lang w:bidi="fa-IR"/>
        </w:rPr>
        <w:t>AE</w:t>
      </w:r>
      <w:r>
        <w:rPr>
          <w:lang w:bidi="fa-IR"/>
        </w:rPr>
        <w:t>)Fe</w:t>
      </w:r>
      <w:r>
        <w:rPr>
          <w:vertAlign w:val="superscript"/>
          <w:lang w:bidi="fa-IR"/>
        </w:rPr>
        <w:t>III</w:t>
      </w:r>
      <w:r>
        <w:rPr>
          <w:lang w:bidi="fa-IR"/>
        </w:rPr>
        <w:t>-O-O-Fe</w:t>
      </w:r>
      <w:r>
        <w:rPr>
          <w:vertAlign w:val="superscript"/>
          <w:lang w:bidi="fa-IR"/>
        </w:rPr>
        <w:t>III</w:t>
      </w:r>
      <w:r>
        <w:rPr>
          <w:lang w:bidi="fa-IR"/>
        </w:rPr>
        <w:t>(L</w:t>
      </w:r>
      <w:r>
        <w:rPr>
          <w:vertAlign w:val="superscript"/>
        </w:rPr>
        <w:t>AE</w:t>
      </w:r>
      <w:r>
        <w:t>).</w:t>
      </w:r>
      <w:r>
        <w:rPr>
          <w:vertAlign w:val="superscript"/>
        </w:rPr>
        <w:t>33</w:t>
      </w:r>
      <w:r>
        <w:t xml:space="preserve"> The Fe(II)-involved complex may persuade the dinuclear intermediate to homolytic cleavage of O-O bond which leads to the 2 equivalents of active high-valent [Fe(IV)=O] intermediates as the main oxygen-transfer agent to the alkene and regenerates the Fe(II) complex which is unstable enough to easily reduce oxygen and recover the Fe(III)-based catalyst. In fact, the one-electron reduction of 1/2O</w:t>
      </w:r>
      <w:r>
        <w:rPr>
          <w:vertAlign w:val="subscript"/>
        </w:rPr>
        <w:t>2</w:t>
      </w:r>
      <w:r>
        <w:t xml:space="preserve"> to 1/2H</w:t>
      </w:r>
      <w:r>
        <w:rPr>
          <w:vertAlign w:val="subscript"/>
        </w:rPr>
        <w:t>2</w:t>
      </w:r>
      <w:r>
        <w:t>O</w:t>
      </w:r>
      <w:r>
        <w:rPr>
          <w:vertAlign w:val="subscript"/>
        </w:rPr>
        <w:t>2</w:t>
      </w:r>
      <w:r>
        <w:t xml:space="preserve"> in aqueous media catalyzed by Fe(II) component is suggested due to the high midpoint redox potential of O</w:t>
      </w:r>
      <w:r>
        <w:rPr>
          <w:vertAlign w:val="subscript"/>
        </w:rPr>
        <w:t>2</w:t>
      </w:r>
      <w:r>
        <w:t>/O</w:t>
      </w:r>
      <w:r>
        <w:rPr>
          <w:vertAlign w:val="subscript"/>
        </w:rPr>
        <w:t>2</w:t>
      </w:r>
      <w:r>
        <w:rPr>
          <w:sz w:val="24"/>
          <w:szCs w:val="24"/>
          <w:vertAlign w:val="superscript"/>
        </w:rPr>
        <w:t>2-</w:t>
      </w:r>
      <w:r>
        <w:rPr>
          <w:sz w:val="24"/>
          <w:szCs w:val="24"/>
        </w:rPr>
        <w:t xml:space="preserve"> (E</w:t>
      </w:r>
      <w:r>
        <w:rPr>
          <w:sz w:val="24"/>
          <w:szCs w:val="24"/>
          <w:vertAlign w:val="superscript"/>
        </w:rPr>
        <w:t xml:space="preserve">0 </w:t>
      </w:r>
      <w:r>
        <w:rPr>
          <w:sz w:val="24"/>
          <w:szCs w:val="24"/>
        </w:rPr>
        <w:t>= +695 V at pH=7).</w:t>
      </w:r>
      <w:r>
        <w:rPr>
          <w:sz w:val="24"/>
          <w:szCs w:val="24"/>
          <w:vertAlign w:val="superscript"/>
        </w:rPr>
        <w:t>34</w:t>
      </w:r>
      <w:r>
        <w:rPr>
          <w:sz w:val="24"/>
          <w:szCs w:val="24"/>
        </w:rPr>
        <w:t xml:space="preserve"> </w:t>
      </w:r>
    </w:p>
    <w:p w:rsidR="00470846" w:rsidRDefault="00C71C23" w:rsidP="00E667B1">
      <w:pPr>
        <w:jc w:val="lowKashida"/>
        <w:rPr>
          <w:sz w:val="24"/>
          <w:szCs w:val="24"/>
        </w:rPr>
      </w:pPr>
      <w:r>
        <w:rPr>
          <w:sz w:val="24"/>
          <w:szCs w:val="24"/>
        </w:rPr>
        <w:t>On the other hand, the produced SO</w:t>
      </w:r>
      <w:r>
        <w:rPr>
          <w:sz w:val="24"/>
          <w:szCs w:val="24"/>
          <w:vertAlign w:val="subscript"/>
        </w:rPr>
        <w:t>3</w:t>
      </w:r>
      <w:r>
        <w:rPr>
          <w:sz w:val="24"/>
          <w:szCs w:val="24"/>
          <w:vertAlign w:val="superscript"/>
        </w:rPr>
        <w:t>-•</w:t>
      </w:r>
      <w:r>
        <w:rPr>
          <w:sz w:val="24"/>
          <w:szCs w:val="24"/>
        </w:rPr>
        <w:t xml:space="preserve"> could rapidly react with oxygen to form superoxide and SO</w:t>
      </w:r>
      <w:r>
        <w:rPr>
          <w:sz w:val="24"/>
          <w:szCs w:val="24"/>
          <w:vertAlign w:val="subscript"/>
        </w:rPr>
        <w:t>5</w:t>
      </w:r>
      <w:r>
        <w:rPr>
          <w:sz w:val="24"/>
          <w:szCs w:val="24"/>
          <w:vertAlign w:val="superscript"/>
        </w:rPr>
        <w:t>-•</w:t>
      </w:r>
      <w:r>
        <w:rPr>
          <w:sz w:val="24"/>
          <w:szCs w:val="24"/>
        </w:rPr>
        <w:t xml:space="preserve"> which are reactive enough to be consumed in the catalytic cycle through a synergistic effect by reduction of Fe(III) to Fe(II) and producing high-valent iron-oxo intermediate, respectively (Eq. 3, 4).</w:t>
      </w:r>
      <w:r>
        <w:rPr>
          <w:sz w:val="24"/>
          <w:szCs w:val="24"/>
          <w:vertAlign w:val="superscript"/>
        </w:rPr>
        <w:t>35</w:t>
      </w:r>
    </w:p>
    <w:p w:rsidR="00470846" w:rsidRDefault="00C71C23">
      <w:pPr>
        <w:rPr>
          <w:sz w:val="24"/>
          <w:szCs w:val="24"/>
        </w:rPr>
      </w:pPr>
      <w:r>
        <w:rPr>
          <w:noProof/>
        </w:rPr>
        <mc:AlternateContent>
          <mc:Choice Requires="wps">
            <w:drawing>
              <wp:anchor distT="37465" distB="38100" distL="1270" distR="635" simplePos="0" relativeHeight="251651072" behindDoc="0" locked="0" layoutInCell="0" allowOverlap="1" wp14:anchorId="2EC6CF7B">
                <wp:simplePos x="0" y="0"/>
                <wp:positionH relativeFrom="column">
                  <wp:posOffset>687070</wp:posOffset>
                </wp:positionH>
                <wp:positionV relativeFrom="paragraph">
                  <wp:posOffset>106045</wp:posOffset>
                </wp:positionV>
                <wp:extent cx="525145" cy="635"/>
                <wp:effectExtent l="1270" t="37465" r="635" b="38100"/>
                <wp:wrapNone/>
                <wp:docPr id="17" name="Straight Arrow Connector 6"/>
                <wp:cNvGraphicFramePr/>
                <a:graphic xmlns:a="http://schemas.openxmlformats.org/drawingml/2006/main">
                  <a:graphicData uri="http://schemas.microsoft.com/office/word/2010/wordprocessingShape">
                    <wps:wsp>
                      <wps:cNvCnPr/>
                      <wps:spPr>
                        <a:xfrm>
                          <a:off x="0" y="0"/>
                          <a:ext cx="525240" cy="720"/>
                        </a:xfrm>
                        <a:prstGeom prst="straightConnector1">
                          <a:avLst/>
                        </a:prstGeom>
                        <a:noFill/>
                        <a:ln>
                          <a:solidFill>
                            <a:srgbClr val="00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shape id="shape_0" ID="Straight Arrow Connector 6" path="m0,0l-2147483648,-2147483647e" stroked="t" o:allowincell="f" style="position:absolute;margin-left:54.1pt;margin-top:8.35pt;width:41.3pt;height:0pt;mso-wrap-style:none;v-text-anchor:middle" wp14:anchorId="2EC6CF7B" type="_x0000_t32">
                <v:fill o:detectmouseclick="t" on="false"/>
                <v:stroke color="black" weight="6480" endarrow="block" endarrowwidth="medium" endarrowlength="medium" joinstyle="miter" endcap="flat"/>
                <w10:wrap type="none"/>
              </v:shape>
            </w:pict>
          </mc:Fallback>
        </mc:AlternateContent>
      </w:r>
      <w:r>
        <w:rPr>
          <w:sz w:val="24"/>
          <w:szCs w:val="24"/>
        </w:rPr>
        <w:t>SO</w:t>
      </w:r>
      <w:r>
        <w:rPr>
          <w:sz w:val="24"/>
          <w:szCs w:val="24"/>
          <w:vertAlign w:val="subscript"/>
        </w:rPr>
        <w:t>3</w:t>
      </w:r>
      <w:r>
        <w:rPr>
          <w:sz w:val="24"/>
          <w:szCs w:val="24"/>
          <w:vertAlign w:val="superscript"/>
        </w:rPr>
        <w:t>-•</w:t>
      </w:r>
      <w:r>
        <w:rPr>
          <w:sz w:val="24"/>
          <w:szCs w:val="24"/>
        </w:rPr>
        <w:t xml:space="preserve"> + O</w:t>
      </w:r>
      <w:r>
        <w:rPr>
          <w:sz w:val="24"/>
          <w:szCs w:val="24"/>
          <w:vertAlign w:val="subscript"/>
        </w:rPr>
        <w:t>2</w:t>
      </w:r>
      <w:r>
        <w:rPr>
          <w:sz w:val="24"/>
          <w:szCs w:val="24"/>
        </w:rPr>
        <w:t xml:space="preserve">                    SO</w:t>
      </w:r>
      <w:r>
        <w:rPr>
          <w:sz w:val="24"/>
          <w:szCs w:val="24"/>
          <w:vertAlign w:val="subscript"/>
        </w:rPr>
        <w:t>3</w:t>
      </w:r>
      <w:r>
        <w:rPr>
          <w:sz w:val="24"/>
          <w:szCs w:val="24"/>
        </w:rPr>
        <w:t xml:space="preserve"> + O</w:t>
      </w:r>
      <w:r>
        <w:rPr>
          <w:sz w:val="24"/>
          <w:szCs w:val="24"/>
          <w:vertAlign w:val="subscript"/>
        </w:rPr>
        <w:t>2</w:t>
      </w:r>
      <w:r>
        <w:rPr>
          <w:sz w:val="24"/>
          <w:szCs w:val="24"/>
          <w:vertAlign w:val="superscript"/>
        </w:rPr>
        <w:t>-•</w:t>
      </w:r>
      <w:r>
        <w:rPr>
          <w:sz w:val="24"/>
          <w:szCs w:val="24"/>
        </w:rPr>
        <w:t xml:space="preserve">                         (Eq. 3)</w:t>
      </w:r>
    </w:p>
    <w:p w:rsidR="00470846" w:rsidRDefault="00C71C23">
      <w:pPr>
        <w:rPr>
          <w:sz w:val="24"/>
          <w:szCs w:val="24"/>
        </w:rPr>
      </w:pPr>
      <w:r>
        <w:rPr>
          <w:noProof/>
        </w:rPr>
        <mc:AlternateContent>
          <mc:Choice Requires="wps">
            <w:drawing>
              <wp:anchor distT="37465" distB="38100" distL="635" distR="635" simplePos="0" relativeHeight="251652096" behindDoc="0" locked="0" layoutInCell="0" allowOverlap="1" wp14:anchorId="53904E94">
                <wp:simplePos x="0" y="0"/>
                <wp:positionH relativeFrom="column">
                  <wp:posOffset>690245</wp:posOffset>
                </wp:positionH>
                <wp:positionV relativeFrom="paragraph">
                  <wp:posOffset>104140</wp:posOffset>
                </wp:positionV>
                <wp:extent cx="534670" cy="635"/>
                <wp:effectExtent l="635" t="37465" r="635" b="38100"/>
                <wp:wrapNone/>
                <wp:docPr id="18" name="Straight Arrow Connector 7"/>
                <wp:cNvGraphicFramePr/>
                <a:graphic xmlns:a="http://schemas.openxmlformats.org/drawingml/2006/main">
                  <a:graphicData uri="http://schemas.microsoft.com/office/word/2010/wordprocessingShape">
                    <wps:wsp>
                      <wps:cNvCnPr/>
                      <wps:spPr>
                        <a:xfrm>
                          <a:off x="0" y="0"/>
                          <a:ext cx="534600" cy="720"/>
                        </a:xfrm>
                        <a:prstGeom prst="straightConnector1">
                          <a:avLst/>
                        </a:prstGeom>
                        <a:noFill/>
                        <a:ln>
                          <a:solidFill>
                            <a:srgbClr val="00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xmlns:w16se="http://schemas.microsoft.com/office/word/2015/wordml/symex" xmlns:cx="http://schemas.microsoft.com/office/drawing/2014/chartex">
            <w:pict>
              <v:shape id="shape_0" ID="Straight Arrow Connector 7" path="m0,0l-2147483648,-2147483647e" stroked="t" o:allowincell="f" style="position:absolute;margin-left:54.35pt;margin-top:8.2pt;width:42.05pt;height:0pt;mso-wrap-style:none;v-text-anchor:middle" wp14:anchorId="53904E94" type="_x0000_t32">
                <v:fill o:detectmouseclick="t" on="false"/>
                <v:stroke color="black" weight="6480" endarrow="block" endarrowwidth="medium" endarrowlength="medium" joinstyle="miter" endcap="flat"/>
                <w10:wrap type="none"/>
              </v:shape>
            </w:pict>
          </mc:Fallback>
        </mc:AlternateContent>
      </w:r>
      <w:r>
        <w:rPr>
          <w:sz w:val="24"/>
          <w:szCs w:val="24"/>
        </w:rPr>
        <w:t>SO</w:t>
      </w:r>
      <w:r>
        <w:rPr>
          <w:sz w:val="24"/>
          <w:szCs w:val="24"/>
          <w:vertAlign w:val="subscript"/>
        </w:rPr>
        <w:t>3</w:t>
      </w:r>
      <w:r>
        <w:rPr>
          <w:sz w:val="24"/>
          <w:szCs w:val="24"/>
          <w:vertAlign w:val="superscript"/>
        </w:rPr>
        <w:t>-•</w:t>
      </w:r>
      <w:r>
        <w:rPr>
          <w:sz w:val="24"/>
          <w:szCs w:val="24"/>
        </w:rPr>
        <w:t xml:space="preserve"> + O</w:t>
      </w:r>
      <w:r>
        <w:rPr>
          <w:sz w:val="24"/>
          <w:szCs w:val="24"/>
          <w:vertAlign w:val="subscript"/>
        </w:rPr>
        <w:t xml:space="preserve">2                              </w:t>
      </w:r>
      <w:r>
        <w:rPr>
          <w:sz w:val="24"/>
          <w:szCs w:val="24"/>
        </w:rPr>
        <w:t>SO</w:t>
      </w:r>
      <w:r>
        <w:rPr>
          <w:sz w:val="24"/>
          <w:szCs w:val="24"/>
          <w:vertAlign w:val="subscript"/>
        </w:rPr>
        <w:t>5</w:t>
      </w:r>
      <w:r>
        <w:rPr>
          <w:sz w:val="24"/>
          <w:szCs w:val="24"/>
          <w:vertAlign w:val="superscript"/>
        </w:rPr>
        <w:t xml:space="preserve">-• </w:t>
      </w:r>
      <w:r>
        <w:rPr>
          <w:sz w:val="24"/>
          <w:szCs w:val="24"/>
        </w:rPr>
        <w:t xml:space="preserve">                                 (Eq. 4)</w:t>
      </w:r>
    </w:p>
    <w:p w:rsidR="00470846" w:rsidRDefault="00C71C23">
      <w:pPr>
        <w:rPr>
          <w:sz w:val="24"/>
          <w:szCs w:val="24"/>
        </w:rPr>
      </w:pPr>
      <w:r>
        <w:rPr>
          <w:sz w:val="24"/>
          <w:szCs w:val="24"/>
        </w:rPr>
        <w:t>Moreover, SO</w:t>
      </w:r>
      <w:r>
        <w:rPr>
          <w:sz w:val="24"/>
          <w:szCs w:val="24"/>
          <w:vertAlign w:val="subscript"/>
        </w:rPr>
        <w:t>3</w:t>
      </w:r>
      <w:r>
        <w:rPr>
          <w:sz w:val="24"/>
          <w:szCs w:val="24"/>
          <w:vertAlign w:val="superscript"/>
        </w:rPr>
        <w:t>-•</w:t>
      </w:r>
      <w:r>
        <w:rPr>
          <w:sz w:val="24"/>
          <w:szCs w:val="24"/>
        </w:rPr>
        <w:t xml:space="preserve"> radical can probably undergo dimerization (Eq. 5) and/or propagation (Eq. 6).</w:t>
      </w:r>
      <w:r>
        <w:rPr>
          <w:sz w:val="24"/>
          <w:szCs w:val="24"/>
          <w:vertAlign w:val="superscript"/>
        </w:rPr>
        <w:t>36</w:t>
      </w:r>
      <w:r>
        <w:rPr>
          <w:sz w:val="24"/>
          <w:szCs w:val="24"/>
        </w:rPr>
        <w:t xml:space="preserve"> </w:t>
      </w:r>
    </w:p>
    <w:p w:rsidR="00470846" w:rsidRDefault="00C71C23">
      <w:pPr>
        <w:rPr>
          <w:sz w:val="24"/>
          <w:szCs w:val="24"/>
        </w:rPr>
      </w:pPr>
      <w:r>
        <w:rPr>
          <w:noProof/>
        </w:rPr>
        <mc:AlternateContent>
          <mc:Choice Requires="wps">
            <w:drawing>
              <wp:anchor distT="37465" distB="38100" distL="1270" distR="0" simplePos="0" relativeHeight="251653120" behindDoc="0" locked="0" layoutInCell="0" allowOverlap="1" wp14:anchorId="0C40DCEC">
                <wp:simplePos x="0" y="0"/>
                <wp:positionH relativeFrom="column">
                  <wp:posOffset>490220</wp:posOffset>
                </wp:positionH>
                <wp:positionV relativeFrom="paragraph">
                  <wp:posOffset>112395</wp:posOffset>
                </wp:positionV>
                <wp:extent cx="525145" cy="635"/>
                <wp:effectExtent l="1270" t="37465" r="0" b="38100"/>
                <wp:wrapNone/>
                <wp:docPr id="19" name="Straight Arrow Connector 9"/>
                <wp:cNvGraphicFramePr/>
                <a:graphic xmlns:a="http://schemas.openxmlformats.org/drawingml/2006/main">
                  <a:graphicData uri="http://schemas.microsoft.com/office/word/2010/wordprocessingShape">
                    <wps:wsp>
                      <wps:cNvCnPr/>
                      <wps:spPr>
                        <a:xfrm>
                          <a:off x="0" y="0"/>
                          <a:ext cx="525240" cy="720"/>
                        </a:xfrm>
                        <a:prstGeom prst="straightConnector1">
                          <a:avLst/>
                        </a:prstGeom>
                        <a:noFill/>
                        <a:ln w="6350">
                          <a:solidFill>
                            <a:srgbClr val="000000"/>
                          </a:solidFill>
                          <a:miter/>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Straight Arrow Connector 9" path="m0,0l-2147483648,-2147483647e" stroked="t" o:allowincell="f" style="position:absolute;margin-left:38.6pt;margin-top:8.85pt;width:41.3pt;height:0pt;mso-wrap-style:none;v-text-anchor:middle" wp14:anchorId="0C40DCEC" type="_x0000_t32">
                <v:fill o:detectmouseclick="t" on="false"/>
                <v:stroke color="black" weight="6480" endarrow="block" endarrowwidth="medium" endarrowlength="medium" joinstyle="miter" endcap="flat"/>
                <w10:wrap type="none"/>
              </v:shape>
            </w:pict>
          </mc:Fallback>
        </mc:AlternateContent>
      </w:r>
      <w:r>
        <w:rPr>
          <w:sz w:val="24"/>
          <w:szCs w:val="24"/>
        </w:rPr>
        <w:t>2 SO</w:t>
      </w:r>
      <w:r>
        <w:rPr>
          <w:sz w:val="24"/>
          <w:szCs w:val="24"/>
          <w:vertAlign w:val="subscript"/>
        </w:rPr>
        <w:t>3</w:t>
      </w:r>
      <w:r>
        <w:rPr>
          <w:sz w:val="24"/>
          <w:szCs w:val="24"/>
          <w:vertAlign w:val="superscript"/>
        </w:rPr>
        <w:t>-•</w:t>
      </w:r>
      <w:r>
        <w:rPr>
          <w:sz w:val="24"/>
          <w:szCs w:val="24"/>
        </w:rPr>
        <w:t xml:space="preserve">                   S</w:t>
      </w:r>
      <w:r>
        <w:rPr>
          <w:sz w:val="24"/>
          <w:szCs w:val="24"/>
          <w:vertAlign w:val="subscript"/>
        </w:rPr>
        <w:t>2</w:t>
      </w:r>
      <w:r>
        <w:rPr>
          <w:sz w:val="24"/>
          <w:szCs w:val="24"/>
        </w:rPr>
        <w:t>O</w:t>
      </w:r>
      <w:r>
        <w:rPr>
          <w:sz w:val="24"/>
          <w:szCs w:val="24"/>
          <w:vertAlign w:val="subscript"/>
        </w:rPr>
        <w:t>6</w:t>
      </w:r>
      <w:r>
        <w:rPr>
          <w:sz w:val="28"/>
          <w:szCs w:val="28"/>
          <w:vertAlign w:val="superscript"/>
        </w:rPr>
        <w:t>-</w:t>
      </w:r>
      <w:r>
        <w:rPr>
          <w:sz w:val="28"/>
          <w:szCs w:val="28"/>
        </w:rPr>
        <w:t xml:space="preserve">                                  </w:t>
      </w:r>
      <w:r>
        <w:rPr>
          <w:sz w:val="24"/>
          <w:szCs w:val="24"/>
        </w:rPr>
        <w:t>(Eq. 5)</w:t>
      </w:r>
    </w:p>
    <w:p w:rsidR="00470846" w:rsidRDefault="00C71C23">
      <w:pPr>
        <w:rPr>
          <w:sz w:val="24"/>
          <w:szCs w:val="24"/>
        </w:rPr>
      </w:pPr>
      <w:r>
        <w:rPr>
          <w:noProof/>
        </w:rPr>
        <mc:AlternateContent>
          <mc:Choice Requires="wps">
            <w:drawing>
              <wp:anchor distT="37465" distB="38100" distL="1270" distR="0" simplePos="0" relativeHeight="251654144" behindDoc="0" locked="0" layoutInCell="0" allowOverlap="1" wp14:anchorId="5A1B3D86">
                <wp:simplePos x="0" y="0"/>
                <wp:positionH relativeFrom="column">
                  <wp:posOffset>498475</wp:posOffset>
                </wp:positionH>
                <wp:positionV relativeFrom="paragraph">
                  <wp:posOffset>114300</wp:posOffset>
                </wp:positionV>
                <wp:extent cx="525145" cy="635"/>
                <wp:effectExtent l="1270" t="37465" r="0" b="38100"/>
                <wp:wrapNone/>
                <wp:docPr id="20" name="Straight Arrow Connector 10"/>
                <wp:cNvGraphicFramePr/>
                <a:graphic xmlns:a="http://schemas.openxmlformats.org/drawingml/2006/main">
                  <a:graphicData uri="http://schemas.microsoft.com/office/word/2010/wordprocessingShape">
                    <wps:wsp>
                      <wps:cNvCnPr/>
                      <wps:spPr>
                        <a:xfrm>
                          <a:off x="0" y="0"/>
                          <a:ext cx="525240" cy="720"/>
                        </a:xfrm>
                        <a:prstGeom prst="straightConnector1">
                          <a:avLst/>
                        </a:prstGeom>
                        <a:noFill/>
                        <a:ln w="6350">
                          <a:solidFill>
                            <a:srgbClr val="000000"/>
                          </a:solidFill>
                          <a:miter/>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Straight Arrow Connector 10" path="m0,0l-2147483648,-2147483647e" stroked="t" o:allowincell="f" style="position:absolute;margin-left:39.25pt;margin-top:9pt;width:41.3pt;height:0pt;mso-wrap-style:none;v-text-anchor:middle" wp14:anchorId="5A1B3D86" type="_x0000_t32">
                <v:fill o:detectmouseclick="t" on="false"/>
                <v:stroke color="black" weight="6480" endarrow="block" endarrowwidth="medium" endarrowlength="medium" joinstyle="miter" endcap="flat"/>
                <w10:wrap type="none"/>
              </v:shape>
            </w:pict>
          </mc:Fallback>
        </mc:AlternateContent>
      </w:r>
      <w:r>
        <w:rPr>
          <w:sz w:val="24"/>
          <w:szCs w:val="24"/>
        </w:rPr>
        <w:t>2 SO</w:t>
      </w:r>
      <w:r>
        <w:rPr>
          <w:sz w:val="24"/>
          <w:szCs w:val="24"/>
          <w:vertAlign w:val="subscript"/>
        </w:rPr>
        <w:t>3</w:t>
      </w:r>
      <w:r>
        <w:rPr>
          <w:sz w:val="24"/>
          <w:szCs w:val="24"/>
          <w:vertAlign w:val="superscript"/>
        </w:rPr>
        <w:t>-•</w:t>
      </w:r>
      <w:r>
        <w:rPr>
          <w:sz w:val="24"/>
          <w:szCs w:val="24"/>
        </w:rPr>
        <w:t xml:space="preserve">                   SO</w:t>
      </w:r>
      <w:r>
        <w:rPr>
          <w:sz w:val="24"/>
          <w:szCs w:val="24"/>
          <w:vertAlign w:val="subscript"/>
        </w:rPr>
        <w:t>3</w:t>
      </w:r>
      <w:r>
        <w:rPr>
          <w:sz w:val="24"/>
          <w:szCs w:val="24"/>
        </w:rPr>
        <w:t xml:space="preserve"> + SO</w:t>
      </w:r>
      <w:r>
        <w:rPr>
          <w:sz w:val="24"/>
          <w:szCs w:val="24"/>
          <w:vertAlign w:val="subscript"/>
        </w:rPr>
        <w:t>3</w:t>
      </w:r>
      <w:r>
        <w:rPr>
          <w:sz w:val="28"/>
          <w:szCs w:val="28"/>
          <w:vertAlign w:val="superscript"/>
        </w:rPr>
        <w:t>-</w:t>
      </w:r>
      <w:r>
        <w:rPr>
          <w:sz w:val="28"/>
          <w:szCs w:val="28"/>
        </w:rPr>
        <w:t xml:space="preserve">       </w:t>
      </w:r>
      <w:r>
        <w:rPr>
          <w:sz w:val="24"/>
          <w:szCs w:val="24"/>
        </w:rPr>
        <w:t xml:space="preserve">                       (Eq. 6)</w:t>
      </w:r>
    </w:p>
    <w:p w:rsidR="00470846" w:rsidRDefault="00470846">
      <w:pPr>
        <w:rPr>
          <w:sz w:val="24"/>
          <w:szCs w:val="24"/>
        </w:rPr>
      </w:pPr>
    </w:p>
    <w:p w:rsidR="00470846" w:rsidRDefault="00470846">
      <w:pPr>
        <w:rPr>
          <w:sz w:val="24"/>
          <w:szCs w:val="24"/>
        </w:rPr>
      </w:pPr>
    </w:p>
    <w:p w:rsidR="00470846" w:rsidRDefault="00AD057B">
      <w:pPr>
        <w:rPr>
          <w:sz w:val="24"/>
          <w:szCs w:val="24"/>
        </w:rPr>
      </w:pPr>
      <w:r>
        <w:rPr>
          <w:sz w:val="24"/>
          <w:szCs w:val="24"/>
        </w:rPr>
        <w:pict>
          <v:shapetype id="_x0000_tole_rId11" o:spid="_x0000_m1156"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w:pict>
      </w:r>
      <w:r>
        <w:rPr>
          <w:sz w:val="24"/>
          <w:szCs w:val="24"/>
        </w:rPr>
        <w:object w:dxaOrig="8640" w:dyaOrig="6165">
          <v:shape id="ole_rId11" o:spid="_x0000_s1110" type="#_x0000_tole_rId11" style="position:absolute;margin-left:53.6pt;margin-top:10.15pt;width:360.35pt;height:274.3pt;z-index:251705344;mso-wrap-distance-right:0;mso-position-horizontal-relative:text;mso-position-vertical-relative:text" o:spt="75" o:preferrelative="t" path="m@4@5l@4@11@9@11@9@5xe" filled="f" stroked="f">
            <v:stroke joinstyle="miter"/>
            <v:imagedata r:id="rId16" o:titl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w10:wrap type="square" side="right"/>
          </v:shape>
          <o:OLEObject Type="Embed" ProgID="ChemDraw.Document.6.0" ShapeID="ole_rId11" DrawAspect="Content" ObjectID="_1751767620" r:id="rId17"/>
        </w:object>
      </w:r>
    </w:p>
    <w:p w:rsidR="00470846" w:rsidRDefault="00470846">
      <w:pPr>
        <w:rPr>
          <w:lang w:bidi="fa-IR"/>
        </w:rP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 w:rsidR="00470846" w:rsidRDefault="00C71C23">
      <w:pPr>
        <w:jc w:val="center"/>
        <w:rPr>
          <w:b/>
          <w:bCs/>
        </w:rPr>
      </w:pPr>
      <w:r>
        <w:br w:type="textWrapping" w:clear="all"/>
      </w:r>
    </w:p>
    <w:p w:rsidR="00470846" w:rsidRDefault="00C71C23">
      <w:pPr>
        <w:jc w:val="center"/>
        <w:rPr>
          <w:b/>
          <w:bCs/>
          <w:sz w:val="20"/>
          <w:szCs w:val="20"/>
        </w:rPr>
      </w:pPr>
      <w:r>
        <w:rPr>
          <w:b/>
          <w:bCs/>
          <w:sz w:val="20"/>
          <w:szCs w:val="20"/>
        </w:rPr>
        <w:t xml:space="preserve">Scheme 2: </w:t>
      </w:r>
      <w:r>
        <w:rPr>
          <w:sz w:val="20"/>
          <w:szCs w:val="20"/>
        </w:rPr>
        <w:t>Catalytic epoxidation mechanism in the presence of Na</w:t>
      </w:r>
      <w:r>
        <w:rPr>
          <w:sz w:val="20"/>
          <w:szCs w:val="20"/>
          <w:vertAlign w:val="subscript"/>
        </w:rPr>
        <w:t>2</w:t>
      </w:r>
      <w:r>
        <w:rPr>
          <w:sz w:val="20"/>
          <w:szCs w:val="20"/>
        </w:rPr>
        <w:t>SO</w:t>
      </w:r>
      <w:r>
        <w:rPr>
          <w:sz w:val="20"/>
          <w:szCs w:val="20"/>
          <w:vertAlign w:val="subscript"/>
        </w:rPr>
        <w:t>3</w:t>
      </w:r>
      <w:r>
        <w:rPr>
          <w:sz w:val="20"/>
          <w:szCs w:val="20"/>
        </w:rPr>
        <w:t>. Grey spheres show Fe</w:t>
      </w:r>
      <w:r>
        <w:rPr>
          <w:sz w:val="20"/>
          <w:szCs w:val="20"/>
          <w:vertAlign w:val="subscript"/>
        </w:rPr>
        <w:t>3</w:t>
      </w:r>
      <w:r>
        <w:rPr>
          <w:sz w:val="20"/>
          <w:szCs w:val="20"/>
        </w:rPr>
        <w:t>O</w:t>
      </w:r>
      <w:r>
        <w:rPr>
          <w:sz w:val="20"/>
          <w:szCs w:val="20"/>
          <w:vertAlign w:val="subscript"/>
        </w:rPr>
        <w:t>4</w:t>
      </w:r>
      <w:r>
        <w:rPr>
          <w:sz w:val="20"/>
          <w:szCs w:val="20"/>
        </w:rPr>
        <w:t>@SiO</w:t>
      </w:r>
      <w:r>
        <w:rPr>
          <w:sz w:val="20"/>
          <w:szCs w:val="20"/>
          <w:vertAlign w:val="subscript"/>
        </w:rPr>
        <w:t>2</w:t>
      </w:r>
      <w:r>
        <w:rPr>
          <w:sz w:val="20"/>
          <w:szCs w:val="20"/>
        </w:rPr>
        <w:t xml:space="preserve"> nanoparticles.</w:t>
      </w:r>
    </w:p>
    <w:p w:rsidR="00470846" w:rsidRDefault="00470846">
      <w:pPr>
        <w:jc w:val="center"/>
      </w:pPr>
    </w:p>
    <w:p w:rsidR="00470846" w:rsidRDefault="00C71C23">
      <w:pPr>
        <w:rPr>
          <w:lang w:bidi="fa-IR"/>
        </w:rPr>
      </w:pPr>
      <w:r>
        <w:t>The TEMPO-promoted aerobic alkene epoxidation mechanism has been depicted in Scheme 3. In fact, TEMPO bonds to iron center in Fe</w:t>
      </w:r>
      <w:r>
        <w:rPr>
          <w:vertAlign w:val="subscript"/>
        </w:rPr>
        <w:t>3</w:t>
      </w:r>
      <w:r>
        <w:t>O</w:t>
      </w:r>
      <w:r>
        <w:rPr>
          <w:vertAlign w:val="subscript"/>
        </w:rPr>
        <w:t>4</w:t>
      </w:r>
      <w:r>
        <w:t>@SiO</w:t>
      </w:r>
      <w:r>
        <w:rPr>
          <w:vertAlign w:val="subscript"/>
        </w:rPr>
        <w:t>2</w:t>
      </w:r>
      <w:r>
        <w:t>-APTES-Fe</w:t>
      </w:r>
      <w:r>
        <w:rPr>
          <w:vertAlign w:val="superscript"/>
        </w:rPr>
        <w:t>III</w:t>
      </w:r>
      <w:r>
        <w:t>L</w:t>
      </w:r>
      <w:r>
        <w:rPr>
          <w:vertAlign w:val="superscript"/>
        </w:rPr>
        <w:t>AE</w:t>
      </w:r>
      <w:r>
        <w:t xml:space="preserve"> to form TEMPO-coordinated intermediate (2) which could be considered as a model for [Fe-O-O] unit, the intermediate in O</w:t>
      </w:r>
      <w:r>
        <w:rPr>
          <w:vertAlign w:val="subscript"/>
        </w:rPr>
        <w:t>2</w:t>
      </w:r>
      <w:r>
        <w:t xml:space="preserve"> activation reactions by iron-containing metalloenzymes.</w:t>
      </w:r>
      <w:r>
        <w:rPr>
          <w:vertAlign w:val="superscript"/>
        </w:rPr>
        <w:t>37</w:t>
      </w:r>
      <w:r>
        <w:t xml:space="preserve"> Then, it is recognized that the O-O bond cleavage leads to the formation of the high-valent iron-oxo intermediate (3), which is species known as two-electron oxygen atom transfer mediator.</w:t>
      </w:r>
      <w:r>
        <w:rPr>
          <w:vertAlign w:val="superscript"/>
        </w:rPr>
        <w:t xml:space="preserve">38 </w:t>
      </w:r>
      <w:r>
        <w:t>Since, TEMPO may be evaluated as an analogue of the peroxide ligand, this proposed path is predictable.</w:t>
      </w:r>
      <w:r>
        <w:rPr>
          <w:vertAlign w:val="superscript"/>
        </w:rPr>
        <w:t>39</w:t>
      </w:r>
      <w:r>
        <w:t xml:space="preserve"> </w:t>
      </w:r>
      <w:r>
        <w:rPr>
          <w:lang w:bidi="fa-IR"/>
        </w:rPr>
        <w:t>Last of all, the produced Fe(II) complex (4) oxidizes to form the primary Fe(III) catalyst (1) in the vicinity of oxygen saturated water.</w:t>
      </w:r>
    </w:p>
    <w:p w:rsidR="00470846" w:rsidRDefault="00C71C23" w:rsidP="00E667B1">
      <w:pPr>
        <w:rPr>
          <w:lang w:bidi="fa-IR"/>
        </w:rPr>
      </w:pPr>
      <w:r>
        <w:rPr>
          <w:lang w:bidi="fa-IR"/>
        </w:rPr>
        <w:t>In addition, to ensure that all the catalytic occurrences happen in catalytic metal-center, we applied the standard conditions for epoxidation reaction of cyclopentene using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 and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-APTES-H</w:t>
      </w:r>
      <w:r>
        <w:rPr>
          <w:vertAlign w:val="subscript"/>
          <w:lang w:bidi="fa-IR"/>
        </w:rPr>
        <w:t>2</w:t>
      </w:r>
      <w:r>
        <w:rPr>
          <w:lang w:bidi="fa-IR"/>
        </w:rPr>
        <w:t>L</w:t>
      </w:r>
      <w:r>
        <w:rPr>
          <w:vertAlign w:val="superscript"/>
          <w:lang w:bidi="fa-IR"/>
        </w:rPr>
        <w:t>AE</w:t>
      </w:r>
      <w:r>
        <w:rPr>
          <w:lang w:bidi="fa-IR"/>
        </w:rPr>
        <w:t xml:space="preserve"> and no remarkable conversion of cyclopentene to epoxide was obtained neither in the presence of sulfite nor TEMPO.</w:t>
      </w:r>
    </w:p>
    <w:p w:rsidR="00470846" w:rsidRDefault="00470846"/>
    <w:p w:rsidR="00470846" w:rsidRDefault="00AD057B">
      <w:pPr>
        <w:jc w:val="center"/>
      </w:pPr>
      <w:r>
        <w:pict>
          <v:shapetype id="_x0000_tole_rId13" o:spid="_x0000_m115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w:pict>
      </w:r>
      <w:r>
        <w:object w:dxaOrig="8640" w:dyaOrig="6165">
          <v:shape id="ole_rId13" o:spid="_x0000_s1108" type="#_x0000_tole_rId13" style="position:absolute;left:0;text-align:left;margin-left:52.8pt;margin-top:6.55pt;width:363.35pt;height:302.05pt;z-index:251706368;mso-wrap-distance-right:0;mso-position-horizontal-relative:text;mso-position-vertical-relative:text" o:spt="75" o:preferrelative="t" path="m@4@5l@4@11@9@11@9@5xe" filled="f" stroked="f">
            <v:stroke joinstyle="miter"/>
            <v:imagedata r:id="rId18" o:titl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w10:wrap type="square" side="right"/>
          </v:shape>
          <o:OLEObject Type="Embed" ProgID="ChemDraw.Document.6.0" ShapeID="ole_rId13" DrawAspect="Content" ObjectID="_1751767621" r:id="rId19"/>
        </w:object>
      </w: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470846">
      <w:pPr>
        <w:jc w:val="center"/>
      </w:pPr>
    </w:p>
    <w:p w:rsidR="00470846" w:rsidRDefault="00C71C23">
      <w:pPr>
        <w:jc w:val="center"/>
      </w:pPr>
      <w:r>
        <w:br w:type="textWrapping" w:clear="all"/>
      </w:r>
    </w:p>
    <w:p w:rsidR="00470846" w:rsidRDefault="00C71C23">
      <w:pPr>
        <w:ind w:left="1440" w:hanging="720"/>
        <w:jc w:val="center"/>
        <w:rPr>
          <w:b/>
          <w:bCs/>
          <w:sz w:val="20"/>
          <w:szCs w:val="20"/>
        </w:rPr>
      </w:pPr>
      <w:r>
        <w:rPr>
          <w:b/>
          <w:bCs/>
          <w:sz w:val="20"/>
          <w:szCs w:val="20"/>
        </w:rPr>
        <w:t xml:space="preserve">Scheme 3: </w:t>
      </w:r>
      <w:r>
        <w:rPr>
          <w:sz w:val="20"/>
          <w:szCs w:val="20"/>
        </w:rPr>
        <w:t>Catalytic epoxidation mechanism in the presence of TEMPO. Grey spheres show Fe</w:t>
      </w:r>
      <w:r>
        <w:rPr>
          <w:sz w:val="20"/>
          <w:szCs w:val="20"/>
          <w:vertAlign w:val="subscript"/>
        </w:rPr>
        <w:t>3</w:t>
      </w:r>
      <w:r>
        <w:rPr>
          <w:sz w:val="20"/>
          <w:szCs w:val="20"/>
        </w:rPr>
        <w:t>O</w:t>
      </w:r>
      <w:r>
        <w:rPr>
          <w:sz w:val="20"/>
          <w:szCs w:val="20"/>
          <w:vertAlign w:val="subscript"/>
        </w:rPr>
        <w:t>4</w:t>
      </w:r>
      <w:r>
        <w:rPr>
          <w:sz w:val="20"/>
          <w:szCs w:val="20"/>
        </w:rPr>
        <w:t>@SiO</w:t>
      </w:r>
      <w:r>
        <w:rPr>
          <w:sz w:val="20"/>
          <w:szCs w:val="20"/>
          <w:vertAlign w:val="subscript"/>
        </w:rPr>
        <w:t>2</w:t>
      </w:r>
      <w:r>
        <w:rPr>
          <w:sz w:val="20"/>
          <w:szCs w:val="20"/>
        </w:rPr>
        <w:t xml:space="preserve"> nanoparticles.</w:t>
      </w:r>
    </w:p>
    <w:p w:rsidR="00470846" w:rsidRDefault="00470846">
      <w:pPr>
        <w:ind w:left="1440" w:hanging="720"/>
        <w:jc w:val="center"/>
        <w:rPr>
          <w:b/>
          <w:bCs/>
        </w:rPr>
      </w:pPr>
    </w:p>
    <w:p w:rsidR="00470846" w:rsidRDefault="00C71C23">
      <w:pPr>
        <w:rPr>
          <w:b/>
          <w:bCs/>
        </w:rPr>
      </w:pPr>
      <w:r>
        <w:rPr>
          <w:b/>
          <w:bCs/>
        </w:rPr>
        <w:t>Catalytic epoxidation reaction of various olefins in the presence of Na</w:t>
      </w:r>
      <w:r>
        <w:rPr>
          <w:b/>
          <w:bCs/>
          <w:vertAlign w:val="subscript"/>
        </w:rPr>
        <w:t>2</w:t>
      </w:r>
      <w:r>
        <w:rPr>
          <w:b/>
          <w:bCs/>
        </w:rPr>
        <w:t>SO</w:t>
      </w:r>
      <w:r>
        <w:rPr>
          <w:b/>
          <w:bCs/>
          <w:vertAlign w:val="subscript"/>
        </w:rPr>
        <w:t>3</w:t>
      </w:r>
      <w:r>
        <w:rPr>
          <w:b/>
          <w:bCs/>
        </w:rPr>
        <w:t xml:space="preserve"> and TEMPO</w:t>
      </w:r>
    </w:p>
    <w:p w:rsidR="00470846" w:rsidRDefault="00C71C23" w:rsidP="007F3568">
      <w:pPr>
        <w:jc w:val="both"/>
        <w:rPr>
          <w:lang w:bidi="fa-IR"/>
        </w:rPr>
      </w:pPr>
      <w:r>
        <w:t xml:space="preserve">To investigate the scope of catalytic epoxidation reactions, a range of alkenes including cyclic, straight-chain and aromatic alkenes, were subjected to the optimized catalytic condition using sulfite anion (Table 3). As shown in Table 3, the efficiency of catalytic performances is strongly related to the steric conformation of alkenes. For example, the lowest conversions were obtained with the most difficult alkenes (1-cyclohexene, cyclooctene, </w:t>
      </w:r>
      <w:r>
        <w:rPr>
          <w:i/>
          <w:iCs/>
        </w:rPr>
        <w:t>cis</w:t>
      </w:r>
      <w:r>
        <w:t>-stillbene) in slightly longer reaction time. However, the best results were achieved with 5 to 7-membered cyclic alkenes and terminal alkenes such as 1-hexene and 1-octene. On the other hand, 4-methylstyrene showed the weakest performance. Unpredictably, the styrene and 4-methylstyrene were converted to the related epoxides only at high temperatures. Alternatively, the selectivity for epoxide products was relatively excellent for most of the reactions which may be attributed to the absence of strong oxidant.</w:t>
      </w:r>
    </w:p>
    <w:p w:rsidR="00470846" w:rsidRDefault="00470846">
      <w:pPr>
        <w:rPr>
          <w:lang w:bidi="fa-IR"/>
        </w:rPr>
      </w:pPr>
    </w:p>
    <w:p w:rsidR="00470846" w:rsidRDefault="00470846">
      <w:pPr>
        <w:rPr>
          <w:lang w:bidi="fa-IR"/>
        </w:rPr>
      </w:pPr>
    </w:p>
    <w:p w:rsidR="00470846" w:rsidRDefault="00470846">
      <w:pPr>
        <w:rPr>
          <w:lang w:bidi="fa-IR"/>
        </w:rPr>
      </w:pPr>
    </w:p>
    <w:p w:rsidR="00470846" w:rsidRDefault="00470846">
      <w:pPr>
        <w:rPr>
          <w:lang w:bidi="fa-IR"/>
        </w:rPr>
      </w:pPr>
    </w:p>
    <w:p w:rsidR="00470846" w:rsidRDefault="00C71C23">
      <w:pPr>
        <w:rPr>
          <w:sz w:val="20"/>
          <w:szCs w:val="20"/>
        </w:rPr>
      </w:pPr>
      <w:r>
        <w:rPr>
          <w:b/>
          <w:bCs/>
          <w:sz w:val="20"/>
          <w:szCs w:val="20"/>
        </w:rPr>
        <w:t>Table 3:</w:t>
      </w:r>
      <w:r>
        <w:rPr>
          <w:sz w:val="20"/>
          <w:szCs w:val="20"/>
        </w:rPr>
        <w:t xml:space="preserve"> The scope of catalytic epoxidation reaction in the presence of Na</w:t>
      </w:r>
      <w:r>
        <w:rPr>
          <w:sz w:val="20"/>
          <w:szCs w:val="20"/>
          <w:vertAlign w:val="subscript"/>
        </w:rPr>
        <w:t>2</w:t>
      </w:r>
      <w:r>
        <w:rPr>
          <w:sz w:val="20"/>
          <w:szCs w:val="20"/>
        </w:rPr>
        <w:t>SO</w:t>
      </w:r>
      <w:r>
        <w:rPr>
          <w:sz w:val="20"/>
          <w:szCs w:val="20"/>
          <w:vertAlign w:val="subscript"/>
        </w:rPr>
        <w:t>3</w:t>
      </w:r>
    </w:p>
    <w:tbl>
      <w:tblPr>
        <w:tblStyle w:val="ListTable6Colorful-Accent3"/>
        <w:tblW w:w="9175" w:type="dxa"/>
        <w:tblLayout w:type="fixed"/>
        <w:tblLook w:val="04A0" w:firstRow="1" w:lastRow="0" w:firstColumn="1" w:lastColumn="0" w:noHBand="0" w:noVBand="1"/>
      </w:tblPr>
      <w:tblGrid>
        <w:gridCol w:w="722"/>
        <w:gridCol w:w="2069"/>
        <w:gridCol w:w="1527"/>
        <w:gridCol w:w="1079"/>
        <w:gridCol w:w="1441"/>
        <w:gridCol w:w="2337"/>
      </w:tblGrid>
      <w:tr w:rsidR="00470846" w:rsidTr="004708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1" w:type="dxa"/>
            <w:shd w:val="clear" w:color="auto" w:fill="D9E2F3" w:themeFill="accent5" w:themeFillTint="33"/>
          </w:tcPr>
          <w:p w:rsidR="00470846" w:rsidRDefault="00C71C23">
            <w:pPr>
              <w:widowControl w:val="0"/>
              <w:spacing w:after="0" w:line="0" w:lineRule="atLeast"/>
              <w:rPr>
                <w:lang w:bidi="fa-IR"/>
              </w:rPr>
            </w:pPr>
            <w:r>
              <w:rPr>
                <w:rFonts w:eastAsia="Calibri" w:cs="Arial"/>
                <w:color w:val="7B7B7B"/>
                <w:lang w:bidi="fa-IR"/>
              </w:rPr>
              <w:t>Entry</w:t>
            </w:r>
          </w:p>
        </w:tc>
        <w:tc>
          <w:tcPr>
            <w:tcW w:w="2069" w:type="dxa"/>
            <w:shd w:val="clear" w:color="auto" w:fill="D9E2F3" w:themeFill="accent5" w:themeFillTint="33"/>
          </w:tcPr>
          <w:p w:rsidR="00470846" w:rsidRDefault="00C71C23">
            <w:pPr>
              <w:widowControl w:val="0"/>
              <w:spacing w:after="0" w:line="0" w:lineRule="atLeast"/>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 xml:space="preserve">         Substrate</w:t>
            </w:r>
          </w:p>
        </w:tc>
        <w:tc>
          <w:tcPr>
            <w:tcW w:w="1527" w:type="dxa"/>
            <w:shd w:val="clear" w:color="auto" w:fill="D9E2F3" w:themeFill="accent5" w:themeFillTint="33"/>
          </w:tcPr>
          <w:p w:rsidR="00470846" w:rsidRDefault="00C71C23">
            <w:pPr>
              <w:widowControl w:val="0"/>
              <w:spacing w:after="0" w:line="0" w:lineRule="atLeast"/>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Na</w:t>
            </w:r>
            <w:r>
              <w:rPr>
                <w:rFonts w:eastAsia="Calibri" w:cs="Arial"/>
                <w:color w:val="7B7B7B"/>
                <w:vertAlign w:val="subscript"/>
                <w:lang w:bidi="fa-IR"/>
              </w:rPr>
              <w:t>2</w:t>
            </w:r>
            <w:r>
              <w:rPr>
                <w:rFonts w:eastAsia="Calibri" w:cs="Arial"/>
                <w:color w:val="7B7B7B"/>
                <w:lang w:bidi="fa-IR"/>
              </w:rPr>
              <w:t>SO</w:t>
            </w:r>
            <w:r>
              <w:rPr>
                <w:rFonts w:eastAsia="Calibri" w:cs="Arial"/>
                <w:color w:val="7B7B7B"/>
                <w:vertAlign w:val="subscript"/>
                <w:lang w:bidi="fa-IR"/>
              </w:rPr>
              <w:t>3</w:t>
            </w:r>
            <w:r>
              <w:rPr>
                <w:rFonts w:eastAsia="Calibri" w:cs="Arial"/>
                <w:color w:val="7B7B7B"/>
                <w:lang w:bidi="fa-IR"/>
              </w:rPr>
              <w:t xml:space="preserve"> (mmol)</w:t>
            </w:r>
          </w:p>
        </w:tc>
        <w:tc>
          <w:tcPr>
            <w:tcW w:w="1079" w:type="dxa"/>
            <w:shd w:val="clear" w:color="auto" w:fill="D9E2F3" w:themeFill="accent5" w:themeFillTint="33"/>
          </w:tcPr>
          <w:p w:rsidR="00470846" w:rsidRDefault="00C71C23">
            <w:pPr>
              <w:widowControl w:val="0"/>
              <w:spacing w:after="0" w:line="0" w:lineRule="atLeast"/>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Time (h)</w:t>
            </w:r>
          </w:p>
        </w:tc>
        <w:tc>
          <w:tcPr>
            <w:tcW w:w="1441" w:type="dxa"/>
            <w:shd w:val="clear" w:color="auto" w:fill="D9E2F3" w:themeFill="accent5" w:themeFillTint="33"/>
          </w:tcPr>
          <w:p w:rsidR="00470846" w:rsidRDefault="00C71C23">
            <w:pPr>
              <w:widowControl w:val="0"/>
              <w:spacing w:after="0" w:line="0" w:lineRule="atLeast"/>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Conversion (%)</w:t>
            </w:r>
          </w:p>
        </w:tc>
        <w:tc>
          <w:tcPr>
            <w:tcW w:w="2337" w:type="dxa"/>
            <w:shd w:val="clear" w:color="auto" w:fill="D9E2F3" w:themeFill="accent5" w:themeFillTint="33"/>
          </w:tcPr>
          <w:p w:rsidR="00470846" w:rsidRDefault="00C71C23">
            <w:pPr>
              <w:widowControl w:val="0"/>
              <w:spacing w:after="0" w:line="0" w:lineRule="atLeast"/>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Selectivity to epoxide (%)</w:t>
            </w:r>
          </w:p>
        </w:tc>
      </w:tr>
      <w:tr w:rsidR="00470846" w:rsidTr="00470846">
        <w:trPr>
          <w:cnfStyle w:val="000000100000" w:firstRow="0" w:lastRow="0" w:firstColumn="0" w:lastColumn="0" w:oddVBand="0" w:evenVBand="0" w:oddHBand="1"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1</w:t>
            </w:r>
          </w:p>
        </w:tc>
        <w:tc>
          <w:tcPr>
            <w:tcW w:w="2069"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4800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1" name="_x0000_tole_rId1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1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15" o:spid="_x0000_s1107" type="#_x0000_t75" style="position:absolute;left:0;text-align:left;margin-left:0;margin-top:0;width:50pt;height:50pt;z-index:251664384;visibility:hidden;mso-position-horizontal-relative:text;mso-position-vertical-relative:text">
                  <o:lock v:ext="edit" selection="t"/>
                </v:shape>
              </w:pict>
            </w:r>
            <w:r>
              <w:rPr>
                <w:rFonts w:eastAsia="Calibri" w:cs="Arial"/>
                <w:color w:val="7B7B7B"/>
              </w:rPr>
              <w:object w:dxaOrig="690" w:dyaOrig="630">
                <v:shape id="ole_rId15" o:spid="_x0000_i1026" type="#_x0000_t75" style="width:34.5pt;height:31.5pt;visibility:visible;mso-wrap-distance-right:0" o:ole="">
                  <v:imagedata r:id="rId20" o:title=""/>
                </v:shape>
                <o:OLEObject Type="Embed" ProgID="ChemDraw.Document.6.0" ShapeID="ole_rId15" DrawAspect="Content" ObjectID="_1751767584" r:id="rId21"/>
              </w:object>
            </w:r>
          </w:p>
        </w:tc>
        <w:tc>
          <w:tcPr>
            <w:tcW w:w="152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6</w:t>
            </w: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tc>
        <w:tc>
          <w:tcPr>
            <w:tcW w:w="1441"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80</w:t>
            </w:r>
          </w:p>
        </w:tc>
        <w:tc>
          <w:tcPr>
            <w:tcW w:w="233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92</w:t>
            </w:r>
          </w:p>
        </w:tc>
      </w:tr>
      <w:tr w:rsidR="00470846" w:rsidTr="00470846">
        <w:trPr>
          <w:trHeight w:val="809"/>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2</w:t>
            </w:r>
          </w:p>
        </w:tc>
        <w:tc>
          <w:tcPr>
            <w:tcW w:w="206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sz w:val="4"/>
                <w:szCs w:val="4"/>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4697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2" name="_x0000_tole_rId1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17"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17" o:spid="_x0000_s1105" type="#_x0000_t75" style="position:absolute;left:0;text-align:left;margin-left:0;margin-top:0;width:50pt;height:50pt;z-index:251665408;visibility:hidden;mso-position-horizontal-relative:text;mso-position-vertical-relative:text">
                  <o:lock v:ext="edit" selection="t"/>
                </v:shape>
              </w:pict>
            </w:r>
            <w:r>
              <w:rPr>
                <w:rFonts w:eastAsia="Calibri" w:cs="Arial"/>
                <w:color w:val="7B7B7B"/>
              </w:rPr>
              <w:object w:dxaOrig="630" w:dyaOrig="720">
                <v:shape id="ole_rId17" o:spid="_x0000_i1027" type="#_x0000_t75" style="width:31.5pt;height:36pt;visibility:visible;mso-wrap-distance-right:0" o:ole="">
                  <v:imagedata r:id="rId22" o:title=""/>
                </v:shape>
                <o:OLEObject Type="Embed" ProgID="ChemDraw.Document.6.0" ShapeID="ole_rId17" DrawAspect="Content" ObjectID="_1751767585" r:id="rId23"/>
              </w:object>
            </w:r>
          </w:p>
        </w:tc>
        <w:tc>
          <w:tcPr>
            <w:tcW w:w="152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6</w:t>
            </w:r>
          </w:p>
        </w:tc>
        <w:tc>
          <w:tcPr>
            <w:tcW w:w="1441"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87</w:t>
            </w:r>
          </w:p>
        </w:tc>
        <w:tc>
          <w:tcPr>
            <w:tcW w:w="233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90</w:t>
            </w:r>
          </w:p>
        </w:tc>
      </w:tr>
      <w:tr w:rsidR="00470846" w:rsidTr="00470846">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3</w:t>
            </w:r>
          </w:p>
        </w:tc>
        <w:tc>
          <w:tcPr>
            <w:tcW w:w="2069"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sz w:val="6"/>
                <w:szCs w:val="6"/>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4595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3" name="_x0000_tole_rId1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1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19" o:spid="_x0000_s1103" type="#_x0000_t75" style="position:absolute;left:0;text-align:left;margin-left:0;margin-top:0;width:50pt;height:50pt;z-index:251666432;visibility:hidden;mso-position-horizontal-relative:text;mso-position-vertical-relative:text">
                  <o:lock v:ext="edit" selection="t"/>
                </v:shape>
              </w:pict>
            </w:r>
            <w:r>
              <w:rPr>
                <w:rFonts w:eastAsia="Calibri" w:cs="Arial"/>
                <w:color w:val="7B7B7B"/>
              </w:rPr>
              <w:object w:dxaOrig="705" w:dyaOrig="690">
                <v:shape id="ole_rId19" o:spid="_x0000_i1028" type="#_x0000_t75" style="width:35.25pt;height:34.5pt;visibility:visible;mso-wrap-distance-right:0" o:ole="">
                  <v:imagedata r:id="rId24" o:title=""/>
                </v:shape>
                <o:OLEObject Type="Embed" ProgID="ChemDraw.Document.6.0" ShapeID="ole_rId19" DrawAspect="Content" ObjectID="_1751767586" r:id="rId25"/>
              </w:object>
            </w:r>
          </w:p>
        </w:tc>
        <w:tc>
          <w:tcPr>
            <w:tcW w:w="152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w:t>
            </w:r>
          </w:p>
        </w:tc>
        <w:tc>
          <w:tcPr>
            <w:tcW w:w="1441"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60</w:t>
            </w:r>
          </w:p>
        </w:tc>
        <w:tc>
          <w:tcPr>
            <w:tcW w:w="233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78</w:t>
            </w:r>
          </w:p>
        </w:tc>
      </w:tr>
      <w:tr w:rsidR="00470846" w:rsidTr="00470846">
        <w:trPr>
          <w:trHeight w:val="810"/>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4</w:t>
            </w:r>
          </w:p>
        </w:tc>
        <w:tc>
          <w:tcPr>
            <w:tcW w:w="206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sz w:val="6"/>
                <w:szCs w:val="6"/>
                <w:vertAlign w:val="superscript"/>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rPr>
              <w:t xml:space="preserve">      </w:t>
            </w:r>
            <w:r>
              <w:rPr>
                <w:noProof/>
              </w:rPr>
              <mc:AlternateContent>
                <mc:Choice Requires="wps">
                  <w:drawing>
                    <wp:anchor distT="0" distB="0" distL="114300" distR="0" simplePos="0" relativeHeight="25164492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4" name="_x0000_tole_rId2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2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21" o:spid="_x0000_s1101" type="#_x0000_t75" style="position:absolute;left:0;text-align:left;margin-left:0;margin-top:0;width:50pt;height:50pt;z-index:251667456;visibility:hidden;mso-position-horizontal-relative:text;mso-position-vertical-relative:text">
                  <o:lock v:ext="edit" selection="t"/>
                </v:shape>
              </w:pict>
            </w:r>
            <w:r>
              <w:rPr>
                <w:rFonts w:eastAsia="Calibri" w:cs="Arial"/>
                <w:color w:val="7B7B7B"/>
              </w:rPr>
              <w:object w:dxaOrig="870" w:dyaOrig="705">
                <v:shape id="ole_rId21" o:spid="_x0000_i1029" type="#_x0000_t75" style="width:43.5pt;height:35.25pt;visibility:visible;mso-wrap-distance-right:0" o:ole="">
                  <v:imagedata r:id="rId26" o:title=""/>
                </v:shape>
                <o:OLEObject Type="Embed" ProgID="ChemDraw.Document.6.0" ShapeID="ole_rId21" DrawAspect="Content" ObjectID="_1751767587" r:id="rId27"/>
              </w:object>
            </w:r>
          </w:p>
        </w:tc>
        <w:tc>
          <w:tcPr>
            <w:tcW w:w="152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5</w:t>
            </w:r>
          </w:p>
        </w:tc>
        <w:tc>
          <w:tcPr>
            <w:tcW w:w="107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15</w:t>
            </w:r>
          </w:p>
        </w:tc>
        <w:tc>
          <w:tcPr>
            <w:tcW w:w="1441"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30</w:t>
            </w:r>
          </w:p>
        </w:tc>
        <w:tc>
          <w:tcPr>
            <w:tcW w:w="233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&gt;99</w:t>
            </w:r>
          </w:p>
        </w:tc>
      </w:tr>
      <w:tr w:rsidR="00470846" w:rsidTr="004708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5</w:t>
            </w:r>
          </w:p>
        </w:tc>
        <w:tc>
          <w:tcPr>
            <w:tcW w:w="2069"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sz w:val="6"/>
                <w:szCs w:val="6"/>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4390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5" name="_x0000_tole_rId2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2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23" o:spid="_x0000_s1099" type="#_x0000_t75" style="position:absolute;left:0;text-align:left;margin-left:0;margin-top:0;width:50pt;height:50pt;z-index:251668480;visibility:hidden;mso-position-horizontal-relative:text;mso-position-vertical-relative:text">
                  <o:lock v:ext="edit" selection="t"/>
                </v:shape>
              </w:pict>
            </w:r>
            <w:r>
              <w:rPr>
                <w:rFonts w:eastAsia="Calibri" w:cs="Arial"/>
                <w:color w:val="7B7B7B"/>
              </w:rPr>
              <w:object w:dxaOrig="750" w:dyaOrig="750">
                <v:shape id="ole_rId23" o:spid="_x0000_i1030" type="#_x0000_t75" style="width:37.5pt;height:37.5pt;visibility:visible;mso-wrap-distance-right:0" o:ole="">
                  <v:imagedata r:id="rId28" o:title=""/>
                </v:shape>
                <o:OLEObject Type="Embed" ProgID="ChemDraw.Document.6.0" ShapeID="ole_rId23" DrawAspect="Content" ObjectID="_1751767588" r:id="rId29"/>
              </w:object>
            </w:r>
          </w:p>
        </w:tc>
        <w:tc>
          <w:tcPr>
            <w:tcW w:w="1527" w:type="dxa"/>
            <w:tcBorders>
              <w:top w:val="nil"/>
              <w:bottom w:val="nil"/>
            </w:tcBorders>
            <w:shd w:val="clear" w:color="auto" w:fill="auto"/>
          </w:tcPr>
          <w:p w:rsidR="00470846" w:rsidRDefault="00470846">
            <w:pPr>
              <w:widowControl w:val="0"/>
              <w:tabs>
                <w:tab w:val="left" w:pos="429"/>
                <w:tab w:val="center" w:pos="612"/>
              </w:tabs>
              <w:spacing w:after="0" w:line="0" w:lineRule="atLeast"/>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15</w:t>
            </w:r>
          </w:p>
        </w:tc>
        <w:tc>
          <w:tcPr>
            <w:tcW w:w="1441"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41</w:t>
            </w:r>
          </w:p>
        </w:tc>
        <w:tc>
          <w:tcPr>
            <w:tcW w:w="2337" w:type="dxa"/>
            <w:tcBorders>
              <w:top w:val="nil"/>
              <w:bottom w:val="nil"/>
            </w:tcBorders>
            <w:shd w:val="clear" w:color="auto" w:fill="auto"/>
          </w:tcPr>
          <w:p w:rsidR="00470846" w:rsidRDefault="00470846">
            <w:pPr>
              <w:widowControl w:val="0"/>
              <w:spacing w:after="0" w:line="0" w:lineRule="atLeast"/>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93</w:t>
            </w:r>
          </w:p>
        </w:tc>
      </w:tr>
      <w:tr w:rsidR="00470846" w:rsidTr="00470846">
        <w:trPr>
          <w:trHeight w:val="630"/>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6</w:t>
            </w:r>
          </w:p>
          <w:p w:rsidR="00470846" w:rsidRDefault="00470846">
            <w:pPr>
              <w:widowControl w:val="0"/>
              <w:spacing w:after="0" w:line="0" w:lineRule="atLeast"/>
              <w:jc w:val="center"/>
              <w:rPr>
                <w:lang w:bidi="fa-IR"/>
              </w:rPr>
            </w:pPr>
          </w:p>
        </w:tc>
        <w:tc>
          <w:tcPr>
            <w:tcW w:w="206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sz w:val="18"/>
                <w:szCs w:val="18"/>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4288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6" name="_x0000_tole_rId2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2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25" o:spid="_x0000_s1097" type="#_x0000_t75" style="position:absolute;left:0;text-align:left;margin-left:0;margin-top:0;width:50pt;height:50pt;z-index:251669504;visibility:hidden;mso-position-horizontal-relative:text;mso-position-vertical-relative:text">
                  <o:lock v:ext="edit" selection="t"/>
                </v:shape>
              </w:pict>
            </w:r>
            <w:r>
              <w:rPr>
                <w:rFonts w:eastAsia="Calibri" w:cs="Arial"/>
                <w:color w:val="7B7B7B"/>
              </w:rPr>
              <w:object w:dxaOrig="1485" w:dyaOrig="300">
                <v:shape id="ole_rId25" o:spid="_x0000_i1031" type="#_x0000_t75" style="width:74.25pt;height:15pt;visibility:visible;mso-wrap-distance-right:0" o:ole="">
                  <v:imagedata r:id="rId30" o:title=""/>
                </v:shape>
                <o:OLEObject Type="Embed" ProgID="ChemDraw.Document.6.0" ShapeID="ole_rId25" DrawAspect="Content" ObjectID="_1751767589" r:id="rId31"/>
              </w:object>
            </w:r>
          </w:p>
        </w:tc>
        <w:tc>
          <w:tcPr>
            <w:tcW w:w="1527" w:type="dxa"/>
            <w:tcBorders>
              <w:top w:val="nil"/>
              <w:bottom w:val="nil"/>
            </w:tcBorders>
            <w:shd w:val="clear" w:color="auto" w:fill="auto"/>
          </w:tcPr>
          <w:p w:rsidR="00470846" w:rsidRDefault="00470846">
            <w:pPr>
              <w:widowControl w:val="0"/>
              <w:tabs>
                <w:tab w:val="left" w:pos="471"/>
                <w:tab w:val="center" w:pos="612"/>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429"/>
                <w:tab w:val="center" w:pos="612"/>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6</w:t>
            </w:r>
          </w:p>
        </w:tc>
        <w:tc>
          <w:tcPr>
            <w:tcW w:w="1441" w:type="dxa"/>
            <w:tcBorders>
              <w:top w:val="nil"/>
              <w:bottom w:val="nil"/>
            </w:tcBorders>
            <w:shd w:val="clear" w:color="auto" w:fill="auto"/>
          </w:tcPr>
          <w:p w:rsidR="00470846" w:rsidRDefault="00470846">
            <w:pPr>
              <w:widowControl w:val="0"/>
              <w:tabs>
                <w:tab w:val="left" w:pos="263"/>
                <w:tab w:val="center" w:pos="47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80</w:t>
            </w:r>
          </w:p>
        </w:tc>
        <w:tc>
          <w:tcPr>
            <w:tcW w:w="2337" w:type="dxa"/>
            <w:tcBorders>
              <w:top w:val="nil"/>
              <w:bottom w:val="nil"/>
            </w:tcBorders>
            <w:shd w:val="clear" w:color="auto" w:fill="auto"/>
          </w:tcPr>
          <w:p w:rsidR="00470846" w:rsidRDefault="00470846">
            <w:pPr>
              <w:widowControl w:val="0"/>
              <w:tabs>
                <w:tab w:val="left" w:pos="789"/>
                <w:tab w:val="center" w:pos="101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92</w:t>
            </w:r>
          </w:p>
        </w:tc>
      </w:tr>
      <w:tr w:rsidR="00470846" w:rsidTr="00470846">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7</w:t>
            </w:r>
          </w:p>
          <w:p w:rsidR="00470846" w:rsidRDefault="00470846">
            <w:pPr>
              <w:widowControl w:val="0"/>
              <w:spacing w:after="0" w:line="0" w:lineRule="atLeast"/>
              <w:jc w:val="center"/>
              <w:rPr>
                <w:lang w:bidi="fa-IR"/>
              </w:rPr>
            </w:pPr>
          </w:p>
        </w:tc>
        <w:tc>
          <w:tcPr>
            <w:tcW w:w="2069"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sz w:val="14"/>
                <w:szCs w:val="14"/>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4185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7" name="_x0000_tole_rId2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27"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27" o:spid="_x0000_s1095" type="#_x0000_t75" style="position:absolute;left:0;text-align:left;margin-left:0;margin-top:0;width:50pt;height:50pt;z-index:251670528;visibility:hidden;mso-position-horizontal-relative:text;mso-position-vertical-relative:text">
                  <o:lock v:ext="edit" selection="t"/>
                </v:shape>
              </w:pict>
            </w:r>
            <w:r>
              <w:rPr>
                <w:rFonts w:eastAsia="Calibri" w:cs="Arial"/>
                <w:color w:val="7B7B7B"/>
              </w:rPr>
              <w:object w:dxaOrig="1890" w:dyaOrig="285">
                <v:shape id="ole_rId27" o:spid="_x0000_i1032" type="#_x0000_t75" style="width:94.5pt;height:14.25pt;visibility:visible;mso-wrap-distance-right:0" o:ole="">
                  <v:imagedata r:id="rId32" o:title=""/>
                </v:shape>
                <o:OLEObject Type="Embed" ProgID="ChemDraw.Document.6.0" ShapeID="ole_rId27" DrawAspect="Content" ObjectID="_1751767590" r:id="rId33"/>
              </w:object>
            </w:r>
          </w:p>
        </w:tc>
        <w:tc>
          <w:tcPr>
            <w:tcW w:w="1527" w:type="dxa"/>
            <w:tcBorders>
              <w:top w:val="nil"/>
              <w:bottom w:val="nil"/>
            </w:tcBorders>
            <w:shd w:val="clear" w:color="auto" w:fill="auto"/>
          </w:tcPr>
          <w:p w:rsidR="00470846" w:rsidRDefault="00470846">
            <w:pPr>
              <w:widowControl w:val="0"/>
              <w:tabs>
                <w:tab w:val="left" w:pos="471"/>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255"/>
                <w:tab w:val="center" w:pos="431"/>
              </w:tabs>
              <w:spacing w:after="0" w:line="0" w:lineRule="atLeast"/>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ab/>
            </w:r>
            <w:r>
              <w:rPr>
                <w:rFonts w:eastAsia="Calibri" w:cs="Arial"/>
                <w:b/>
                <w:bCs/>
                <w:color w:val="7B7B7B"/>
                <w:lang w:bidi="fa-IR"/>
              </w:rPr>
              <w:tab/>
              <w:t>7</w:t>
            </w:r>
          </w:p>
        </w:tc>
        <w:tc>
          <w:tcPr>
            <w:tcW w:w="1441"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263"/>
                <w:tab w:val="center" w:pos="477"/>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60</w:t>
            </w:r>
          </w:p>
        </w:tc>
        <w:tc>
          <w:tcPr>
            <w:tcW w:w="233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789"/>
                <w:tab w:val="center" w:pos="1017"/>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87</w:t>
            </w:r>
          </w:p>
        </w:tc>
      </w:tr>
      <w:tr w:rsidR="00470846" w:rsidTr="00470846">
        <w:trPr>
          <w:trHeight w:val="369"/>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8</w:t>
            </w:r>
          </w:p>
        </w:tc>
        <w:tc>
          <w:tcPr>
            <w:tcW w:w="206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sz w:val="12"/>
                <w:szCs w:val="12"/>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4083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8" name="_x0000_tole_rId2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2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29" o:spid="_x0000_s1093" type="#_x0000_t75" style="position:absolute;left:0;text-align:left;margin-left:0;margin-top:0;width:50pt;height:50pt;z-index:251671552;visibility:hidden;mso-position-horizontal-relative:text;mso-position-vertical-relative:text">
                  <o:lock v:ext="edit" selection="t"/>
                </v:shape>
              </w:pict>
            </w:r>
            <w:r>
              <w:rPr>
                <w:rFonts w:eastAsia="Calibri" w:cs="Arial"/>
                <w:color w:val="7B7B7B"/>
              </w:rPr>
              <w:object w:dxaOrig="1545" w:dyaOrig="315">
                <v:shape id="ole_rId29" o:spid="_x0000_i1033" type="#_x0000_t75" style="width:77.25pt;height:15.75pt;visibility:visible;mso-wrap-distance-right:0" o:ole="">
                  <v:imagedata r:id="rId34" o:title=""/>
                </v:shape>
                <o:OLEObject Type="Embed" ProgID="ChemDraw.Document.6.0" ShapeID="ole_rId29" DrawAspect="Content" ObjectID="_1751767591" r:id="rId35"/>
              </w:object>
            </w:r>
          </w:p>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tc>
        <w:tc>
          <w:tcPr>
            <w:tcW w:w="1527" w:type="dxa"/>
            <w:tcBorders>
              <w:top w:val="nil"/>
              <w:bottom w:val="nil"/>
            </w:tcBorders>
            <w:shd w:val="clear" w:color="auto" w:fill="auto"/>
          </w:tcPr>
          <w:p w:rsidR="00470846" w:rsidRDefault="00470846">
            <w:pPr>
              <w:widowControl w:val="0"/>
              <w:tabs>
                <w:tab w:val="left" w:pos="471"/>
                <w:tab w:val="center" w:pos="612"/>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6</w:t>
            </w:r>
          </w:p>
        </w:tc>
        <w:tc>
          <w:tcPr>
            <w:tcW w:w="1441" w:type="dxa"/>
            <w:tcBorders>
              <w:top w:val="nil"/>
              <w:bottom w:val="nil"/>
            </w:tcBorders>
            <w:shd w:val="clear" w:color="auto" w:fill="auto"/>
          </w:tcPr>
          <w:p w:rsidR="00470846" w:rsidRDefault="00470846">
            <w:pPr>
              <w:widowControl w:val="0"/>
              <w:tabs>
                <w:tab w:val="left" w:pos="263"/>
                <w:tab w:val="center" w:pos="47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263"/>
                <w:tab w:val="center" w:pos="47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w:t>
            </w:r>
          </w:p>
        </w:tc>
        <w:tc>
          <w:tcPr>
            <w:tcW w:w="2337" w:type="dxa"/>
            <w:tcBorders>
              <w:top w:val="nil"/>
              <w:bottom w:val="nil"/>
            </w:tcBorders>
            <w:shd w:val="clear" w:color="auto" w:fill="auto"/>
          </w:tcPr>
          <w:p w:rsidR="00470846" w:rsidRDefault="00470846">
            <w:pPr>
              <w:widowControl w:val="0"/>
              <w:tabs>
                <w:tab w:val="left" w:pos="789"/>
                <w:tab w:val="center" w:pos="101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789"/>
                <w:tab w:val="center" w:pos="1017"/>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&gt;99</w:t>
            </w:r>
          </w:p>
        </w:tc>
      </w:tr>
      <w:tr w:rsidR="00470846" w:rsidTr="00470846">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9</w:t>
            </w:r>
            <w:r>
              <w:rPr>
                <w:rFonts w:eastAsia="Calibri" w:cs="Arial"/>
                <w:color w:val="7B7B7B"/>
                <w:vertAlign w:val="superscript"/>
                <w:lang w:bidi="fa-IR"/>
              </w:rPr>
              <w:t>a</w:t>
            </w:r>
          </w:p>
        </w:tc>
        <w:tc>
          <w:tcPr>
            <w:tcW w:w="2069" w:type="dxa"/>
            <w:tcBorders>
              <w:top w:val="nil"/>
              <w:bottom w:val="nil"/>
            </w:tcBorders>
            <w:shd w:val="clear" w:color="auto" w:fill="auto"/>
          </w:tcPr>
          <w:p w:rsidR="00470846" w:rsidRDefault="00470846">
            <w:pPr>
              <w:widowControl w:val="0"/>
              <w:tabs>
                <w:tab w:val="left" w:pos="222"/>
                <w:tab w:val="center" w:pos="1006"/>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sz w:val="10"/>
                <w:szCs w:val="10"/>
              </w:rPr>
            </w:pPr>
          </w:p>
          <w:p w:rsidR="00470846" w:rsidRDefault="00C71C23">
            <w:pPr>
              <w:widowControl w:val="0"/>
              <w:tabs>
                <w:tab w:val="left" w:pos="222"/>
                <w:tab w:val="center" w:pos="1006"/>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3980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29" name="_x0000_tole_rId3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3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31" o:spid="_x0000_s1091" type="#_x0000_t75" style="position:absolute;left:0;text-align:left;margin-left:0;margin-top:0;width:50pt;height:50pt;z-index:251672576;visibility:hidden;mso-position-horizontal-relative:text;mso-position-vertical-relative:text">
                  <o:lock v:ext="edit" selection="t"/>
                </v:shape>
              </w:pict>
            </w:r>
            <w:r>
              <w:rPr>
                <w:rFonts w:eastAsia="Calibri" w:cs="Arial"/>
                <w:color w:val="7B7B7B"/>
              </w:rPr>
              <w:object w:dxaOrig="1140" w:dyaOrig="690">
                <v:shape id="ole_rId31" o:spid="_x0000_i1034" type="#_x0000_t75" style="width:57pt;height:34.5pt;visibility:visible;mso-wrap-distance-right:0" o:ole="">
                  <v:imagedata r:id="rId36" o:title=""/>
                </v:shape>
                <o:OLEObject Type="Embed" ProgID="ChemDraw.Document.6.0" ShapeID="ole_rId31" DrawAspect="Content" ObjectID="_1751767592" r:id="rId37"/>
              </w:object>
            </w: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sz w:val="10"/>
                <w:szCs w:val="10"/>
              </w:rPr>
            </w:pPr>
          </w:p>
        </w:tc>
        <w:tc>
          <w:tcPr>
            <w:tcW w:w="1527" w:type="dxa"/>
            <w:tcBorders>
              <w:top w:val="nil"/>
              <w:bottom w:val="nil"/>
            </w:tcBorders>
            <w:shd w:val="clear" w:color="auto" w:fill="auto"/>
          </w:tcPr>
          <w:p w:rsidR="00470846" w:rsidRDefault="00470846">
            <w:pPr>
              <w:widowControl w:val="0"/>
              <w:tabs>
                <w:tab w:val="left" w:pos="388"/>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tabs>
                <w:tab w:val="left" w:pos="388"/>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6</w:t>
            </w:r>
          </w:p>
        </w:tc>
        <w:tc>
          <w:tcPr>
            <w:tcW w:w="1441"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263"/>
                <w:tab w:val="center" w:pos="477"/>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94</w:t>
            </w:r>
          </w:p>
        </w:tc>
        <w:tc>
          <w:tcPr>
            <w:tcW w:w="2337" w:type="dxa"/>
            <w:tcBorders>
              <w:top w:val="nil"/>
              <w:bottom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789"/>
                <w:tab w:val="center" w:pos="1017"/>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&gt;99</w:t>
            </w:r>
          </w:p>
        </w:tc>
      </w:tr>
      <w:tr w:rsidR="00470846" w:rsidTr="00470846">
        <w:tc>
          <w:tcPr>
            <w:cnfStyle w:val="001000000000" w:firstRow="0" w:lastRow="0" w:firstColumn="1" w:lastColumn="0" w:oddVBand="0" w:evenVBand="0" w:oddHBand="0" w:evenHBand="0" w:firstRowFirstColumn="0" w:firstRowLastColumn="0" w:lastRowFirstColumn="0" w:lastRowLastColumn="0"/>
            <w:tcW w:w="721" w:type="dxa"/>
            <w:tcBorders>
              <w:top w:val="nil"/>
              <w:bottom w:val="nil"/>
            </w:tcBorders>
            <w:shd w:val="clear" w:color="auto" w:fill="auto"/>
          </w:tcPr>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10</w:t>
            </w:r>
            <w:r>
              <w:rPr>
                <w:rFonts w:eastAsia="Calibri" w:cs="Arial"/>
                <w:color w:val="7B7B7B"/>
                <w:vertAlign w:val="superscript"/>
                <w:lang w:bidi="fa-IR"/>
              </w:rPr>
              <w:t>a</w:t>
            </w:r>
          </w:p>
        </w:tc>
        <w:tc>
          <w:tcPr>
            <w:tcW w:w="2069" w:type="dxa"/>
            <w:tcBorders>
              <w:top w:val="nil"/>
              <w:bottom w:val="nil"/>
            </w:tcBorders>
            <w:shd w:val="clear" w:color="auto" w:fill="auto"/>
          </w:tcPr>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878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0" name="_x0000_tole_rId3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3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33" o:spid="_x0000_s1089" type="#_x0000_t75" style="position:absolute;left:0;text-align:left;margin-left:0;margin-top:0;width:50pt;height:50pt;z-index:251673600;visibility:hidden;mso-position-horizontal-relative:text;mso-position-vertical-relative:text">
                  <o:lock v:ext="edit" selection="t"/>
                </v:shape>
              </w:pict>
            </w:r>
            <w:r>
              <w:rPr>
                <w:rFonts w:eastAsia="Calibri" w:cs="Arial"/>
                <w:color w:val="7B7B7B"/>
              </w:rPr>
              <w:object w:dxaOrig="1425" w:dyaOrig="705">
                <v:shape id="ole_rId33" o:spid="_x0000_i1035" type="#_x0000_t75" style="width:71.25pt;height:35.25pt;visibility:visible;mso-wrap-distance-right:0" o:ole="">
                  <v:imagedata r:id="rId38" o:title=""/>
                </v:shape>
                <o:OLEObject Type="Embed" ProgID="ChemDraw.Document.6.0" ShapeID="ole_rId33" DrawAspect="Content" ObjectID="_1751767593" r:id="rId39"/>
              </w:object>
            </w:r>
          </w:p>
        </w:tc>
        <w:tc>
          <w:tcPr>
            <w:tcW w:w="152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w:t>
            </w:r>
          </w:p>
        </w:tc>
        <w:tc>
          <w:tcPr>
            <w:tcW w:w="1079"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6</w:t>
            </w:r>
          </w:p>
        </w:tc>
        <w:tc>
          <w:tcPr>
            <w:tcW w:w="1441"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71</w:t>
            </w:r>
          </w:p>
        </w:tc>
        <w:tc>
          <w:tcPr>
            <w:tcW w:w="2337" w:type="dxa"/>
            <w:tcBorders>
              <w:top w:val="nil"/>
              <w:bottom w:val="nil"/>
            </w:tcBorders>
            <w:shd w:val="clear" w:color="auto" w:fill="auto"/>
          </w:tcPr>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&gt;99</w:t>
            </w:r>
          </w:p>
          <w:p w:rsidR="00470846" w:rsidRDefault="00470846">
            <w:pPr>
              <w:widowControl w:val="0"/>
              <w:spacing w:after="0" w:line="0" w:lineRule="atLeast"/>
              <w:jc w:val="center"/>
              <w:cnfStyle w:val="000000000000" w:firstRow="0" w:lastRow="0" w:firstColumn="0" w:lastColumn="0" w:oddVBand="0" w:evenVBand="0" w:oddHBand="0" w:evenHBand="0" w:firstRowFirstColumn="0" w:firstRowLastColumn="0" w:lastRowFirstColumn="0" w:lastRowLastColumn="0"/>
              <w:rPr>
                <w:b/>
                <w:bCs/>
                <w:lang w:bidi="fa-IR"/>
              </w:rPr>
            </w:pPr>
          </w:p>
        </w:tc>
      </w:tr>
      <w:tr w:rsidR="00470846" w:rsidTr="00470846">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721" w:type="dxa"/>
            <w:tcBorders>
              <w:top w:val="nil"/>
            </w:tcBorders>
            <w:shd w:val="clear" w:color="auto" w:fill="auto"/>
          </w:tcPr>
          <w:p w:rsidR="00470846" w:rsidRDefault="00470846">
            <w:pPr>
              <w:widowControl w:val="0"/>
              <w:spacing w:after="0" w:line="0" w:lineRule="atLeast"/>
              <w:rPr>
                <w:lang w:bidi="fa-IR"/>
              </w:rPr>
            </w:pPr>
          </w:p>
          <w:p w:rsidR="00470846" w:rsidRDefault="00470846">
            <w:pPr>
              <w:widowControl w:val="0"/>
              <w:spacing w:after="0" w:line="0" w:lineRule="atLeast"/>
              <w:jc w:val="center"/>
              <w:rPr>
                <w:lang w:bidi="fa-IR"/>
              </w:rPr>
            </w:pPr>
          </w:p>
          <w:p w:rsidR="00470846" w:rsidRDefault="00C71C23">
            <w:pPr>
              <w:widowControl w:val="0"/>
              <w:spacing w:after="0" w:line="0" w:lineRule="atLeast"/>
              <w:jc w:val="center"/>
              <w:rPr>
                <w:lang w:bidi="fa-IR"/>
              </w:rPr>
            </w:pPr>
            <w:r>
              <w:rPr>
                <w:rFonts w:eastAsia="Calibri" w:cs="Arial"/>
                <w:color w:val="7B7B7B"/>
                <w:lang w:bidi="fa-IR"/>
              </w:rPr>
              <w:t>11</w:t>
            </w:r>
            <w:r>
              <w:rPr>
                <w:rFonts w:eastAsia="Calibri" w:cs="Arial"/>
                <w:color w:val="7B7B7B"/>
                <w:vertAlign w:val="superscript"/>
                <w:lang w:bidi="fa-IR"/>
              </w:rPr>
              <w:t>b</w:t>
            </w:r>
          </w:p>
        </w:tc>
        <w:tc>
          <w:tcPr>
            <w:tcW w:w="2069" w:type="dxa"/>
            <w:tcBorders>
              <w:top w:val="nil"/>
            </w:tcBorders>
            <w:shd w:val="clear" w:color="auto" w:fill="auto"/>
          </w:tcPr>
          <w:p w:rsidR="00470846" w:rsidRDefault="00470846">
            <w:pPr>
              <w:widowControl w:val="0"/>
              <w:tabs>
                <w:tab w:val="left" w:pos="222"/>
                <w:tab w:val="center" w:pos="1006"/>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sz w:val="18"/>
                <w:szCs w:val="18"/>
              </w:rPr>
            </w:pPr>
          </w:p>
          <w:p w:rsidR="00470846" w:rsidRDefault="00C71C23">
            <w:pPr>
              <w:widowControl w:val="0"/>
              <w:tabs>
                <w:tab w:val="left" w:pos="222"/>
                <w:tab w:val="center" w:pos="1006"/>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3776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1" name="_x0000_tole_rId3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3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35" o:spid="_x0000_s1087" type="#_x0000_t75" style="position:absolute;left:0;text-align:left;margin-left:0;margin-top:0;width:50pt;height:50pt;z-index:251674624;visibility:hidden;mso-position-horizontal-relative:text;mso-position-vertical-relative:text">
                  <o:lock v:ext="edit" selection="t"/>
                </v:shape>
              </w:pict>
            </w:r>
            <w:r>
              <w:rPr>
                <w:rFonts w:eastAsia="Calibri" w:cs="Arial"/>
                <w:color w:val="7B7B7B"/>
              </w:rPr>
              <w:object w:dxaOrig="1845" w:dyaOrig="780">
                <v:shape id="ole_rId35" o:spid="_x0000_i1036" type="#_x0000_t75" style="width:92.25pt;height:39pt;visibility:visible;mso-wrap-distance-right:0" o:ole="">
                  <v:imagedata r:id="rId40" o:title=""/>
                </v:shape>
                <o:OLEObject Type="Embed" ProgID="ChemDraw.Document.6.0" ShapeID="ole_rId35" DrawAspect="Content" ObjectID="_1751767594" r:id="rId41"/>
              </w:object>
            </w:r>
          </w:p>
        </w:tc>
        <w:tc>
          <w:tcPr>
            <w:tcW w:w="1527" w:type="dxa"/>
            <w:tcBorders>
              <w:top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4</w:t>
            </w:r>
          </w:p>
          <w:p w:rsidR="00470846" w:rsidRDefault="00470846">
            <w:pPr>
              <w:widowControl w:val="0"/>
              <w:tabs>
                <w:tab w:val="left" w:pos="388"/>
                <w:tab w:val="center" w:pos="612"/>
              </w:tabs>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tc>
        <w:tc>
          <w:tcPr>
            <w:tcW w:w="1079" w:type="dxa"/>
            <w:tcBorders>
              <w:top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10</w:t>
            </w:r>
          </w:p>
        </w:tc>
        <w:tc>
          <w:tcPr>
            <w:tcW w:w="1441" w:type="dxa"/>
            <w:tcBorders>
              <w:top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12</w:t>
            </w:r>
          </w:p>
        </w:tc>
        <w:tc>
          <w:tcPr>
            <w:tcW w:w="2337" w:type="dxa"/>
            <w:tcBorders>
              <w:top w:val="nil"/>
            </w:tcBorders>
            <w:shd w:val="clear" w:color="auto" w:fill="auto"/>
          </w:tcPr>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&gt;99</w:t>
            </w:r>
          </w:p>
          <w:p w:rsidR="00470846" w:rsidRDefault="00470846">
            <w:pPr>
              <w:widowControl w:val="0"/>
              <w:spacing w:after="0" w:line="0" w:lineRule="atLeast"/>
              <w:jc w:val="center"/>
              <w:cnfStyle w:val="000000100000" w:firstRow="0" w:lastRow="0" w:firstColumn="0" w:lastColumn="0" w:oddVBand="0" w:evenVBand="0" w:oddHBand="1" w:evenHBand="0" w:firstRowFirstColumn="0" w:firstRowLastColumn="0" w:lastRowFirstColumn="0" w:lastRowLastColumn="0"/>
              <w:rPr>
                <w:b/>
                <w:bCs/>
                <w:lang w:bidi="fa-IR"/>
              </w:rPr>
            </w:pPr>
          </w:p>
        </w:tc>
      </w:tr>
    </w:tbl>
    <w:p w:rsidR="00470846" w:rsidRDefault="00C71C23" w:rsidP="00C71C23">
      <w:pPr>
        <w:spacing w:line="240" w:lineRule="auto"/>
        <w:ind w:right="180"/>
        <w:rPr>
          <w:sz w:val="20"/>
          <w:szCs w:val="20"/>
        </w:rPr>
      </w:pPr>
      <w:r>
        <w:rPr>
          <w:sz w:val="20"/>
          <w:szCs w:val="20"/>
        </w:rPr>
        <w:t>Reaction conditions: Catalyst (40 mg), Alkene (1 mmol), Na</w:t>
      </w:r>
      <w:r>
        <w:rPr>
          <w:sz w:val="20"/>
          <w:szCs w:val="20"/>
          <w:vertAlign w:val="subscript"/>
        </w:rPr>
        <w:t>2</w:t>
      </w:r>
      <w:r>
        <w:rPr>
          <w:sz w:val="20"/>
          <w:szCs w:val="20"/>
        </w:rPr>
        <w:t>SO</w:t>
      </w:r>
      <w:r>
        <w:rPr>
          <w:sz w:val="20"/>
          <w:szCs w:val="20"/>
          <w:vertAlign w:val="subscript"/>
        </w:rPr>
        <w:t>3</w:t>
      </w:r>
      <w:r>
        <w:rPr>
          <w:sz w:val="20"/>
          <w:szCs w:val="20"/>
        </w:rPr>
        <w:t>, water (0.5 mL), oxygen balloon, T=R.T.. [a] Catalyst (40 mg), Alkene (1 mmol), Na</w:t>
      </w:r>
      <w:r>
        <w:rPr>
          <w:sz w:val="20"/>
          <w:szCs w:val="20"/>
          <w:vertAlign w:val="subscript"/>
        </w:rPr>
        <w:t>2</w:t>
      </w:r>
      <w:r>
        <w:rPr>
          <w:sz w:val="20"/>
          <w:szCs w:val="20"/>
        </w:rPr>
        <w:t>SO</w:t>
      </w:r>
      <w:r>
        <w:rPr>
          <w:sz w:val="20"/>
          <w:szCs w:val="20"/>
          <w:vertAlign w:val="subscript"/>
        </w:rPr>
        <w:t>3</w:t>
      </w:r>
      <w:r>
        <w:rPr>
          <w:sz w:val="20"/>
          <w:szCs w:val="20"/>
        </w:rPr>
        <w:t>, water (0.5 mL), acetic acid (1.5 eq), oxygen balloon, T=60 ᴼC. [b] Catalyst (60 mg), Alkene (1 mmol), Na</w:t>
      </w:r>
      <w:r>
        <w:rPr>
          <w:sz w:val="20"/>
          <w:szCs w:val="20"/>
          <w:vertAlign w:val="subscript"/>
        </w:rPr>
        <w:t>2</w:t>
      </w:r>
      <w:r>
        <w:rPr>
          <w:sz w:val="20"/>
          <w:szCs w:val="20"/>
        </w:rPr>
        <w:t>SO</w:t>
      </w:r>
      <w:r>
        <w:rPr>
          <w:sz w:val="20"/>
          <w:szCs w:val="20"/>
          <w:vertAlign w:val="subscript"/>
        </w:rPr>
        <w:t>3</w:t>
      </w:r>
      <w:r>
        <w:rPr>
          <w:sz w:val="20"/>
          <w:szCs w:val="20"/>
        </w:rPr>
        <w:t>, water (0.5 mL), acetic acid (1.5 eq), oxygen balloon, T= 60 ᴼC.</w:t>
      </w:r>
    </w:p>
    <w:p w:rsidR="00470846" w:rsidRDefault="00C71C23">
      <w:r>
        <w:rPr>
          <w:sz w:val="20"/>
          <w:szCs w:val="20"/>
        </w:rPr>
        <w:t>The mentioned conversions percentages and selectivity percentages are the average results of 3 reactions and are obtained by GC analysis.</w:t>
      </w:r>
    </w:p>
    <w:p w:rsidR="00470846" w:rsidRDefault="00C71C23" w:rsidP="007F3568">
      <w:pPr>
        <w:jc w:val="lowKashida"/>
        <w:rPr>
          <w:lang w:bidi="fa-IR"/>
        </w:rPr>
      </w:pPr>
      <w:r>
        <w:t xml:space="preserve">The scope of different alkene epoxidation reactions in the presence of TEMPO under optimized conditions were studied (Table 4). Herein, </w:t>
      </w:r>
      <w:r>
        <w:rPr>
          <w:lang w:bidi="fa-IR"/>
        </w:rPr>
        <w:t>similar to the alkenes activities in the presence of sulfite, the behavior of alkenes strongly depended on the steric rather than the electronic effects of the substituents around the double bond. The best conversions belonged to the 5 and 6-membered cyclic and final chained alkenes (</w:t>
      </w:r>
      <w:r>
        <w:t>Table 4, e</w:t>
      </w:r>
      <w:r>
        <w:rPr>
          <w:lang w:bidi="fa-IR"/>
        </w:rPr>
        <w:t xml:space="preserve">ntries 1, 2 and 6) while the other entries including larger size cyclic and chain alkenes were more difficult to convert. Likewise, the aromatic alkenes epoxidation (entries 9-11) did proceed in the presence of higher TEMPO quantities, higher temperatures (50 ᴼC) and weak acidic media. </w:t>
      </w:r>
    </w:p>
    <w:p w:rsidR="00470846" w:rsidRDefault="00C71C23" w:rsidP="007F3568">
      <w:pPr>
        <w:jc w:val="lowKashida"/>
        <w:rPr>
          <w:lang w:bidi="fa-IR"/>
        </w:rPr>
      </w:pPr>
      <w:r>
        <w:rPr>
          <w:lang w:bidi="fa-IR"/>
        </w:rPr>
        <w:t>Consequently, the similar performances of different alkenes and efficiency with both sulfite and TEMPO-assisted catalytic mechanisms, strongly confirmed that the oxygen atom transfer agents in both mechanisms is the same, i.e., a Fe(IV)=O species. Besides, the observation of similar reactivity of some olefins, especially aromatic alkenes, in the presence of acid suggested the identical role played by H</w:t>
      </w:r>
      <w:r>
        <w:rPr>
          <w:vertAlign w:val="superscript"/>
          <w:lang w:bidi="fa-IR"/>
        </w:rPr>
        <w:t xml:space="preserve">+ </w:t>
      </w:r>
      <w:r>
        <w:rPr>
          <w:lang w:bidi="fa-IR"/>
        </w:rPr>
        <w:t>in the</w:t>
      </w:r>
      <w:r>
        <w:rPr>
          <w:vertAlign w:val="superscript"/>
          <w:lang w:bidi="fa-IR"/>
        </w:rPr>
        <w:t xml:space="preserve"> </w:t>
      </w:r>
      <w:r>
        <w:rPr>
          <w:lang w:bidi="fa-IR"/>
        </w:rPr>
        <w:t>two</w:t>
      </w:r>
      <w:r>
        <w:rPr>
          <w:vertAlign w:val="superscript"/>
          <w:lang w:bidi="fa-IR"/>
        </w:rPr>
        <w:t xml:space="preserve"> </w:t>
      </w:r>
      <w:r>
        <w:rPr>
          <w:lang w:bidi="fa-IR"/>
        </w:rPr>
        <w:t>catalytic systems. Accordingly, further experiments including epoxidation reaction of styrene under optimized catalyst quantity and solvent, in the absence of the main additives (sulfite and TEMPO) and in the presence of acetic acid (1.5 eq), at 60 ᴼC were carried out and no significant conversion appeared. This result rejected the role of H</w:t>
      </w:r>
      <w:r>
        <w:rPr>
          <w:vertAlign w:val="superscript"/>
          <w:lang w:bidi="fa-IR"/>
        </w:rPr>
        <w:t>+</w:t>
      </w:r>
      <w:r>
        <w:rPr>
          <w:lang w:bidi="fa-IR"/>
        </w:rPr>
        <w:t xml:space="preserve"> in directing a parallel mechanism and approved its effective function to promote the both mentioned sulfite and TEMPO mechanisms indirectly. The most probable suggestion for the role of H</w:t>
      </w:r>
      <w:r>
        <w:rPr>
          <w:vertAlign w:val="superscript"/>
          <w:lang w:bidi="fa-IR"/>
        </w:rPr>
        <w:t>+</w:t>
      </w:r>
      <w:r>
        <w:rPr>
          <w:lang w:bidi="fa-IR"/>
        </w:rPr>
        <w:t xml:space="preserve"> is assumed with considering cytochrome P450 cycle (Figure 1, peroxide shunt pathway, shortcut 8). Based on this pathway, H</w:t>
      </w:r>
      <w:r>
        <w:rPr>
          <w:vertAlign w:val="subscript"/>
          <w:lang w:bidi="fa-IR"/>
        </w:rPr>
        <w:t>2</w:t>
      </w:r>
      <w:r>
        <w:rPr>
          <w:lang w:bidi="fa-IR"/>
        </w:rPr>
        <w:t>O</w:t>
      </w:r>
      <w:r>
        <w:rPr>
          <w:vertAlign w:val="subscript"/>
          <w:lang w:bidi="fa-IR"/>
        </w:rPr>
        <w:t>2</w:t>
      </w:r>
      <w:r>
        <w:rPr>
          <w:lang w:bidi="fa-IR"/>
        </w:rPr>
        <w:t xml:space="preserve"> obtained from the reaction of peroxide molecule with proton  is potentially reactive to combine with Fe(III) species to generate a hydroperoxo intermediate, Fe</w:t>
      </w:r>
      <w:r>
        <w:rPr>
          <w:vertAlign w:val="superscript"/>
          <w:lang w:bidi="fa-IR"/>
        </w:rPr>
        <w:t>III</w:t>
      </w:r>
      <w:r>
        <w:rPr>
          <w:lang w:bidi="fa-IR"/>
        </w:rPr>
        <w:t>-O-O-H, which is highly reactive to heterolytic  splitting of O-O bond, forming the super active high-valent oxoiron(V) intermediate and accelerating the epoxidation process (Scheme 4).</w:t>
      </w:r>
    </w:p>
    <w:p w:rsidR="00E8649C" w:rsidRDefault="00E8649C" w:rsidP="007F3568">
      <w:pPr>
        <w:jc w:val="lowKashida"/>
        <w:rPr>
          <w:lang w:bidi="fa-IR"/>
        </w:rPr>
      </w:pPr>
    </w:p>
    <w:p w:rsidR="00E8649C" w:rsidRDefault="00E8649C" w:rsidP="007F3568">
      <w:pPr>
        <w:jc w:val="lowKashida"/>
        <w:rPr>
          <w:lang w:bidi="fa-IR"/>
        </w:rPr>
      </w:pPr>
    </w:p>
    <w:p w:rsidR="00470846" w:rsidRDefault="00C71C23">
      <w:pPr>
        <w:jc w:val="center"/>
        <w:rPr>
          <w:lang w:bidi="fa-IR"/>
        </w:rPr>
      </w:pPr>
      <w:r>
        <w:rPr>
          <w:noProof/>
        </w:rPr>
        <mc:AlternateContent>
          <mc:Choice Requires="wps">
            <w:drawing>
              <wp:anchor distT="0" distB="0" distL="114300" distR="0" simplePos="0" relativeHeight="251636736" behindDoc="0" locked="0" layoutInCell="0" allowOverlap="1">
                <wp:simplePos x="0" y="0"/>
                <wp:positionH relativeFrom="column">
                  <wp:posOffset>635</wp:posOffset>
                </wp:positionH>
                <wp:positionV relativeFrom="paragraph">
                  <wp:posOffset>635</wp:posOffset>
                </wp:positionV>
                <wp:extent cx="635000" cy="635000"/>
                <wp:effectExtent l="635" t="0" r="0" b="0"/>
                <wp:wrapNone/>
                <wp:docPr id="32" name="_x0000_tole_rId3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37" stroked="f" o:allowincell="f"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 id="_x0000_tole_rId37" o:spid="_x0000_s1085" type="#_x0000_t75" style="position:absolute;left:0;text-align:left;margin-left:0;margin-top:0;width:50pt;height:50pt;z-index:251675648;visibility:hidden;mso-position-horizontal-relative:text;mso-position-vertical-relative:text">
            <o:lock v:ext="edit" selection="t"/>
          </v:shape>
        </w:pict>
      </w:r>
      <w:r>
        <w:object w:dxaOrig="6885" w:dyaOrig="5445">
          <v:shape id="ole_rId37" o:spid="_x0000_i1037" type="#_x0000_t75" style="width:344.25pt;height:272.25pt;visibility:visible;mso-wrap-distance-right:0" o:ole="">
            <v:imagedata r:id="rId42" o:title=""/>
          </v:shape>
          <o:OLEObject Type="Embed" ProgID="ChemDraw.Document.6.0" ShapeID="ole_rId37" DrawAspect="Content" ObjectID="_1751767595" r:id="rId43"/>
        </w:object>
      </w:r>
    </w:p>
    <w:p w:rsidR="00470846" w:rsidRPr="00C71C23" w:rsidRDefault="00C71C23">
      <w:pPr>
        <w:jc w:val="center"/>
        <w:rPr>
          <w:sz w:val="20"/>
          <w:szCs w:val="20"/>
          <w:lang w:bidi="fa-IR"/>
        </w:rPr>
      </w:pPr>
      <w:r w:rsidRPr="00C71C23">
        <w:rPr>
          <w:b/>
          <w:bCs/>
          <w:sz w:val="20"/>
          <w:szCs w:val="20"/>
          <w:lang w:bidi="fa-IR"/>
        </w:rPr>
        <w:t xml:space="preserve">Scheme 4: </w:t>
      </w:r>
      <w:r w:rsidRPr="00C71C23">
        <w:rPr>
          <w:sz w:val="20"/>
          <w:szCs w:val="20"/>
          <w:lang w:bidi="fa-IR"/>
        </w:rPr>
        <w:t>The role of acid in catalytic epoxidation reaction. Grey spheres are Fe</w:t>
      </w:r>
      <w:r w:rsidRPr="00C71C23">
        <w:rPr>
          <w:sz w:val="20"/>
          <w:szCs w:val="20"/>
          <w:vertAlign w:val="subscript"/>
          <w:lang w:bidi="fa-IR"/>
        </w:rPr>
        <w:t>3</w:t>
      </w:r>
      <w:r w:rsidRPr="00C71C23">
        <w:rPr>
          <w:sz w:val="20"/>
          <w:szCs w:val="20"/>
          <w:lang w:bidi="fa-IR"/>
        </w:rPr>
        <w:t>O</w:t>
      </w:r>
      <w:r w:rsidRPr="00C71C23">
        <w:rPr>
          <w:sz w:val="20"/>
          <w:szCs w:val="20"/>
          <w:vertAlign w:val="subscript"/>
          <w:lang w:bidi="fa-IR"/>
        </w:rPr>
        <w:t>4</w:t>
      </w:r>
      <w:r w:rsidRPr="00C71C23">
        <w:rPr>
          <w:sz w:val="20"/>
          <w:szCs w:val="20"/>
          <w:lang w:bidi="fa-IR"/>
        </w:rPr>
        <w:t>@SiO</w:t>
      </w:r>
      <w:r w:rsidRPr="00C71C23">
        <w:rPr>
          <w:sz w:val="20"/>
          <w:szCs w:val="20"/>
          <w:vertAlign w:val="subscript"/>
          <w:lang w:bidi="fa-IR"/>
        </w:rPr>
        <w:t>2</w:t>
      </w:r>
      <w:r w:rsidRPr="00C71C23">
        <w:rPr>
          <w:sz w:val="20"/>
          <w:szCs w:val="20"/>
          <w:lang w:bidi="fa-IR"/>
        </w:rPr>
        <w:t xml:space="preserve"> nanoparticles.</w:t>
      </w:r>
    </w:p>
    <w:p w:rsidR="00470846" w:rsidRDefault="00470846">
      <w:pPr>
        <w:jc w:val="center"/>
        <w:rPr>
          <w:b/>
          <w:bCs/>
          <w:lang w:bidi="fa-IR"/>
        </w:rPr>
      </w:pPr>
    </w:p>
    <w:p w:rsidR="00470846" w:rsidRDefault="00470846">
      <w:pPr>
        <w:jc w:val="center"/>
        <w:rPr>
          <w:b/>
          <w:bCs/>
          <w:lang w:bidi="fa-IR"/>
        </w:rPr>
      </w:pPr>
    </w:p>
    <w:p w:rsidR="00470846" w:rsidRPr="00C71C23" w:rsidRDefault="00C71C23">
      <w:pPr>
        <w:rPr>
          <w:sz w:val="20"/>
          <w:szCs w:val="20"/>
          <w:lang w:bidi="fa-IR"/>
        </w:rPr>
      </w:pPr>
      <w:r w:rsidRPr="00C71C23">
        <w:rPr>
          <w:b/>
          <w:bCs/>
          <w:sz w:val="20"/>
          <w:szCs w:val="20"/>
          <w:lang w:bidi="fa-IR"/>
        </w:rPr>
        <w:t>Table 4:</w:t>
      </w:r>
      <w:r w:rsidRPr="00C71C23">
        <w:rPr>
          <w:sz w:val="20"/>
          <w:szCs w:val="20"/>
          <w:lang w:bidi="fa-IR"/>
        </w:rPr>
        <w:t xml:space="preserve"> The scope of catalytic epoxidation reaction in the presence of TEMPO</w:t>
      </w:r>
    </w:p>
    <w:tbl>
      <w:tblPr>
        <w:tblStyle w:val="ListTable6Colorful-Accent3"/>
        <w:tblW w:w="9085" w:type="dxa"/>
        <w:tblLayout w:type="fixed"/>
        <w:tblLook w:val="04A0" w:firstRow="1" w:lastRow="0" w:firstColumn="1" w:lastColumn="0" w:noHBand="0" w:noVBand="1"/>
      </w:tblPr>
      <w:tblGrid>
        <w:gridCol w:w="805"/>
        <w:gridCol w:w="1980"/>
        <w:gridCol w:w="1532"/>
        <w:gridCol w:w="898"/>
        <w:gridCol w:w="1530"/>
        <w:gridCol w:w="2340"/>
      </w:tblGrid>
      <w:tr w:rsidR="00470846" w:rsidTr="004708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 w:type="dxa"/>
            <w:shd w:val="clear" w:color="auto" w:fill="D9E2F3" w:themeFill="accent5" w:themeFillTint="33"/>
          </w:tcPr>
          <w:p w:rsidR="00470846" w:rsidRDefault="00C71C23">
            <w:pPr>
              <w:widowControl w:val="0"/>
              <w:spacing w:after="0" w:line="240" w:lineRule="auto"/>
              <w:jc w:val="center"/>
              <w:rPr>
                <w:lang w:bidi="fa-IR"/>
              </w:rPr>
            </w:pPr>
            <w:r>
              <w:rPr>
                <w:rFonts w:eastAsia="Calibri" w:cs="Arial"/>
                <w:color w:val="7B7B7B"/>
                <w:lang w:bidi="fa-IR"/>
              </w:rPr>
              <w:t>Entry</w:t>
            </w:r>
          </w:p>
        </w:tc>
        <w:tc>
          <w:tcPr>
            <w:tcW w:w="1980" w:type="dxa"/>
            <w:shd w:val="clear" w:color="auto" w:fill="D9E2F3" w:themeFill="accent5" w:themeFillTint="33"/>
          </w:tcPr>
          <w:p w:rsidR="00470846" w:rsidRDefault="00C71C23">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Substrate</w:t>
            </w:r>
          </w:p>
        </w:tc>
        <w:tc>
          <w:tcPr>
            <w:tcW w:w="1532" w:type="dxa"/>
            <w:shd w:val="clear" w:color="auto" w:fill="D9E2F3" w:themeFill="accent5" w:themeFillTint="33"/>
          </w:tcPr>
          <w:p w:rsidR="00470846" w:rsidRDefault="00C71C23">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TEMPO (mmol)</w:t>
            </w:r>
          </w:p>
        </w:tc>
        <w:tc>
          <w:tcPr>
            <w:tcW w:w="898" w:type="dxa"/>
            <w:shd w:val="clear" w:color="auto" w:fill="D9E2F3" w:themeFill="accent5" w:themeFillTint="33"/>
          </w:tcPr>
          <w:p w:rsidR="00470846" w:rsidRDefault="00C71C23">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Time (h)</w:t>
            </w:r>
          </w:p>
        </w:tc>
        <w:tc>
          <w:tcPr>
            <w:tcW w:w="1530" w:type="dxa"/>
            <w:shd w:val="clear" w:color="auto" w:fill="D9E2F3" w:themeFill="accent5" w:themeFillTint="33"/>
          </w:tcPr>
          <w:p w:rsidR="00470846" w:rsidRDefault="00C71C23">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Conversion (%)</w:t>
            </w:r>
          </w:p>
        </w:tc>
        <w:tc>
          <w:tcPr>
            <w:tcW w:w="2340" w:type="dxa"/>
            <w:shd w:val="clear" w:color="auto" w:fill="D9E2F3" w:themeFill="accent5" w:themeFillTint="33"/>
          </w:tcPr>
          <w:p w:rsidR="00470846" w:rsidRDefault="00C71C23">
            <w:pPr>
              <w:widowControl w:val="0"/>
              <w:spacing w:after="0" w:line="240" w:lineRule="auto"/>
              <w:jc w:val="center"/>
              <w:cnfStyle w:val="100000000000" w:firstRow="1" w:lastRow="0" w:firstColumn="0" w:lastColumn="0" w:oddVBand="0" w:evenVBand="0" w:oddHBand="0" w:evenHBand="0" w:firstRowFirstColumn="0" w:firstRowLastColumn="0" w:lastRowFirstColumn="0" w:lastRowLastColumn="0"/>
              <w:rPr>
                <w:lang w:bidi="fa-IR"/>
              </w:rPr>
            </w:pPr>
            <w:r>
              <w:rPr>
                <w:rFonts w:eastAsia="Calibri" w:cs="Arial"/>
                <w:color w:val="7B7B7B"/>
                <w:lang w:bidi="fa-IR"/>
              </w:rPr>
              <w:t>Selectivity to epoxide (%)</w:t>
            </w:r>
          </w:p>
        </w:tc>
      </w:tr>
      <w:tr w:rsidR="00470846" w:rsidTr="00470846">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1</w:t>
            </w:r>
          </w:p>
        </w:tc>
        <w:tc>
          <w:tcPr>
            <w:tcW w:w="198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571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3" name="_x0000_tole_rId3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3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39" o:spid="_x0000_s1083" type="#_x0000_t75" style="position:absolute;left:0;text-align:left;margin-left:0;margin-top:0;width:50pt;height:50pt;z-index:251676672;visibility:hidden;mso-position-horizontal-relative:text;mso-position-vertical-relative:text">
                  <o:lock v:ext="edit" selection="t"/>
                </v:shape>
              </w:pict>
            </w:r>
            <w:r>
              <w:rPr>
                <w:rFonts w:eastAsia="Calibri" w:cs="Arial"/>
                <w:color w:val="7B7B7B"/>
              </w:rPr>
              <w:object w:dxaOrig="750" w:dyaOrig="705">
                <v:shape id="ole_rId39" o:spid="_x0000_i1038" type="#_x0000_t75" style="width:37.5pt;height:35.25pt;visibility:visible;mso-wrap-distance-right:0" o:ole="">
                  <v:imagedata r:id="rId44" o:title=""/>
                </v:shape>
                <o:OLEObject Type="Embed" ProgID="ChemDraw.Document.6.0" ShapeID="ole_rId39" DrawAspect="Content" ObjectID="_1751767596" r:id="rId45"/>
              </w:object>
            </w:r>
          </w:p>
        </w:tc>
        <w:tc>
          <w:tcPr>
            <w:tcW w:w="1532"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0.05</w:t>
            </w:r>
          </w:p>
        </w:tc>
        <w:tc>
          <w:tcPr>
            <w:tcW w:w="898"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w:t>
            </w: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4"/>
                <w:szCs w:val="24"/>
                <w:lang w:bidi="fa-IR"/>
              </w:rPr>
            </w:pPr>
          </w:p>
        </w:tc>
        <w:tc>
          <w:tcPr>
            <w:tcW w:w="153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85</w:t>
            </w:r>
          </w:p>
        </w:tc>
        <w:tc>
          <w:tcPr>
            <w:tcW w:w="234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&gt;99</w:t>
            </w:r>
          </w:p>
        </w:tc>
      </w:tr>
      <w:tr w:rsidR="00470846" w:rsidTr="00470846">
        <w:trPr>
          <w:trHeight w:val="819"/>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2</w:t>
            </w:r>
          </w:p>
        </w:tc>
        <w:tc>
          <w:tcPr>
            <w:tcW w:w="198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sz w:val="6"/>
                <w:szCs w:val="6"/>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468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4" name="_x0000_tole_rId4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4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41" o:spid="_x0000_s1081" type="#_x0000_t75" style="position:absolute;left:0;text-align:left;margin-left:0;margin-top:0;width:50pt;height:50pt;z-index:251677696;visibility:hidden;mso-position-horizontal-relative:text;mso-position-vertical-relative:text">
                  <o:lock v:ext="edit" selection="t"/>
                </v:shape>
              </w:pict>
            </w:r>
            <w:r>
              <w:rPr>
                <w:rFonts w:eastAsia="Calibri" w:cs="Arial"/>
                <w:color w:val="7B7B7B"/>
              </w:rPr>
              <w:object w:dxaOrig="630" w:dyaOrig="720">
                <v:shape id="ole_rId41" o:spid="_x0000_i1039" type="#_x0000_t75" style="width:31.5pt;height:36pt;visibility:visible;mso-wrap-distance-right:0" o:ole="">
                  <v:imagedata r:id="rId46" o:title=""/>
                </v:shape>
                <o:OLEObject Type="Embed" ProgID="ChemDraw.Document.6.0" ShapeID="ole_rId41" DrawAspect="Content" ObjectID="_1751767597" r:id="rId47"/>
              </w:object>
            </w:r>
          </w:p>
        </w:tc>
        <w:tc>
          <w:tcPr>
            <w:tcW w:w="1532"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0.05</w:t>
            </w:r>
          </w:p>
        </w:tc>
        <w:tc>
          <w:tcPr>
            <w:tcW w:w="898"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85</w:t>
            </w:r>
          </w:p>
        </w:tc>
        <w:tc>
          <w:tcPr>
            <w:tcW w:w="234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93</w:t>
            </w:r>
          </w:p>
        </w:tc>
      </w:tr>
      <w:tr w:rsidR="00470846" w:rsidTr="00470846">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3</w:t>
            </w:r>
          </w:p>
        </w:tc>
        <w:tc>
          <w:tcPr>
            <w:tcW w:w="198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8"/>
                <w:szCs w:val="8"/>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366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5" name="_x0000_tole_rId4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4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43" o:spid="_x0000_s1079" type="#_x0000_t75" style="position:absolute;left:0;text-align:left;margin-left:0;margin-top:0;width:50pt;height:50pt;z-index:251678720;visibility:hidden;mso-position-horizontal-relative:text;mso-position-vertical-relative:text">
                  <o:lock v:ext="edit" selection="t"/>
                </v:shape>
              </w:pict>
            </w:r>
            <w:r>
              <w:rPr>
                <w:rFonts w:eastAsia="Calibri" w:cs="Arial"/>
                <w:color w:val="7B7B7B"/>
              </w:rPr>
              <w:object w:dxaOrig="780" w:dyaOrig="765">
                <v:shape id="ole_rId43" o:spid="_x0000_i1040" type="#_x0000_t75" style="width:39pt;height:38.25pt;visibility:visible;mso-wrap-distance-right:0" o:ole="">
                  <v:imagedata r:id="rId48" o:title=""/>
                </v:shape>
                <o:OLEObject Type="Embed" ProgID="ChemDraw.Document.6.0" ShapeID="ole_rId43" DrawAspect="Content" ObjectID="_1751767598" r:id="rId49"/>
              </w:object>
            </w:r>
          </w:p>
        </w:tc>
        <w:tc>
          <w:tcPr>
            <w:tcW w:w="1532"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0.05</w:t>
            </w:r>
          </w:p>
        </w:tc>
        <w:tc>
          <w:tcPr>
            <w:tcW w:w="898"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59</w:t>
            </w:r>
          </w:p>
        </w:tc>
        <w:tc>
          <w:tcPr>
            <w:tcW w:w="234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95</w:t>
            </w:r>
          </w:p>
        </w:tc>
      </w:tr>
      <w:tr w:rsidR="00470846" w:rsidTr="00470846">
        <w:trPr>
          <w:trHeight w:val="918"/>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4</w:t>
            </w:r>
          </w:p>
        </w:tc>
        <w:tc>
          <w:tcPr>
            <w:tcW w:w="198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sz w:val="8"/>
                <w:szCs w:val="8"/>
                <w:vertAlign w:val="superscript"/>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rPr>
              <w:t xml:space="preserve">    </w:t>
            </w:r>
            <w:r>
              <w:rPr>
                <w:noProof/>
              </w:rPr>
              <mc:AlternateContent>
                <mc:Choice Requires="wps">
                  <w:drawing>
                    <wp:anchor distT="0" distB="0" distL="114300" distR="0" simplePos="0" relativeHeight="25163264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6" name="_x0000_tole_rId4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4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45" o:spid="_x0000_s1077" type="#_x0000_t75" style="position:absolute;left:0;text-align:left;margin-left:0;margin-top:0;width:50pt;height:50pt;z-index:251679744;visibility:hidden;mso-position-horizontal-relative:text;mso-position-vertical-relative:text">
                  <o:lock v:ext="edit" selection="t"/>
                </v:shape>
              </w:pict>
            </w:r>
            <w:r>
              <w:rPr>
                <w:rFonts w:eastAsia="Calibri" w:cs="Arial"/>
                <w:color w:val="7B7B7B"/>
              </w:rPr>
              <w:object w:dxaOrig="870" w:dyaOrig="705">
                <v:shape id="ole_rId45" o:spid="_x0000_i1041" type="#_x0000_t75" style="width:43.5pt;height:35.25pt;visibility:visible;mso-wrap-distance-right:0" o:ole="">
                  <v:imagedata r:id="rId50" o:title=""/>
                </v:shape>
                <o:OLEObject Type="Embed" ProgID="ChemDraw.Document.6.0" ShapeID="ole_rId45" DrawAspect="Content" ObjectID="_1751767599" r:id="rId51"/>
              </w:object>
            </w:r>
          </w:p>
        </w:tc>
        <w:tc>
          <w:tcPr>
            <w:tcW w:w="1532"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0.1</w:t>
            </w:r>
          </w:p>
        </w:tc>
        <w:tc>
          <w:tcPr>
            <w:tcW w:w="898"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w:t>
            </w:r>
          </w:p>
        </w:tc>
        <w:tc>
          <w:tcPr>
            <w:tcW w:w="153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36</w:t>
            </w:r>
          </w:p>
        </w:tc>
        <w:tc>
          <w:tcPr>
            <w:tcW w:w="234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&gt;99</w:t>
            </w:r>
          </w:p>
        </w:tc>
      </w:tr>
      <w:tr w:rsidR="00470846" w:rsidTr="004708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470846">
            <w:pPr>
              <w:widowControl w:val="0"/>
              <w:spacing w:after="0" w:line="240" w:lineRule="auto"/>
              <w:jc w:val="center"/>
              <w:rPr>
                <w:sz w:val="4"/>
                <w:szCs w:val="4"/>
                <w:lang w:bidi="fa-IR"/>
              </w:rPr>
            </w:pPr>
          </w:p>
          <w:p w:rsidR="00470846" w:rsidRDefault="00C71C23">
            <w:pPr>
              <w:widowControl w:val="0"/>
              <w:spacing w:after="0" w:line="240" w:lineRule="auto"/>
              <w:jc w:val="center"/>
              <w:rPr>
                <w:lang w:bidi="fa-IR"/>
              </w:rPr>
            </w:pPr>
            <w:r>
              <w:rPr>
                <w:rFonts w:eastAsia="Calibri" w:cs="Arial"/>
                <w:color w:val="7B7B7B"/>
                <w:lang w:bidi="fa-IR"/>
              </w:rPr>
              <w:t>5</w:t>
            </w:r>
          </w:p>
        </w:tc>
        <w:tc>
          <w:tcPr>
            <w:tcW w:w="198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8"/>
                <w:szCs w:val="8"/>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161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7" name="_x0000_tole_rId4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47"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47" o:spid="_x0000_s1075" type="#_x0000_t75" style="position:absolute;left:0;text-align:left;margin-left:0;margin-top:0;width:50pt;height:50pt;z-index:251680768;visibility:hidden;mso-position-horizontal-relative:text;mso-position-vertical-relative:text">
                  <o:lock v:ext="edit" selection="t"/>
                </v:shape>
              </w:pict>
            </w:r>
            <w:r>
              <w:rPr>
                <w:rFonts w:eastAsia="Calibri" w:cs="Arial"/>
                <w:color w:val="7B7B7B"/>
              </w:rPr>
              <w:object w:dxaOrig="765" w:dyaOrig="765">
                <v:shape id="ole_rId47" o:spid="_x0000_i1042" type="#_x0000_t75" style="width:38.25pt;height:38.25pt;visibility:visible;mso-wrap-distance-right:0" o:ole="">
                  <v:imagedata r:id="rId52" o:title=""/>
                </v:shape>
                <o:OLEObject Type="Embed" ProgID="ChemDraw.Document.6.0" ShapeID="ole_rId47" DrawAspect="Content" ObjectID="_1751767600" r:id="rId53"/>
              </w:object>
            </w:r>
          </w:p>
        </w:tc>
        <w:tc>
          <w:tcPr>
            <w:tcW w:w="1532" w:type="dxa"/>
            <w:tcBorders>
              <w:top w:val="nil"/>
              <w:bottom w:val="nil"/>
            </w:tcBorders>
            <w:shd w:val="clear" w:color="auto" w:fill="auto"/>
          </w:tcPr>
          <w:p w:rsidR="00470846" w:rsidRDefault="00470846">
            <w:pPr>
              <w:widowControl w:val="0"/>
              <w:tabs>
                <w:tab w:val="left" w:pos="429"/>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470846">
            <w:pPr>
              <w:widowControl w:val="0"/>
              <w:tabs>
                <w:tab w:val="left" w:pos="429"/>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429"/>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0.1</w:t>
            </w:r>
          </w:p>
        </w:tc>
        <w:tc>
          <w:tcPr>
            <w:tcW w:w="898"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6"/>
                <w:szCs w:val="16"/>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4"/>
                <w:szCs w:val="4"/>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4"/>
                <w:szCs w:val="4"/>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12</w:t>
            </w:r>
          </w:p>
        </w:tc>
        <w:tc>
          <w:tcPr>
            <w:tcW w:w="153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47</w:t>
            </w:r>
          </w:p>
        </w:tc>
        <w:tc>
          <w:tcPr>
            <w:tcW w:w="234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6"/>
                <w:szCs w:val="6"/>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4"/>
                <w:szCs w:val="14"/>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88</w:t>
            </w:r>
          </w:p>
        </w:tc>
      </w:tr>
      <w:tr w:rsidR="00470846" w:rsidTr="00470846">
        <w:trPr>
          <w:trHeight w:val="548"/>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6</w:t>
            </w:r>
          </w:p>
          <w:p w:rsidR="00470846" w:rsidRDefault="00470846">
            <w:pPr>
              <w:widowControl w:val="0"/>
              <w:spacing w:after="0" w:line="240" w:lineRule="auto"/>
              <w:jc w:val="center"/>
              <w:rPr>
                <w:lang w:bidi="fa-IR"/>
              </w:rPr>
            </w:pPr>
          </w:p>
        </w:tc>
        <w:tc>
          <w:tcPr>
            <w:tcW w:w="198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3059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8" name="_x0000_tole_rId4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4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49" o:spid="_x0000_s1073" type="#_x0000_t75" style="position:absolute;left:0;text-align:left;margin-left:0;margin-top:0;width:50pt;height:50pt;z-index:251681792;visibility:hidden;mso-position-horizontal-relative:text;mso-position-vertical-relative:text">
                  <o:lock v:ext="edit" selection="t"/>
                </v:shape>
              </w:pict>
            </w:r>
            <w:r>
              <w:rPr>
                <w:rFonts w:eastAsia="Calibri" w:cs="Arial"/>
                <w:color w:val="7B7B7B"/>
              </w:rPr>
              <w:object w:dxaOrig="1485" w:dyaOrig="300">
                <v:shape id="ole_rId49" o:spid="_x0000_i1043" type="#_x0000_t75" style="width:74.25pt;height:15pt;visibility:visible;mso-wrap-distance-right:0" o:ole="">
                  <v:imagedata r:id="rId54" o:title=""/>
                </v:shape>
                <o:OLEObject Type="Embed" ProgID="ChemDraw.Document.6.0" ShapeID="ole_rId49" DrawAspect="Content" ObjectID="_1751767601" r:id="rId55"/>
              </w:object>
            </w:r>
          </w:p>
        </w:tc>
        <w:tc>
          <w:tcPr>
            <w:tcW w:w="1532" w:type="dxa"/>
            <w:tcBorders>
              <w:top w:val="nil"/>
              <w:bottom w:val="nil"/>
            </w:tcBorders>
            <w:shd w:val="clear" w:color="auto" w:fill="auto"/>
          </w:tcPr>
          <w:p w:rsidR="00470846" w:rsidRDefault="00470846">
            <w:pPr>
              <w:widowControl w:val="0"/>
              <w:tabs>
                <w:tab w:val="left" w:pos="471"/>
                <w:tab w:val="center" w:pos="612"/>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0.05</w:t>
            </w:r>
          </w:p>
        </w:tc>
        <w:tc>
          <w:tcPr>
            <w:tcW w:w="898"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tabs>
                <w:tab w:val="left" w:pos="263"/>
                <w:tab w:val="center" w:pos="477"/>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263"/>
                <w:tab w:val="center" w:pos="477"/>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83</w:t>
            </w:r>
          </w:p>
        </w:tc>
        <w:tc>
          <w:tcPr>
            <w:tcW w:w="2340" w:type="dxa"/>
            <w:tcBorders>
              <w:top w:val="nil"/>
              <w:bottom w:val="nil"/>
            </w:tcBorders>
            <w:shd w:val="clear" w:color="auto" w:fill="auto"/>
          </w:tcPr>
          <w:p w:rsidR="00470846" w:rsidRDefault="00470846">
            <w:pPr>
              <w:widowControl w:val="0"/>
              <w:tabs>
                <w:tab w:val="left" w:pos="789"/>
                <w:tab w:val="center" w:pos="1017"/>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789"/>
                <w:tab w:val="center" w:pos="1017"/>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84</w:t>
            </w:r>
          </w:p>
        </w:tc>
      </w:tr>
      <w:tr w:rsidR="00470846" w:rsidTr="00470846">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7</w:t>
            </w:r>
          </w:p>
        </w:tc>
        <w:tc>
          <w:tcPr>
            <w:tcW w:w="198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2956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39" name="_x0000_tole_rId5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5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51" o:spid="_x0000_s1071" type="#_x0000_t75" style="position:absolute;left:0;text-align:left;margin-left:0;margin-top:0;width:50pt;height:50pt;z-index:251682816;visibility:hidden;mso-position-horizontal-relative:text;mso-position-vertical-relative:text">
                  <o:lock v:ext="edit" selection="t"/>
                </v:shape>
              </w:pict>
            </w:r>
            <w:r>
              <w:rPr>
                <w:rFonts w:eastAsia="Calibri" w:cs="Arial"/>
                <w:color w:val="7B7B7B"/>
              </w:rPr>
              <w:object w:dxaOrig="1545" w:dyaOrig="315">
                <v:shape id="ole_rId51" o:spid="_x0000_i1044" type="#_x0000_t75" style="width:77.25pt;height:15.75pt;visibility:visible;mso-wrap-distance-right:0" o:ole="">
                  <v:imagedata r:id="rId56" o:title=""/>
                </v:shape>
                <o:OLEObject Type="Embed" ProgID="ChemDraw.Document.6.0" ShapeID="ole_rId51" DrawAspect="Content" ObjectID="_1751767602" r:id="rId57"/>
              </w:object>
            </w: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rPr>
            </w:pPr>
          </w:p>
        </w:tc>
        <w:tc>
          <w:tcPr>
            <w:tcW w:w="1532" w:type="dxa"/>
            <w:tcBorders>
              <w:top w:val="nil"/>
              <w:bottom w:val="nil"/>
            </w:tcBorders>
            <w:shd w:val="clear" w:color="auto" w:fill="auto"/>
          </w:tcPr>
          <w:p w:rsidR="00470846" w:rsidRDefault="00470846">
            <w:pPr>
              <w:widowControl w:val="0"/>
              <w:tabs>
                <w:tab w:val="left" w:pos="471"/>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0.1</w:t>
            </w:r>
          </w:p>
        </w:tc>
        <w:tc>
          <w:tcPr>
            <w:tcW w:w="898"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tabs>
                <w:tab w:val="left" w:pos="263"/>
                <w:tab w:val="center" w:pos="477"/>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263"/>
                <w:tab w:val="center" w:pos="477"/>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14</w:t>
            </w:r>
          </w:p>
        </w:tc>
        <w:tc>
          <w:tcPr>
            <w:tcW w:w="2340" w:type="dxa"/>
            <w:tcBorders>
              <w:top w:val="nil"/>
              <w:bottom w:val="nil"/>
            </w:tcBorders>
            <w:shd w:val="clear" w:color="auto" w:fill="auto"/>
          </w:tcPr>
          <w:p w:rsidR="00470846" w:rsidRDefault="00470846">
            <w:pPr>
              <w:widowControl w:val="0"/>
              <w:tabs>
                <w:tab w:val="left" w:pos="789"/>
                <w:tab w:val="center" w:pos="1017"/>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p w:rsidR="00470846" w:rsidRDefault="00C71C23">
            <w:pPr>
              <w:widowControl w:val="0"/>
              <w:tabs>
                <w:tab w:val="left" w:pos="789"/>
                <w:tab w:val="center" w:pos="1017"/>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88</w:t>
            </w:r>
          </w:p>
        </w:tc>
      </w:tr>
      <w:tr w:rsidR="00470846" w:rsidTr="00470846">
        <w:trPr>
          <w:trHeight w:val="810"/>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vertAlign w:val="superscript"/>
                <w:lang w:bidi="fa-IR"/>
              </w:rPr>
            </w:pPr>
            <w:r>
              <w:rPr>
                <w:rFonts w:eastAsia="Calibri" w:cs="Arial"/>
                <w:color w:val="7B7B7B"/>
                <w:lang w:bidi="fa-IR"/>
              </w:rPr>
              <w:t>8</w:t>
            </w:r>
            <w:r>
              <w:rPr>
                <w:rFonts w:eastAsia="Calibri" w:cs="Arial"/>
                <w:color w:val="7B7B7B"/>
                <w:vertAlign w:val="superscript"/>
                <w:lang w:bidi="fa-IR"/>
              </w:rPr>
              <w:t>a</w:t>
            </w:r>
          </w:p>
          <w:p w:rsidR="00470846" w:rsidRDefault="00470846">
            <w:pPr>
              <w:widowControl w:val="0"/>
              <w:spacing w:after="0" w:line="240" w:lineRule="auto"/>
              <w:jc w:val="center"/>
              <w:rPr>
                <w:lang w:bidi="fa-IR"/>
              </w:rPr>
            </w:pPr>
          </w:p>
        </w:tc>
        <w:tc>
          <w:tcPr>
            <w:tcW w:w="198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sz w:val="14"/>
                <w:szCs w:val="14"/>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2854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0" name="_x0000_tole_rId5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5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53" o:spid="_x0000_s1069" type="#_x0000_t75" style="position:absolute;left:0;text-align:left;margin-left:0;margin-top:0;width:50pt;height:50pt;z-index:251683840;visibility:hidden;mso-position-horizontal-relative:text;mso-position-vertical-relative:text">
                  <o:lock v:ext="edit" selection="t"/>
                </v:shape>
              </w:pict>
            </w:r>
            <w:r>
              <w:rPr>
                <w:rFonts w:eastAsia="Calibri" w:cs="Arial"/>
                <w:color w:val="7B7B7B"/>
              </w:rPr>
              <w:object w:dxaOrig="2039" w:dyaOrig="312">
                <v:shape id="ole_rId53" o:spid="_x0000_i1045" type="#_x0000_t75" style="width:94.5pt;height:14.25pt;visibility:visible;mso-wrap-distance-right:0" o:ole="">
                  <v:imagedata r:id="rId58" o:title=""/>
                </v:shape>
                <o:OLEObject Type="Embed" ProgID="ChemDraw.Document.6.0" ShapeID="ole_rId53" DrawAspect="Content" ObjectID="_1751767603" r:id="rId59"/>
              </w:object>
            </w:r>
          </w:p>
        </w:tc>
        <w:tc>
          <w:tcPr>
            <w:tcW w:w="1532" w:type="dxa"/>
            <w:tcBorders>
              <w:top w:val="nil"/>
              <w:bottom w:val="nil"/>
            </w:tcBorders>
            <w:shd w:val="clear" w:color="auto" w:fill="auto"/>
          </w:tcPr>
          <w:p w:rsidR="00470846" w:rsidRDefault="00470846">
            <w:pPr>
              <w:widowControl w:val="0"/>
              <w:tabs>
                <w:tab w:val="left" w:pos="471"/>
                <w:tab w:val="center" w:pos="612"/>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tabs>
                <w:tab w:val="left" w:pos="471"/>
                <w:tab w:val="center" w:pos="612"/>
              </w:tabs>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0.1</w:t>
            </w:r>
          </w:p>
        </w:tc>
        <w:tc>
          <w:tcPr>
            <w:tcW w:w="898"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10</w:t>
            </w:r>
          </w:p>
        </w:tc>
        <w:tc>
          <w:tcPr>
            <w:tcW w:w="153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60</w:t>
            </w:r>
          </w:p>
        </w:tc>
        <w:tc>
          <w:tcPr>
            <w:tcW w:w="234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87</w:t>
            </w:r>
          </w:p>
        </w:tc>
      </w:tr>
      <w:tr w:rsidR="00470846" w:rsidTr="00470846">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9</w:t>
            </w:r>
            <w:r>
              <w:rPr>
                <w:rFonts w:eastAsia="Calibri" w:cs="Arial"/>
                <w:color w:val="7B7B7B"/>
                <w:vertAlign w:val="superscript"/>
                <w:lang w:bidi="fa-IR"/>
              </w:rPr>
              <w:t>a</w:t>
            </w:r>
          </w:p>
        </w:tc>
        <w:tc>
          <w:tcPr>
            <w:tcW w:w="1980" w:type="dxa"/>
            <w:tcBorders>
              <w:top w:val="nil"/>
              <w:bottom w:val="nil"/>
            </w:tcBorders>
            <w:shd w:val="clear" w:color="auto" w:fill="auto"/>
          </w:tcPr>
          <w:p w:rsidR="00470846" w:rsidRDefault="00470846">
            <w:pPr>
              <w:widowControl w:val="0"/>
              <w:tabs>
                <w:tab w:val="left" w:pos="222"/>
                <w:tab w:val="center" w:pos="1006"/>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8"/>
                <w:szCs w:val="8"/>
              </w:rPr>
            </w:pPr>
          </w:p>
          <w:p w:rsidR="00470846" w:rsidRDefault="00C71C23">
            <w:pPr>
              <w:widowControl w:val="0"/>
              <w:tabs>
                <w:tab w:val="left" w:pos="222"/>
                <w:tab w:val="center" w:pos="1006"/>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2752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1" name="_x0000_tole_rId5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5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55" o:spid="_x0000_s1067" type="#_x0000_t75" style="position:absolute;left:0;text-align:left;margin-left:0;margin-top:0;width:50pt;height:50pt;z-index:251684864;visibility:hidden;mso-position-horizontal-relative:text;mso-position-vertical-relative:text">
                  <o:lock v:ext="edit" selection="t"/>
                </v:shape>
              </w:pict>
            </w:r>
            <w:r>
              <w:rPr>
                <w:rFonts w:eastAsia="Calibri" w:cs="Arial"/>
                <w:color w:val="7B7B7B"/>
              </w:rPr>
              <w:object w:dxaOrig="1140" w:dyaOrig="690">
                <v:shape id="ole_rId55" o:spid="_x0000_i1046" type="#_x0000_t75" style="width:57pt;height:34.5pt;visibility:visible;mso-wrap-distance-right:0" o:ole="">
                  <v:imagedata r:id="rId36" o:title=""/>
                </v:shape>
                <o:OLEObject Type="Embed" ProgID="ChemDraw.Document.6.0" ShapeID="ole_rId55" DrawAspect="Content" ObjectID="_1751767604" r:id="rId60"/>
              </w:object>
            </w:r>
          </w:p>
        </w:tc>
        <w:tc>
          <w:tcPr>
            <w:tcW w:w="1532" w:type="dxa"/>
            <w:tcBorders>
              <w:top w:val="nil"/>
              <w:bottom w:val="nil"/>
            </w:tcBorders>
            <w:shd w:val="clear" w:color="auto" w:fill="auto"/>
          </w:tcPr>
          <w:p w:rsidR="00470846" w:rsidRDefault="00470846">
            <w:pPr>
              <w:widowControl w:val="0"/>
              <w:tabs>
                <w:tab w:val="left" w:pos="388"/>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470846">
            <w:pPr>
              <w:widowControl w:val="0"/>
              <w:tabs>
                <w:tab w:val="left" w:pos="388"/>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6"/>
                <w:szCs w:val="6"/>
                <w:lang w:bidi="fa-IR"/>
              </w:rPr>
            </w:pPr>
          </w:p>
          <w:p w:rsidR="00470846" w:rsidRDefault="00C71C23">
            <w:pPr>
              <w:widowControl w:val="0"/>
              <w:tabs>
                <w:tab w:val="left" w:pos="388"/>
                <w:tab w:val="center" w:pos="612"/>
              </w:tabs>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0.07</w:t>
            </w:r>
          </w:p>
        </w:tc>
        <w:tc>
          <w:tcPr>
            <w:tcW w:w="898"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6"/>
                <w:szCs w:val="6"/>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4"/>
                <w:szCs w:val="4"/>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100</w:t>
            </w:r>
          </w:p>
        </w:tc>
        <w:tc>
          <w:tcPr>
            <w:tcW w:w="2340" w:type="dxa"/>
            <w:tcBorders>
              <w:top w:val="nil"/>
              <w:bottom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4"/>
                <w:szCs w:val="4"/>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89</w:t>
            </w:r>
          </w:p>
        </w:tc>
      </w:tr>
      <w:tr w:rsidR="00470846" w:rsidTr="00470846">
        <w:trPr>
          <w:trHeight w:val="954"/>
        </w:trPr>
        <w:tc>
          <w:tcPr>
            <w:cnfStyle w:val="001000000000" w:firstRow="0" w:lastRow="0" w:firstColumn="1" w:lastColumn="0" w:oddVBand="0" w:evenVBand="0" w:oddHBand="0" w:evenHBand="0" w:firstRowFirstColumn="0" w:firstRowLastColumn="0" w:lastRowFirstColumn="0" w:lastRowLastColumn="0"/>
            <w:tcW w:w="804" w:type="dxa"/>
            <w:tcBorders>
              <w:top w:val="nil"/>
              <w:bottom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10</w:t>
            </w:r>
            <w:r>
              <w:rPr>
                <w:rFonts w:eastAsia="Calibri" w:cs="Arial"/>
                <w:color w:val="7B7B7B"/>
                <w:vertAlign w:val="superscript"/>
                <w:lang w:bidi="fa-IR"/>
              </w:rPr>
              <w:t>b</w:t>
            </w:r>
          </w:p>
        </w:tc>
        <w:tc>
          <w:tcPr>
            <w:tcW w:w="198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noProof/>
                <w:color w:val="7B7B7B"/>
              </w:rPr>
              <mc:AlternateContent>
                <mc:Choice Requires="wps">
                  <w:drawing>
                    <wp:anchor distT="0" distB="0" distL="114300" distR="0" simplePos="0" relativeHeight="25162649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2" name="_x0000_tole_rId5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57"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57" o:spid="_x0000_s1065" type="#_x0000_t75" style="position:absolute;left:0;text-align:left;margin-left:0;margin-top:0;width:50pt;height:50pt;z-index:251685888;visibility:hidden;mso-position-horizontal-relative:text;mso-position-vertical-relative:text">
                  <o:lock v:ext="edit" selection="t"/>
                </v:shape>
              </w:pict>
            </w:r>
            <w:r>
              <w:rPr>
                <w:rFonts w:eastAsia="Calibri" w:cs="Arial"/>
                <w:color w:val="7B7B7B"/>
              </w:rPr>
              <w:object w:dxaOrig="1350" w:dyaOrig="675">
                <v:shape id="ole_rId57" o:spid="_x0000_i1047" type="#_x0000_t75" style="width:67.5pt;height:33.75pt;visibility:visible;mso-wrap-distance-right:0" o:ole="">
                  <v:imagedata r:id="rId61" o:title=""/>
                </v:shape>
                <o:OLEObject Type="Embed" ProgID="ChemDraw.Document.6.0" ShapeID="ole_rId57" DrawAspect="Content" ObjectID="_1751767605" r:id="rId62"/>
              </w:object>
            </w:r>
          </w:p>
        </w:tc>
        <w:tc>
          <w:tcPr>
            <w:tcW w:w="1532"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0.07</w:t>
            </w:r>
          </w:p>
        </w:tc>
        <w:tc>
          <w:tcPr>
            <w:tcW w:w="898"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8</w:t>
            </w:r>
          </w:p>
        </w:tc>
        <w:tc>
          <w:tcPr>
            <w:tcW w:w="153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96</w:t>
            </w:r>
          </w:p>
        </w:tc>
        <w:tc>
          <w:tcPr>
            <w:tcW w:w="2340" w:type="dxa"/>
            <w:tcBorders>
              <w:top w:val="nil"/>
              <w:bottom w:val="nil"/>
            </w:tcBorders>
            <w:shd w:val="clear" w:color="auto" w:fill="auto"/>
          </w:tcPr>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p w:rsidR="00470846" w:rsidRDefault="00C71C23">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r>
              <w:rPr>
                <w:rFonts w:eastAsia="Calibri" w:cs="Arial"/>
                <w:b/>
                <w:bCs/>
                <w:color w:val="7B7B7B"/>
                <w:lang w:bidi="fa-IR"/>
              </w:rPr>
              <w:t>93</w:t>
            </w:r>
          </w:p>
          <w:p w:rsidR="00470846" w:rsidRDefault="00470846">
            <w:pPr>
              <w:widowControl w:val="0"/>
              <w:spacing w:after="0" w:line="240" w:lineRule="auto"/>
              <w:jc w:val="center"/>
              <w:cnfStyle w:val="000000000000" w:firstRow="0" w:lastRow="0" w:firstColumn="0" w:lastColumn="0" w:oddVBand="0" w:evenVBand="0" w:oddHBand="0" w:evenHBand="0" w:firstRowFirstColumn="0" w:firstRowLastColumn="0" w:lastRowFirstColumn="0" w:lastRowLastColumn="0"/>
              <w:rPr>
                <w:b/>
                <w:bCs/>
                <w:lang w:bidi="fa-IR"/>
              </w:rPr>
            </w:pPr>
          </w:p>
        </w:tc>
      </w:tr>
      <w:tr w:rsidR="00470846" w:rsidTr="00470846">
        <w:trPr>
          <w:cnfStyle w:val="000000100000" w:firstRow="0" w:lastRow="0" w:firstColumn="0" w:lastColumn="0" w:oddVBand="0" w:evenVBand="0" w:oddHBand="1"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804" w:type="dxa"/>
            <w:tcBorders>
              <w:top w:val="nil"/>
            </w:tcBorders>
            <w:shd w:val="clear" w:color="auto" w:fill="auto"/>
          </w:tcPr>
          <w:p w:rsidR="00470846" w:rsidRDefault="00470846">
            <w:pPr>
              <w:widowControl w:val="0"/>
              <w:spacing w:after="0" w:line="240" w:lineRule="auto"/>
              <w:jc w:val="center"/>
              <w:rPr>
                <w:lang w:bidi="fa-IR"/>
              </w:rPr>
            </w:pPr>
          </w:p>
          <w:p w:rsidR="00470846" w:rsidRDefault="00C71C23">
            <w:pPr>
              <w:widowControl w:val="0"/>
              <w:spacing w:after="0" w:line="240" w:lineRule="auto"/>
              <w:jc w:val="center"/>
              <w:rPr>
                <w:lang w:bidi="fa-IR"/>
              </w:rPr>
            </w:pPr>
            <w:r>
              <w:rPr>
                <w:rFonts w:eastAsia="Calibri" w:cs="Arial"/>
                <w:color w:val="7B7B7B"/>
                <w:lang w:bidi="fa-IR"/>
              </w:rPr>
              <w:t>11</w:t>
            </w:r>
            <w:r>
              <w:rPr>
                <w:rFonts w:eastAsia="Calibri" w:cs="Arial"/>
                <w:color w:val="7B7B7B"/>
                <w:vertAlign w:val="superscript"/>
                <w:lang w:bidi="fa-IR"/>
              </w:rPr>
              <w:t>b</w:t>
            </w:r>
          </w:p>
          <w:p w:rsidR="00470846" w:rsidRDefault="00470846">
            <w:pPr>
              <w:widowControl w:val="0"/>
              <w:spacing w:after="0" w:line="240" w:lineRule="auto"/>
              <w:jc w:val="center"/>
              <w:rPr>
                <w:lang w:bidi="fa-IR"/>
              </w:rPr>
            </w:pPr>
          </w:p>
          <w:p w:rsidR="00470846" w:rsidRDefault="00470846">
            <w:pPr>
              <w:widowControl w:val="0"/>
              <w:spacing w:after="0" w:line="240" w:lineRule="auto"/>
              <w:jc w:val="center"/>
              <w:rPr>
                <w:lang w:bidi="fa-IR"/>
              </w:rPr>
            </w:pPr>
          </w:p>
        </w:tc>
        <w:tc>
          <w:tcPr>
            <w:tcW w:w="1980" w:type="dxa"/>
            <w:tcBorders>
              <w:top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2"/>
                <w:szCs w:val="12"/>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rPr>
            </w:pPr>
            <w:r>
              <w:rPr>
                <w:rFonts w:eastAsia="Calibri" w:cs="Arial"/>
                <w:noProof/>
                <w:color w:val="7B7B7B"/>
              </w:rPr>
              <mc:AlternateContent>
                <mc:Choice Requires="wps">
                  <w:drawing>
                    <wp:anchor distT="0" distB="0" distL="114300" distR="0" simplePos="0" relativeHeight="25162547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3" name="_x0000_tole_rId5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5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color w:val="7B7B7B"/>
              </w:rPr>
              <w:pict>
                <v:shape id="_x0000_tole_rId59" o:spid="_x0000_s1063" type="#_x0000_t75" style="position:absolute;left:0;text-align:left;margin-left:0;margin-top:0;width:50pt;height:50pt;z-index:251686912;visibility:hidden;mso-position-horizontal-relative:text;mso-position-vertical-relative:text">
                  <o:lock v:ext="edit" selection="t"/>
                </v:shape>
              </w:pict>
            </w:r>
            <w:r>
              <w:rPr>
                <w:rFonts w:eastAsia="Calibri" w:cs="Arial"/>
                <w:color w:val="7B7B7B"/>
              </w:rPr>
              <w:object w:dxaOrig="1785" w:dyaOrig="810">
                <v:shape id="ole_rId59" o:spid="_x0000_i1048" type="#_x0000_t75" style="width:89.25pt;height:40.5pt;visibility:visible;mso-wrap-distance-right:0" o:ole="">
                  <v:imagedata r:id="rId63" o:title=""/>
                </v:shape>
                <o:OLEObject Type="Embed" ProgID="ChemDraw.Document.6.0" ShapeID="ole_rId59" DrawAspect="Content" ObjectID="_1751767606" r:id="rId64"/>
              </w:object>
            </w:r>
          </w:p>
        </w:tc>
        <w:tc>
          <w:tcPr>
            <w:tcW w:w="1532" w:type="dxa"/>
            <w:tcBorders>
              <w:top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6"/>
                <w:szCs w:val="16"/>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0.1</w:t>
            </w: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tc>
        <w:tc>
          <w:tcPr>
            <w:tcW w:w="898" w:type="dxa"/>
            <w:tcBorders>
              <w:top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0"/>
                <w:szCs w:val="20"/>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0"/>
                <w:szCs w:val="10"/>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
                <w:szCs w:val="2"/>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10</w:t>
            </w:r>
          </w:p>
        </w:tc>
        <w:tc>
          <w:tcPr>
            <w:tcW w:w="1530" w:type="dxa"/>
            <w:tcBorders>
              <w:top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20"/>
                <w:szCs w:val="20"/>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4"/>
                <w:szCs w:val="14"/>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10</w:t>
            </w:r>
          </w:p>
        </w:tc>
        <w:tc>
          <w:tcPr>
            <w:tcW w:w="2340" w:type="dxa"/>
            <w:tcBorders>
              <w:top w:val="nil"/>
            </w:tcBorders>
            <w:shd w:val="clear" w:color="auto" w:fill="auto"/>
          </w:tcPr>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8"/>
                <w:szCs w:val="18"/>
                <w:lang w:bidi="fa-IR"/>
              </w:rPr>
            </w:pP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sz w:val="14"/>
                <w:szCs w:val="14"/>
                <w:lang w:bidi="fa-IR"/>
              </w:rPr>
            </w:pPr>
          </w:p>
          <w:p w:rsidR="00470846" w:rsidRDefault="00C71C23">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r>
              <w:rPr>
                <w:rFonts w:eastAsia="Calibri" w:cs="Arial"/>
                <w:b/>
                <w:bCs/>
                <w:color w:val="7B7B7B"/>
                <w:lang w:bidi="fa-IR"/>
              </w:rPr>
              <w:t>&gt;99</w:t>
            </w:r>
          </w:p>
          <w:p w:rsidR="00470846" w:rsidRDefault="00470846">
            <w:pPr>
              <w:widowControl w:val="0"/>
              <w:spacing w:after="0" w:line="240" w:lineRule="auto"/>
              <w:jc w:val="center"/>
              <w:cnfStyle w:val="000000100000" w:firstRow="0" w:lastRow="0" w:firstColumn="0" w:lastColumn="0" w:oddVBand="0" w:evenVBand="0" w:oddHBand="1" w:evenHBand="0" w:firstRowFirstColumn="0" w:firstRowLastColumn="0" w:lastRowFirstColumn="0" w:lastRowLastColumn="0"/>
              <w:rPr>
                <w:b/>
                <w:bCs/>
                <w:lang w:bidi="fa-IR"/>
              </w:rPr>
            </w:pPr>
          </w:p>
        </w:tc>
      </w:tr>
    </w:tbl>
    <w:p w:rsidR="00470846" w:rsidRDefault="00C71C23" w:rsidP="007F3568">
      <w:pPr>
        <w:ind w:right="270"/>
        <w:jc w:val="lowKashida"/>
        <w:rPr>
          <w:sz w:val="20"/>
          <w:szCs w:val="20"/>
        </w:rPr>
      </w:pPr>
      <w:r>
        <w:rPr>
          <w:sz w:val="20"/>
          <w:szCs w:val="20"/>
        </w:rPr>
        <w:t>Reaction conditions: Catalyst (40 mg), Alkene (1 mmol), TEMPO, water (0.5 mL), oxygen balloon, T=R.T.. [a] Catalyst (40 mg), Alkene (1 mmol), TEMPO, water (0.5 mL), acetic acid (1.5 eq), oxygen balloon, T=50 ᴼC. [b] Catalyst (60 mg), Alkene (1 mmol), TEMPO, water (0.5 mL), acetic acid (2 eq), oxygen balloon, T= 60 ᴼC.</w:t>
      </w:r>
    </w:p>
    <w:p w:rsidR="00470846" w:rsidRDefault="00C71C23" w:rsidP="007F3568">
      <w:pPr>
        <w:jc w:val="lowKashida"/>
        <w:rPr>
          <w:sz w:val="20"/>
          <w:szCs w:val="20"/>
        </w:rPr>
      </w:pPr>
      <w:r>
        <w:rPr>
          <w:sz w:val="20"/>
          <w:szCs w:val="20"/>
        </w:rPr>
        <w:t>The mentioned conversions percentages and selectivity percentages results of 3 reactions run, obtained by GC analysis.</w:t>
      </w:r>
    </w:p>
    <w:p w:rsidR="00470846" w:rsidRDefault="00470846">
      <w:pPr>
        <w:rPr>
          <w:sz w:val="20"/>
          <w:szCs w:val="20"/>
        </w:rPr>
      </w:pPr>
    </w:p>
    <w:p w:rsidR="00470846" w:rsidRDefault="00C71C23">
      <w:pPr>
        <w:rPr>
          <w:b/>
        </w:rPr>
      </w:pPr>
      <w:r>
        <w:rPr>
          <w:b/>
        </w:rPr>
        <w:t>Computational results</w:t>
      </w:r>
    </w:p>
    <w:p w:rsidR="00470846" w:rsidRPr="00AD057B" w:rsidRDefault="00C71C23" w:rsidP="007F3568">
      <w:pPr>
        <w:jc w:val="lowKashida"/>
        <w:rPr>
          <w:sz w:val="18"/>
          <w:szCs w:val="18"/>
        </w:rPr>
      </w:pPr>
      <w:r>
        <w:rPr>
          <w:rFonts w:cs="Times New Roman"/>
          <w:lang w:val="en-GB"/>
        </w:rPr>
        <w:t xml:space="preserve">The present computational study is divided into the following two sections: (1) exploring the mechanism of the reaction and the related </w:t>
      </w:r>
      <w:r w:rsidRPr="00671854">
        <w:rPr>
          <w:rFonts w:cs="Times New Roman"/>
          <w:shd w:val="clear" w:color="auto" w:fill="FFFFFF" w:themeFill="background1"/>
          <w:lang w:val="en-GB"/>
        </w:rPr>
        <w:t xml:space="preserve">PES of co-reductant </w:t>
      </w:r>
      <w:r w:rsidRPr="00671854">
        <w:rPr>
          <w:rFonts w:cs="Times New Roman"/>
          <w:bCs/>
          <w:shd w:val="clear" w:color="auto" w:fill="FFFFFF" w:themeFill="background1"/>
        </w:rPr>
        <w:t>SO</w:t>
      </w:r>
      <w:r w:rsidRPr="00671854">
        <w:rPr>
          <w:rFonts w:cs="Times New Roman"/>
          <w:bCs/>
          <w:shd w:val="clear" w:color="auto" w:fill="FFFFFF" w:themeFill="background1"/>
          <w:vertAlign w:val="subscript"/>
        </w:rPr>
        <w:t>3</w:t>
      </w:r>
      <w:r w:rsidRPr="00671854">
        <w:rPr>
          <w:rFonts w:cs="Times New Roman"/>
          <w:bCs/>
          <w:shd w:val="clear" w:color="auto" w:fill="FFFFFF" w:themeFill="background1"/>
          <w:vertAlign w:val="superscript"/>
        </w:rPr>
        <w:t>2-</w:t>
      </w:r>
      <w:r w:rsidRPr="00671854">
        <w:rPr>
          <w:rFonts w:cs="Times New Roman"/>
          <w:shd w:val="clear" w:color="auto" w:fill="FFFFFF" w:themeFill="background1"/>
          <w:lang w:val="en-GB"/>
        </w:rPr>
        <w:t xml:space="preserve"> reaction and (2) with the TEMPO mediated reaction. A</w:t>
      </w:r>
      <w:r>
        <w:rPr>
          <w:rFonts w:cs="Times New Roman"/>
          <w:lang w:val="en-GB"/>
        </w:rPr>
        <w:t xml:space="preserve">nalysis of the corresponding thermodynamics and kinetics parameters in presence of two catalysts is also performed. </w:t>
      </w:r>
      <w:r>
        <w:rPr>
          <w:rFonts w:cs="Times New Roman"/>
        </w:rPr>
        <w:t xml:space="preserve">The same calculations were performed in the presence of </w:t>
      </w:r>
      <w:r>
        <w:rPr>
          <w:rFonts w:cs="Times New Roman"/>
          <w:bCs/>
        </w:rPr>
        <w:t>SO</w:t>
      </w:r>
      <w:r>
        <w:rPr>
          <w:rFonts w:cs="Times New Roman"/>
          <w:bCs/>
          <w:vertAlign w:val="subscript"/>
        </w:rPr>
        <w:t>3</w:t>
      </w:r>
      <w:r>
        <w:rPr>
          <w:rFonts w:cs="Times New Roman"/>
          <w:bCs/>
          <w:vertAlign w:val="superscript"/>
        </w:rPr>
        <w:t>2-</w:t>
      </w:r>
      <w:r>
        <w:rPr>
          <w:rFonts w:cs="Times New Roman"/>
          <w:bCs/>
        </w:rPr>
        <w:t xml:space="preserve"> as a reducing </w:t>
      </w:r>
      <w:r w:rsidRPr="00AD057B">
        <w:rPr>
          <w:rFonts w:cs="Times New Roman"/>
          <w:bCs/>
        </w:rPr>
        <w:t>agent</w:t>
      </w:r>
      <w:r w:rsidRPr="00AD057B">
        <w:rPr>
          <w:rFonts w:cs="Times New Roman"/>
          <w:bCs/>
          <w:shd w:val="clear" w:color="auto" w:fill="FFFFFF" w:themeFill="background1"/>
        </w:rPr>
        <w:t>.  Figure 7 shows</w:t>
      </w:r>
      <w:r w:rsidRPr="00AD057B">
        <w:rPr>
          <w:rFonts w:cs="Times New Roman"/>
          <w:bCs/>
        </w:rPr>
        <w:t xml:space="preserve"> the PES </w:t>
      </w:r>
      <w:r w:rsidRPr="00AD057B">
        <w:rPr>
          <w:rFonts w:cs="Times New Roman"/>
          <w:bCs/>
          <w:highlight w:val="cyan"/>
        </w:rPr>
        <w:t>(relative Gibbs free energy)</w:t>
      </w:r>
      <w:r w:rsidRPr="00AD057B">
        <w:rPr>
          <w:rFonts w:cs="Times New Roman"/>
          <w:bCs/>
        </w:rPr>
        <w:t xml:space="preserve"> for this reaction at Wb97xd/6-311g (d,p) level of theory and thermodynamics parameters for this mechanism are listed </w:t>
      </w:r>
      <w:r w:rsidRPr="00AD057B">
        <w:rPr>
          <w:rFonts w:cs="Times New Roman"/>
          <w:bCs/>
          <w:shd w:val="clear" w:color="auto" w:fill="FFFFFF" w:themeFill="background1"/>
        </w:rPr>
        <w:t>in Table 5.</w:t>
      </w:r>
      <w:r w:rsidRPr="00AD057B">
        <w:rPr>
          <w:rFonts w:cs="Times New Roman"/>
          <w:bCs/>
        </w:rPr>
        <w:t xml:space="preserve"> </w:t>
      </w:r>
    </w:p>
    <w:p w:rsidR="00470846" w:rsidRPr="00AD057B" w:rsidRDefault="00C71C23" w:rsidP="007F3568">
      <w:pPr>
        <w:spacing w:line="276" w:lineRule="auto"/>
        <w:jc w:val="lowKashida"/>
        <w:rPr>
          <w:sz w:val="18"/>
          <w:szCs w:val="18"/>
        </w:rPr>
      </w:pPr>
      <w:r w:rsidRPr="00AD057B">
        <w:rPr>
          <w:rFonts w:cs="Times New Roman"/>
          <w:bCs/>
        </w:rPr>
        <w:t>The mentioned mechanism starts with electron transfer reaction from SO</w:t>
      </w:r>
      <w:r w:rsidRPr="00AD057B">
        <w:rPr>
          <w:rFonts w:cs="Times New Roman"/>
          <w:bCs/>
          <w:vertAlign w:val="subscript"/>
        </w:rPr>
        <w:t>3</w:t>
      </w:r>
      <w:r w:rsidRPr="00AD057B">
        <w:rPr>
          <w:rFonts w:cs="Times New Roman"/>
          <w:bCs/>
          <w:vertAlign w:val="superscript"/>
        </w:rPr>
        <w:t>2-</w:t>
      </w:r>
      <w:r w:rsidRPr="00AD057B">
        <w:rPr>
          <w:rFonts w:cs="Times New Roman"/>
          <w:bCs/>
        </w:rPr>
        <w:t xml:space="preserve"> to the structure 1 to form SO</w:t>
      </w:r>
      <w:r w:rsidRPr="00AD057B">
        <w:rPr>
          <w:rFonts w:cs="Times New Roman"/>
          <w:bCs/>
          <w:vertAlign w:val="subscript"/>
        </w:rPr>
        <w:t>3</w:t>
      </w:r>
      <w:r w:rsidRPr="00AD057B">
        <w:rPr>
          <w:rFonts w:cs="Times New Roman"/>
          <w:bCs/>
          <w:vertAlign w:val="superscript"/>
        </w:rPr>
        <w:t>•-</w:t>
      </w:r>
      <w:r w:rsidRPr="00AD057B">
        <w:rPr>
          <w:rFonts w:cs="Times New Roman"/>
          <w:bCs/>
        </w:rPr>
        <w:t xml:space="preserve"> and structure 2. </w:t>
      </w:r>
      <w:r w:rsidRPr="00AD057B">
        <w:rPr>
          <w:rFonts w:cs="Times New Roman"/>
        </w:rPr>
        <w:t xml:space="preserve">It is noteworthy to mention that the conversion of the structure 1 to 2 depends on the reduction of Fe(III) to Fe(II) in structure 2. </w:t>
      </w:r>
      <w:r w:rsidRPr="00AD057B">
        <w:rPr>
          <w:rFonts w:cs="Times New Roman"/>
          <w:bCs/>
        </w:rPr>
        <w:t xml:space="preserve">As shown </w:t>
      </w:r>
      <w:r w:rsidRPr="00AD057B">
        <w:rPr>
          <w:rFonts w:cs="Times New Roman"/>
          <w:bCs/>
          <w:shd w:val="clear" w:color="auto" w:fill="FFFFFF" w:themeFill="background1"/>
        </w:rPr>
        <w:t>in Figure 7 and Table 5</w:t>
      </w:r>
      <w:r w:rsidRPr="00AD057B">
        <w:rPr>
          <w:rFonts w:cs="Times New Roman"/>
          <w:bCs/>
          <w:highlight w:val="cyan"/>
          <w:shd w:val="clear" w:color="auto" w:fill="FFFFFF" w:themeFill="background1"/>
        </w:rPr>
        <w:t>,</w:t>
      </w:r>
      <w:r w:rsidRPr="00AD057B">
        <w:rPr>
          <w:rFonts w:cs="Times New Roman"/>
          <w:bCs/>
          <w:highlight w:val="cyan"/>
        </w:rPr>
        <w:t xml:space="preserve"> this reaction is exothermic</w:t>
      </w:r>
      <w:r w:rsidRPr="00AD057B">
        <w:rPr>
          <w:rFonts w:cs="Times New Roman"/>
          <w:bCs/>
        </w:rPr>
        <w:t xml:space="preserve"> </w:t>
      </w:r>
      <w:r w:rsidRPr="00AD057B">
        <w:rPr>
          <w:rFonts w:cs="Times New Roman"/>
          <w:bCs/>
          <w:highlight w:val="cyan"/>
        </w:rPr>
        <w:t>(ΔH = -2.8 kJ mol</w:t>
      </w:r>
      <w:r w:rsidRPr="00AD057B">
        <w:rPr>
          <w:rFonts w:cs="Times New Roman"/>
          <w:bCs/>
          <w:highlight w:val="cyan"/>
          <w:vertAlign w:val="superscript"/>
        </w:rPr>
        <w:t>-1</w:t>
      </w:r>
      <w:r w:rsidRPr="00AD057B">
        <w:rPr>
          <w:rFonts w:cs="Times New Roman"/>
          <w:bCs/>
          <w:highlight w:val="cyan"/>
        </w:rPr>
        <w:t>)</w:t>
      </w:r>
      <w:r w:rsidRPr="00AD057B">
        <w:rPr>
          <w:rFonts w:cs="Times New Roman"/>
          <w:bCs/>
        </w:rPr>
        <w:t xml:space="preserve"> and endergonic (ΔG = 4.1 kJ mol</w:t>
      </w:r>
      <w:r w:rsidRPr="00AD057B">
        <w:rPr>
          <w:rFonts w:cs="Times New Roman"/>
          <w:bCs/>
          <w:vertAlign w:val="superscript"/>
        </w:rPr>
        <w:t>-1</w:t>
      </w:r>
      <w:r w:rsidRPr="00AD057B">
        <w:rPr>
          <w:rFonts w:cs="Times New Roman"/>
          <w:bCs/>
        </w:rPr>
        <w:t>). It can be said that this is a nonspontaneous reaction with equilibrium constant (K</w:t>
      </w:r>
      <w:r w:rsidRPr="00AD057B">
        <w:rPr>
          <w:rFonts w:cs="Times New Roman"/>
          <w:bCs/>
          <w:vertAlign w:val="subscript"/>
        </w:rPr>
        <w:t>eq</w:t>
      </w:r>
      <w:r w:rsidRPr="00AD057B">
        <w:rPr>
          <w:rFonts w:cs="Times New Roman"/>
          <w:bCs/>
        </w:rPr>
        <w:t>) of 0.19. It is worthy to mention that the structure 2 is unstable than 1 in the presence of SO</w:t>
      </w:r>
      <w:r w:rsidRPr="00AD057B">
        <w:rPr>
          <w:rFonts w:cs="Times New Roman"/>
          <w:bCs/>
          <w:vertAlign w:val="subscript"/>
        </w:rPr>
        <w:t>3</w:t>
      </w:r>
      <w:r w:rsidRPr="00AD057B">
        <w:rPr>
          <w:rFonts w:cs="Times New Roman"/>
          <w:bCs/>
          <w:vertAlign w:val="superscript"/>
        </w:rPr>
        <w:t>2-</w:t>
      </w:r>
      <w:r w:rsidRPr="00AD057B">
        <w:rPr>
          <w:rFonts w:cs="Times New Roman"/>
          <w:bCs/>
        </w:rPr>
        <w:t xml:space="preserve"> unlike the TEMPO </w:t>
      </w:r>
      <w:r w:rsidRPr="00AD057B">
        <w:rPr>
          <w:rFonts w:cs="Times New Roman"/>
          <w:bCs/>
          <w:shd w:val="clear" w:color="auto" w:fill="FFFFFF" w:themeFill="background1"/>
        </w:rPr>
        <w:t>mechanism (we will discuss this in more detail later on)</w:t>
      </w:r>
      <w:r w:rsidRPr="00AD057B">
        <w:rPr>
          <w:rFonts w:cs="Times New Roman"/>
          <w:bCs/>
          <w:shd w:val="clear" w:color="auto" w:fill="FFFFFF" w:themeFill="background1"/>
          <w:lang w:bidi="fa-IR"/>
        </w:rPr>
        <w:t>.</w:t>
      </w:r>
      <w:r w:rsidRPr="00AD057B">
        <w:rPr>
          <w:rFonts w:cs="Times New Roman"/>
          <w:bCs/>
          <w:lang w:bidi="fa-IR"/>
        </w:rPr>
        <w:t xml:space="preserve"> </w:t>
      </w:r>
    </w:p>
    <w:p w:rsidR="00470846" w:rsidRPr="00AD057B" w:rsidRDefault="00C71C23" w:rsidP="007F3568">
      <w:pPr>
        <w:jc w:val="lowKashida"/>
        <w:rPr>
          <w:bCs/>
        </w:rPr>
      </w:pPr>
      <w:r w:rsidRPr="00AD057B">
        <w:rPr>
          <w:bCs/>
          <w:highlight w:val="cyan"/>
        </w:rPr>
        <w:t>The structure 2 reacts (in 2 equivalent) with molecular</w:t>
      </w:r>
      <w:r w:rsidRPr="00AD057B">
        <w:rPr>
          <w:bCs/>
        </w:rPr>
        <w:t xml:space="preserve"> oxygen to form the structure 3 (dinuclear µ-peroxo complex, (L</w:t>
      </w:r>
      <w:r w:rsidRPr="00AD057B">
        <w:rPr>
          <w:bCs/>
          <w:vertAlign w:val="superscript"/>
        </w:rPr>
        <w:t>AE</w:t>
      </w:r>
      <w:r w:rsidRPr="00AD057B">
        <w:rPr>
          <w:bCs/>
        </w:rPr>
        <w:t>)Fe</w:t>
      </w:r>
      <w:r w:rsidRPr="00AD057B">
        <w:rPr>
          <w:bCs/>
          <w:vertAlign w:val="superscript"/>
        </w:rPr>
        <w:t>III</w:t>
      </w:r>
      <w:r w:rsidRPr="00AD057B">
        <w:rPr>
          <w:bCs/>
        </w:rPr>
        <w:t>-O-O-Fe</w:t>
      </w:r>
      <w:r w:rsidRPr="00AD057B">
        <w:rPr>
          <w:bCs/>
          <w:vertAlign w:val="superscript"/>
        </w:rPr>
        <w:t>III</w:t>
      </w:r>
      <w:r w:rsidRPr="00AD057B">
        <w:rPr>
          <w:bCs/>
        </w:rPr>
        <w:t>(L</w:t>
      </w:r>
      <w:r w:rsidRPr="00AD057B">
        <w:rPr>
          <w:bCs/>
          <w:vertAlign w:val="superscript"/>
        </w:rPr>
        <w:t>AE</w:t>
      </w:r>
      <w:r w:rsidRPr="00AD057B">
        <w:rPr>
          <w:bCs/>
        </w:rPr>
        <w:t xml:space="preserve">)). </w:t>
      </w:r>
      <w:r w:rsidRPr="00AD057B">
        <w:rPr>
          <w:bCs/>
          <w:highlight w:val="cyan"/>
        </w:rPr>
        <w:t xml:space="preserve">The values of </w:t>
      </w:r>
      <w:r w:rsidRPr="00AD057B">
        <w:rPr>
          <w:rFonts w:cs="Times New Roman"/>
          <w:bCs/>
          <w:highlight w:val="cyan"/>
        </w:rPr>
        <w:t xml:space="preserve">ΔG and </w:t>
      </w:r>
      <w:r w:rsidRPr="00AD057B">
        <w:rPr>
          <w:bCs/>
          <w:highlight w:val="cyan"/>
        </w:rPr>
        <w:t>ΔH for this reaction is -8.0 and -5.5 kJ mol</w:t>
      </w:r>
      <w:r w:rsidRPr="00AD057B">
        <w:rPr>
          <w:bCs/>
          <w:highlight w:val="cyan"/>
          <w:vertAlign w:val="superscript"/>
        </w:rPr>
        <w:t>-1</w:t>
      </w:r>
      <w:r w:rsidRPr="00AD057B">
        <w:rPr>
          <w:bCs/>
          <w:highlight w:val="cyan"/>
        </w:rPr>
        <w:t>, respectively.</w:t>
      </w:r>
      <w:r w:rsidRPr="00AD057B">
        <w:rPr>
          <w:bCs/>
        </w:rPr>
        <w:t xml:space="preserve"> The distance of Fe-O and O-O in the structure 3 are 1.97 and 1.61 </w:t>
      </w:r>
      <w:r w:rsidRPr="00AD057B">
        <w:rPr>
          <w:rFonts w:ascii="Cambria Math" w:hAnsi="Cambria Math" w:cs="Cambria Math"/>
          <w:bCs/>
        </w:rPr>
        <w:t>Å</w:t>
      </w:r>
      <w:r w:rsidRPr="00AD057B">
        <w:rPr>
          <w:bCs/>
        </w:rPr>
        <w:t xml:space="preserve">, respectively.  It is considered that the bond lengths in the structure 3 have been increased due to the steric effects. Then, the O-O bond in structure 3 cleaves and forms two equivalents of oxo ferryl ([Fe(IV)=O]) species. </w:t>
      </w:r>
      <w:r w:rsidRPr="00AD057B">
        <w:rPr>
          <w:bCs/>
          <w:highlight w:val="cyan"/>
        </w:rPr>
        <w:t>Conve</w:t>
      </w:r>
      <w:r w:rsidR="007F3568" w:rsidRPr="00AD057B">
        <w:rPr>
          <w:bCs/>
          <w:highlight w:val="cyan"/>
        </w:rPr>
        <w:t>rsion reaction of the structure</w:t>
      </w:r>
      <w:r w:rsidRPr="00AD057B">
        <w:rPr>
          <w:bCs/>
          <w:highlight w:val="cyan"/>
        </w:rPr>
        <w:t xml:space="preserve"> 3 to 4 is exothermic (ΔH = -0.02 kJ mol</w:t>
      </w:r>
      <w:r w:rsidRPr="00AD057B">
        <w:rPr>
          <w:bCs/>
          <w:highlight w:val="cyan"/>
          <w:vertAlign w:val="superscript"/>
        </w:rPr>
        <w:t>-1</w:t>
      </w:r>
      <w:r w:rsidRPr="00AD057B">
        <w:rPr>
          <w:bCs/>
          <w:highlight w:val="cyan"/>
        </w:rPr>
        <w:t>) and endergonic (ΔG = 2.0 kJ mol</w:t>
      </w:r>
      <w:r w:rsidRPr="00AD057B">
        <w:rPr>
          <w:bCs/>
          <w:highlight w:val="cyan"/>
          <w:vertAlign w:val="superscript"/>
        </w:rPr>
        <w:t>-1</w:t>
      </w:r>
      <w:r w:rsidRPr="00AD057B">
        <w:rPr>
          <w:bCs/>
          <w:highlight w:val="cyan"/>
        </w:rPr>
        <w:t>),</w:t>
      </w:r>
      <w:r w:rsidRPr="00AD057B">
        <w:rPr>
          <w:bCs/>
        </w:rPr>
        <w:t xml:space="preserve"> with equilibrium constant (K</w:t>
      </w:r>
      <w:r w:rsidRPr="00AD057B">
        <w:rPr>
          <w:bCs/>
          <w:vertAlign w:val="subscript"/>
        </w:rPr>
        <w:t>eq</w:t>
      </w:r>
      <w:r w:rsidRPr="00AD057B">
        <w:rPr>
          <w:bCs/>
        </w:rPr>
        <w:t xml:space="preserve">) of 0.45 M. </w:t>
      </w:r>
    </w:p>
    <w:p w:rsidR="00470846" w:rsidRDefault="00C71C23" w:rsidP="007F3568">
      <w:pPr>
        <w:jc w:val="lowKashida"/>
        <w:rPr>
          <w:bCs/>
        </w:rPr>
      </w:pPr>
      <w:r w:rsidRPr="00AD057B">
        <w:rPr>
          <w:bCs/>
          <w:highlight w:val="cyan"/>
        </w:rPr>
        <w:t>The structure 4 in the presence of alkenes (Fe(IV) and alkenes) convert to Fe(II) and epoxide.</w:t>
      </w:r>
      <w:r w:rsidRPr="00AD057B">
        <w:rPr>
          <w:bCs/>
        </w:rPr>
        <w:t xml:space="preserve"> </w:t>
      </w:r>
      <w:r>
        <w:rPr>
          <w:bCs/>
        </w:rPr>
        <w:t>The conversion reaction is exothermic and endergonic with the values of ΔH and ΔG of -2.0 and 0.1 kJ mol</w:t>
      </w:r>
      <w:r>
        <w:rPr>
          <w:bCs/>
          <w:vertAlign w:val="superscript"/>
        </w:rPr>
        <w:t>-1</w:t>
      </w:r>
      <w:r>
        <w:rPr>
          <w:bCs/>
        </w:rPr>
        <w:t xml:space="preserve">, respectively. Structure 5 at the aerobic condition converts to structure 1 and indeed, Fe(II) oxides to Fe(III). </w:t>
      </w:r>
    </w:p>
    <w:p w:rsidR="00470846" w:rsidRDefault="00470846">
      <w:pPr>
        <w:rPr>
          <w:bCs/>
        </w:rPr>
      </w:pPr>
    </w:p>
    <w:p w:rsidR="00470846" w:rsidRDefault="00C71C23">
      <w:pPr>
        <w:rPr>
          <w:bCs/>
        </w:rPr>
      </w:pPr>
      <w:r>
        <w:rPr>
          <w:noProof/>
        </w:rPr>
        <w:drawing>
          <wp:inline distT="0" distB="0" distL="0" distR="0">
            <wp:extent cx="5057775" cy="3152775"/>
            <wp:effectExtent l="0" t="0" r="0"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0"/>
                    <pic:cNvPicPr>
                      <a:picLocks noChangeAspect="1" noChangeArrowheads="1"/>
                    </pic:cNvPicPr>
                  </pic:nvPicPr>
                  <pic:blipFill>
                    <a:blip r:embed="rId65"/>
                    <a:stretch>
                      <a:fillRect/>
                    </a:stretch>
                  </pic:blipFill>
                  <pic:spPr bwMode="auto">
                    <a:xfrm>
                      <a:off x="0" y="0"/>
                      <a:ext cx="5057775" cy="3152775"/>
                    </a:xfrm>
                    <a:prstGeom prst="rect">
                      <a:avLst/>
                    </a:prstGeom>
                  </pic:spPr>
                </pic:pic>
              </a:graphicData>
            </a:graphic>
          </wp:inline>
        </w:drawing>
      </w:r>
    </w:p>
    <w:p w:rsidR="00470846" w:rsidRDefault="00C71C23" w:rsidP="00C71C23">
      <w:pPr>
        <w:jc w:val="center"/>
        <w:rPr>
          <w:rFonts w:cs="Times New Roman"/>
          <w:bCs/>
          <w:sz w:val="20"/>
          <w:szCs w:val="20"/>
        </w:rPr>
      </w:pPr>
      <w:r w:rsidRPr="00AD057B">
        <w:rPr>
          <w:rFonts w:cs="Times New Roman"/>
          <w:b/>
          <w:sz w:val="20"/>
          <w:szCs w:val="20"/>
          <w:highlight w:val="cyan"/>
          <w:shd w:val="clear" w:color="auto" w:fill="FFFFFF" w:themeFill="background1"/>
        </w:rPr>
        <w:t>Figure 7:</w:t>
      </w:r>
      <w:r w:rsidRPr="00AD057B">
        <w:rPr>
          <w:rFonts w:cs="Times New Roman"/>
          <w:bCs/>
          <w:sz w:val="20"/>
          <w:szCs w:val="20"/>
          <w:highlight w:val="cyan"/>
        </w:rPr>
        <w:t xml:space="preserve"> PES at the wb97xd/6-311g (d,p) level of theory in the presence of SO</w:t>
      </w:r>
      <w:r w:rsidRPr="00AD057B">
        <w:rPr>
          <w:rFonts w:cs="Times New Roman"/>
          <w:bCs/>
          <w:sz w:val="20"/>
          <w:szCs w:val="20"/>
          <w:highlight w:val="cyan"/>
          <w:vertAlign w:val="subscript"/>
        </w:rPr>
        <w:t>3</w:t>
      </w:r>
      <w:r w:rsidRPr="00AD057B">
        <w:rPr>
          <w:rFonts w:cs="Times New Roman"/>
          <w:bCs/>
          <w:sz w:val="20"/>
          <w:szCs w:val="20"/>
          <w:highlight w:val="cyan"/>
          <w:vertAlign w:val="superscript"/>
        </w:rPr>
        <w:t>2-</w:t>
      </w:r>
      <w:r w:rsidRPr="00AD057B">
        <w:rPr>
          <w:rFonts w:cs="Times New Roman"/>
          <w:bCs/>
          <w:sz w:val="20"/>
          <w:szCs w:val="20"/>
          <w:highlight w:val="cyan"/>
        </w:rPr>
        <w:t>.</w:t>
      </w:r>
    </w:p>
    <w:p w:rsidR="007F3568" w:rsidRDefault="007F3568" w:rsidP="00C71C23">
      <w:pPr>
        <w:jc w:val="center"/>
        <w:rPr>
          <w:rFonts w:cs="Times New Roman"/>
          <w:bCs/>
          <w:sz w:val="20"/>
          <w:szCs w:val="20"/>
        </w:rPr>
      </w:pPr>
    </w:p>
    <w:p w:rsidR="00470846" w:rsidRDefault="00C71C23" w:rsidP="007F3568">
      <w:pPr>
        <w:spacing w:line="240" w:lineRule="auto"/>
        <w:rPr>
          <w:rFonts w:cs="Times New Roman"/>
          <w:bCs/>
          <w:sz w:val="20"/>
          <w:szCs w:val="20"/>
        </w:rPr>
      </w:pPr>
      <w:r w:rsidRPr="00AD057B">
        <w:rPr>
          <w:rFonts w:cs="Times New Roman"/>
          <w:b/>
          <w:sz w:val="20"/>
          <w:szCs w:val="20"/>
          <w:highlight w:val="cyan"/>
          <w:shd w:val="clear" w:color="auto" w:fill="FFFFFF" w:themeFill="background1"/>
        </w:rPr>
        <w:t>Table 5.</w:t>
      </w:r>
      <w:r w:rsidRPr="00AD057B">
        <w:rPr>
          <w:rFonts w:cs="Times New Roman"/>
          <w:bCs/>
          <w:sz w:val="20"/>
          <w:szCs w:val="20"/>
          <w:highlight w:val="cyan"/>
          <w:shd w:val="clear" w:color="auto" w:fill="FFFFFF" w:themeFill="background1"/>
        </w:rPr>
        <w:t xml:space="preserve"> Relative</w:t>
      </w:r>
      <w:r w:rsidRPr="00AD057B">
        <w:rPr>
          <w:rFonts w:cs="Times New Roman"/>
          <w:bCs/>
          <w:sz w:val="20"/>
          <w:szCs w:val="20"/>
          <w:highlight w:val="cyan"/>
        </w:rPr>
        <w:t xml:space="preserve"> enthalpies, ΔH in kJ mol</w:t>
      </w:r>
      <w:r w:rsidRPr="00AD057B">
        <w:rPr>
          <w:rFonts w:cs="Times New Roman"/>
          <w:bCs/>
          <w:sz w:val="20"/>
          <w:szCs w:val="20"/>
          <w:highlight w:val="cyan"/>
          <w:vertAlign w:val="superscript"/>
        </w:rPr>
        <w:t>-1</w:t>
      </w:r>
      <w:r w:rsidRPr="00AD057B">
        <w:rPr>
          <w:rFonts w:cs="Times New Roman"/>
          <w:bCs/>
          <w:sz w:val="20"/>
          <w:szCs w:val="20"/>
          <w:highlight w:val="cyan"/>
        </w:rPr>
        <w:t>, entropies, ΔS in kJ mol</w:t>
      </w:r>
      <w:r w:rsidRPr="00AD057B">
        <w:rPr>
          <w:rFonts w:cs="Times New Roman"/>
          <w:bCs/>
          <w:sz w:val="20"/>
          <w:szCs w:val="20"/>
          <w:highlight w:val="cyan"/>
          <w:vertAlign w:val="superscript"/>
        </w:rPr>
        <w:t>-1</w:t>
      </w:r>
      <w:r w:rsidRPr="00AD057B">
        <w:rPr>
          <w:rFonts w:cs="Times New Roman"/>
          <w:bCs/>
          <w:sz w:val="20"/>
          <w:szCs w:val="20"/>
          <w:highlight w:val="cyan"/>
        </w:rPr>
        <w:t>K</w:t>
      </w:r>
      <w:r w:rsidRPr="00AD057B">
        <w:rPr>
          <w:rFonts w:cs="Times New Roman"/>
          <w:bCs/>
          <w:sz w:val="20"/>
          <w:szCs w:val="20"/>
          <w:highlight w:val="cyan"/>
          <w:vertAlign w:val="superscript"/>
        </w:rPr>
        <w:t>-1</w:t>
      </w:r>
      <w:r w:rsidRPr="00AD057B">
        <w:rPr>
          <w:rFonts w:cs="Times New Roman"/>
          <w:bCs/>
          <w:sz w:val="20"/>
          <w:szCs w:val="20"/>
          <w:highlight w:val="cyan"/>
        </w:rPr>
        <w:t>, and Gibbs free energies, ΔG in kJ mol</w:t>
      </w:r>
      <w:r w:rsidRPr="00AD057B">
        <w:rPr>
          <w:rFonts w:cs="Times New Roman"/>
          <w:bCs/>
          <w:sz w:val="20"/>
          <w:szCs w:val="20"/>
          <w:highlight w:val="cyan"/>
          <w:vertAlign w:val="superscript"/>
        </w:rPr>
        <w:t>-1</w:t>
      </w:r>
      <w:r w:rsidRPr="00AD057B">
        <w:rPr>
          <w:rFonts w:cs="Times New Roman"/>
          <w:bCs/>
          <w:sz w:val="20"/>
          <w:szCs w:val="20"/>
          <w:highlight w:val="cyan"/>
        </w:rPr>
        <w:t xml:space="preserve">, computed at 298.15 K in water at the Wb97xd/6-311g (d, p) level of theory in the presence of </w:t>
      </w:r>
      <w:r w:rsidRPr="00AD057B">
        <w:rPr>
          <w:bCs/>
          <w:sz w:val="20"/>
          <w:szCs w:val="20"/>
          <w:highlight w:val="cyan"/>
        </w:rPr>
        <w:t>SO</w:t>
      </w:r>
      <w:r w:rsidRPr="00AD057B">
        <w:rPr>
          <w:bCs/>
          <w:sz w:val="20"/>
          <w:szCs w:val="20"/>
          <w:highlight w:val="cyan"/>
          <w:vertAlign w:val="subscript"/>
        </w:rPr>
        <w:t>3</w:t>
      </w:r>
      <w:r w:rsidRPr="00AD057B">
        <w:rPr>
          <w:bCs/>
          <w:sz w:val="20"/>
          <w:szCs w:val="20"/>
          <w:highlight w:val="cyan"/>
          <w:vertAlign w:val="superscript"/>
        </w:rPr>
        <w:t>2-</w:t>
      </w:r>
      <w:r w:rsidRPr="00AD057B">
        <w:rPr>
          <w:bCs/>
          <w:sz w:val="20"/>
          <w:szCs w:val="20"/>
          <w:highlight w:val="cyan"/>
        </w:rPr>
        <w:t>.</w:t>
      </w:r>
    </w:p>
    <w:tbl>
      <w:tblPr>
        <w:tblStyle w:val="GridTable4-Accent5"/>
        <w:bidiVisual/>
        <w:tblW w:w="6390" w:type="dxa"/>
        <w:jc w:val="center"/>
        <w:tblLayout w:type="fixed"/>
        <w:tblLook w:val="04A0" w:firstRow="1" w:lastRow="0" w:firstColumn="1" w:lastColumn="0" w:noHBand="0" w:noVBand="1"/>
      </w:tblPr>
      <w:tblGrid>
        <w:gridCol w:w="1272"/>
        <w:gridCol w:w="1043"/>
        <w:gridCol w:w="986"/>
        <w:gridCol w:w="929"/>
        <w:gridCol w:w="2160"/>
      </w:tblGrid>
      <w:tr w:rsidR="00470846" w:rsidTr="007F35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2"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color w:val="FFFFFF"/>
                <w:sz w:val="22"/>
                <w:szCs w:val="22"/>
              </w:rPr>
              <w:t>K</w:t>
            </w:r>
            <w:r>
              <w:rPr>
                <w:rFonts w:asciiTheme="minorHAnsi" w:hAnsiTheme="minorHAnsi"/>
                <w:color w:val="FFFFFF"/>
                <w:sz w:val="22"/>
                <w:szCs w:val="22"/>
                <w:vertAlign w:val="subscript"/>
              </w:rPr>
              <w:t>eq</w:t>
            </w:r>
          </w:p>
        </w:tc>
        <w:tc>
          <w:tcPr>
            <w:tcW w:w="1043"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hanging="1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ΔS</w:t>
            </w:r>
          </w:p>
        </w:tc>
        <w:tc>
          <w:tcPr>
            <w:tcW w:w="986"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left="90" w:firstLine="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ΔH</w:t>
            </w:r>
          </w:p>
        </w:tc>
        <w:tc>
          <w:tcPr>
            <w:tcW w:w="929"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left="-110" w:firstLine="14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ΔG</w:t>
            </w:r>
          </w:p>
        </w:tc>
        <w:tc>
          <w:tcPr>
            <w:tcW w:w="2160"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bidi/>
              <w:spacing w:beforeAutospacing="0" w:after="0" w:afterAutospacing="0" w:line="360" w:lineRule="auto"/>
              <w:ind w:firstLine="720"/>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Reaction</w:t>
            </w:r>
            <w:r>
              <w:rPr>
                <w:rFonts w:asciiTheme="minorHAnsi" w:hAnsiTheme="minorHAnsi"/>
                <w:color w:val="FFFFFF"/>
                <w:sz w:val="22"/>
                <w:szCs w:val="22"/>
                <w:rtl/>
              </w:rPr>
              <w:t xml:space="preserve"> </w:t>
            </w:r>
            <w:r w:rsidR="007F3568">
              <w:rPr>
                <w:rFonts w:asciiTheme="minorHAnsi" w:hAnsiTheme="minorHAnsi"/>
                <w:color w:val="FFFFFF"/>
                <w:sz w:val="22"/>
                <w:szCs w:val="22"/>
              </w:rPr>
              <w:t xml:space="preserve">      </w:t>
            </w:r>
          </w:p>
        </w:tc>
      </w:tr>
      <w:tr w:rsidR="00470846" w:rsidTr="007F35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2"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0.19</w:t>
            </w:r>
          </w:p>
        </w:tc>
        <w:tc>
          <w:tcPr>
            <w:tcW w:w="1043"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firstLine="1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vertAlign w:val="superscript"/>
              </w:rPr>
            </w:pPr>
            <w:r>
              <w:rPr>
                <w:rFonts w:asciiTheme="minorHAnsi" w:hAnsiTheme="minorHAnsi"/>
                <w:sz w:val="22"/>
                <w:szCs w:val="22"/>
                <w:rtl/>
              </w:rPr>
              <w:t>-</w:t>
            </w:r>
            <w:r>
              <w:rPr>
                <w:rFonts w:asciiTheme="minorHAnsi" w:hAnsiTheme="minorHAnsi"/>
                <w:sz w:val="22"/>
                <w:szCs w:val="22"/>
              </w:rPr>
              <w:t>0.0231</w:t>
            </w:r>
          </w:p>
        </w:tc>
        <w:tc>
          <w:tcPr>
            <w:tcW w:w="986"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left="90" w:firstLine="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2.8</w:t>
            </w:r>
          </w:p>
        </w:tc>
        <w:tc>
          <w:tcPr>
            <w:tcW w:w="929"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right="-13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4.1</w:t>
            </w:r>
          </w:p>
        </w:tc>
        <w:tc>
          <w:tcPr>
            <w:tcW w:w="2160" w:type="dxa"/>
            <w:tcBorders>
              <w:top w:val="nil"/>
              <w:left w:val="nil"/>
              <w:bottom w:val="nil"/>
              <w:right w:val="nil"/>
            </w:tcBorders>
            <w:shd w:val="clear" w:color="auto" w:fill="auto"/>
          </w:tcPr>
          <w:p w:rsidR="00470846" w:rsidRDefault="00C71C23">
            <w:pPr>
              <w:pStyle w:val="yiv2239271635msonormal"/>
              <w:widowControl w:val="0"/>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22"/>
                <w:szCs w:val="22"/>
              </w:rPr>
            </w:pPr>
            <w:r>
              <w:rPr>
                <w:rFonts w:asciiTheme="minorHAnsi" w:hAnsiTheme="minorHAnsi"/>
                <w:bCs/>
                <w:iCs/>
                <w:sz w:val="22"/>
                <w:szCs w:val="22"/>
              </w:rPr>
              <w:t>1 → 2</w:t>
            </w:r>
          </w:p>
        </w:tc>
      </w:tr>
      <w:tr w:rsidR="00470846" w:rsidTr="007F3568">
        <w:trPr>
          <w:jc w:val="center"/>
        </w:trPr>
        <w:tc>
          <w:tcPr>
            <w:cnfStyle w:val="001000000000" w:firstRow="0" w:lastRow="0" w:firstColumn="1" w:lastColumn="0" w:oddVBand="0" w:evenVBand="0" w:oddHBand="0" w:evenHBand="0" w:firstRowFirstColumn="0" w:firstRowLastColumn="0" w:lastRowFirstColumn="0" w:lastRowLastColumn="0"/>
            <w:tcW w:w="1272"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25.21</w:t>
            </w:r>
          </w:p>
        </w:tc>
        <w:tc>
          <w:tcPr>
            <w:tcW w:w="1043"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firstLine="1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0.0083</w:t>
            </w:r>
          </w:p>
        </w:tc>
        <w:tc>
          <w:tcPr>
            <w:tcW w:w="986"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left="90" w:firstLine="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5.5</w:t>
            </w:r>
          </w:p>
        </w:tc>
        <w:tc>
          <w:tcPr>
            <w:tcW w:w="929"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left="-110" w:firstLine="1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8.0</w:t>
            </w:r>
          </w:p>
        </w:tc>
        <w:tc>
          <w:tcPr>
            <w:tcW w:w="2160" w:type="dxa"/>
            <w:tcBorders>
              <w:top w:val="nil"/>
              <w:left w:val="nil"/>
              <w:bottom w:val="nil"/>
              <w:right w:val="nil"/>
            </w:tcBorders>
            <w:shd w:val="clear" w:color="auto" w:fill="auto"/>
          </w:tcPr>
          <w:p w:rsidR="00470846" w:rsidRDefault="00C71C23">
            <w:pPr>
              <w:pStyle w:val="yiv2239271635msonormal"/>
              <w:widowControl w:val="0"/>
              <w:spacing w:beforeAutospacing="0" w:after="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22"/>
                <w:szCs w:val="22"/>
              </w:rPr>
            </w:pPr>
            <w:r>
              <w:rPr>
                <w:rFonts w:asciiTheme="minorHAnsi" w:hAnsiTheme="minorHAnsi"/>
                <w:bCs/>
                <w:iCs/>
                <w:sz w:val="22"/>
                <w:szCs w:val="22"/>
              </w:rPr>
              <w:t>2 → 3</w:t>
            </w:r>
          </w:p>
        </w:tc>
      </w:tr>
      <w:tr w:rsidR="00470846" w:rsidTr="007F35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2"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0.45</w:t>
            </w:r>
          </w:p>
        </w:tc>
        <w:tc>
          <w:tcPr>
            <w:tcW w:w="1043"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0.0067</w:t>
            </w:r>
          </w:p>
        </w:tc>
        <w:tc>
          <w:tcPr>
            <w:tcW w:w="986"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left="90" w:firstLine="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0.02</w:t>
            </w:r>
          </w:p>
        </w:tc>
        <w:tc>
          <w:tcPr>
            <w:tcW w:w="929" w:type="dxa"/>
            <w:tcBorders>
              <w:top w:val="nil"/>
              <w:left w:val="nil"/>
              <w:bottom w:val="nil"/>
              <w:right w:val="nil"/>
            </w:tcBorders>
            <w:shd w:val="clear" w:color="auto" w:fill="auto"/>
          </w:tcPr>
          <w:p w:rsidR="00470846" w:rsidRDefault="00C71C23" w:rsidP="007F3568">
            <w:pPr>
              <w:pStyle w:val="yiv2239271635msonormal"/>
              <w:widowControl w:val="0"/>
              <w:spacing w:beforeAutospacing="0" w:after="0" w:afterAutospacing="0" w:line="360" w:lineRule="auto"/>
              <w:ind w:left="-110" w:firstLine="14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2.0</w:t>
            </w:r>
          </w:p>
        </w:tc>
        <w:tc>
          <w:tcPr>
            <w:tcW w:w="2160" w:type="dxa"/>
            <w:tcBorders>
              <w:top w:val="nil"/>
              <w:left w:val="nil"/>
              <w:bottom w:val="nil"/>
              <w:right w:val="nil"/>
            </w:tcBorders>
            <w:shd w:val="clear" w:color="auto" w:fill="auto"/>
          </w:tcPr>
          <w:p w:rsidR="00470846" w:rsidRDefault="00C71C23">
            <w:pPr>
              <w:pStyle w:val="yiv2239271635msonormal"/>
              <w:widowControl w:val="0"/>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22"/>
                <w:szCs w:val="22"/>
              </w:rPr>
            </w:pPr>
            <w:r>
              <w:rPr>
                <w:rFonts w:asciiTheme="minorHAnsi" w:hAnsiTheme="minorHAnsi"/>
                <w:bCs/>
                <w:iCs/>
                <w:sz w:val="22"/>
                <w:szCs w:val="22"/>
              </w:rPr>
              <w:t>3 → 4</w:t>
            </w:r>
          </w:p>
        </w:tc>
      </w:tr>
      <w:tr w:rsidR="00470846" w:rsidTr="007F3568">
        <w:trPr>
          <w:jc w:val="center"/>
        </w:trPr>
        <w:tc>
          <w:tcPr>
            <w:cnfStyle w:val="001000000000" w:firstRow="0" w:lastRow="0" w:firstColumn="1" w:lastColumn="0" w:oddVBand="0" w:evenVBand="0" w:oddHBand="0" w:evenHBand="0" w:firstRowFirstColumn="0" w:firstRowLastColumn="0" w:lastRowFirstColumn="0" w:lastRowLastColumn="0"/>
            <w:tcW w:w="1272" w:type="dxa"/>
            <w:tcBorders>
              <w:top w:val="nil"/>
              <w:left w:val="nil"/>
              <w:bottom w:val="single" w:sz="4" w:space="0" w:color="000000"/>
              <w:right w:val="nil"/>
            </w:tcBorders>
            <w:shd w:val="clear" w:color="auto" w:fill="auto"/>
          </w:tcPr>
          <w:p w:rsidR="00470846" w:rsidRDefault="00C71C23" w:rsidP="007F3568">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0.96</w:t>
            </w:r>
          </w:p>
        </w:tc>
        <w:tc>
          <w:tcPr>
            <w:tcW w:w="1043" w:type="dxa"/>
            <w:tcBorders>
              <w:top w:val="nil"/>
              <w:left w:val="nil"/>
              <w:bottom w:val="single" w:sz="4" w:space="0" w:color="000000"/>
              <w:right w:val="nil"/>
            </w:tcBorders>
            <w:shd w:val="clear" w:color="auto" w:fill="auto"/>
          </w:tcPr>
          <w:p w:rsidR="00470846" w:rsidRDefault="00C71C23" w:rsidP="007F3568">
            <w:pPr>
              <w:pStyle w:val="yiv2239271635msonormal"/>
              <w:widowControl w:val="0"/>
              <w:spacing w:beforeAutospacing="0" w:after="0" w:afterAutospacing="0" w:line="360" w:lineRule="auto"/>
              <w:ind w:firstLine="1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0.0070</w:t>
            </w:r>
          </w:p>
        </w:tc>
        <w:tc>
          <w:tcPr>
            <w:tcW w:w="986" w:type="dxa"/>
            <w:tcBorders>
              <w:top w:val="nil"/>
              <w:left w:val="nil"/>
              <w:bottom w:val="single" w:sz="4" w:space="0" w:color="000000"/>
              <w:right w:val="nil"/>
            </w:tcBorders>
            <w:shd w:val="clear" w:color="auto" w:fill="auto"/>
          </w:tcPr>
          <w:p w:rsidR="00470846" w:rsidRDefault="00C71C23" w:rsidP="007F3568">
            <w:pPr>
              <w:pStyle w:val="yiv2239271635msonormal"/>
              <w:widowControl w:val="0"/>
              <w:spacing w:beforeAutospacing="0" w:after="0" w:afterAutospacing="0" w:line="360" w:lineRule="auto"/>
              <w:ind w:left="90" w:firstLine="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2.0</w:t>
            </w:r>
          </w:p>
        </w:tc>
        <w:tc>
          <w:tcPr>
            <w:tcW w:w="929" w:type="dxa"/>
            <w:tcBorders>
              <w:top w:val="nil"/>
              <w:left w:val="nil"/>
              <w:bottom w:val="single" w:sz="4" w:space="0" w:color="000000"/>
              <w:right w:val="nil"/>
            </w:tcBorders>
            <w:shd w:val="clear" w:color="auto" w:fill="auto"/>
          </w:tcPr>
          <w:p w:rsidR="00470846" w:rsidRDefault="00C71C23" w:rsidP="007F3568">
            <w:pPr>
              <w:pStyle w:val="yiv2239271635msonormal"/>
              <w:widowControl w:val="0"/>
              <w:spacing w:beforeAutospacing="0" w:after="0" w:afterAutospacing="0" w:line="360" w:lineRule="auto"/>
              <w:ind w:left="-110" w:firstLine="1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0.1</w:t>
            </w:r>
          </w:p>
        </w:tc>
        <w:tc>
          <w:tcPr>
            <w:tcW w:w="2160" w:type="dxa"/>
            <w:tcBorders>
              <w:top w:val="nil"/>
              <w:left w:val="nil"/>
              <w:bottom w:val="single" w:sz="4" w:space="0" w:color="000000"/>
              <w:right w:val="nil"/>
            </w:tcBorders>
            <w:shd w:val="clear" w:color="auto" w:fill="auto"/>
          </w:tcPr>
          <w:p w:rsidR="00470846" w:rsidRDefault="00C71C23">
            <w:pPr>
              <w:pStyle w:val="yiv2239271635msonormal"/>
              <w:widowControl w:val="0"/>
              <w:spacing w:beforeAutospacing="0" w:after="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22"/>
                <w:szCs w:val="22"/>
              </w:rPr>
            </w:pPr>
            <w:r>
              <w:rPr>
                <w:rFonts w:asciiTheme="minorHAnsi" w:hAnsiTheme="minorHAnsi"/>
                <w:bCs/>
                <w:iCs/>
                <w:sz w:val="22"/>
                <w:szCs w:val="22"/>
              </w:rPr>
              <w:t>4 → 5</w:t>
            </w:r>
          </w:p>
        </w:tc>
      </w:tr>
    </w:tbl>
    <w:p w:rsidR="00470846" w:rsidRDefault="00470846">
      <w:pPr>
        <w:spacing w:line="360" w:lineRule="auto"/>
        <w:ind w:firstLine="720"/>
        <w:rPr>
          <w:rFonts w:cs="Times New Roman"/>
          <w:bCs/>
        </w:rPr>
      </w:pPr>
    </w:p>
    <w:p w:rsidR="00470846" w:rsidRDefault="00C71C23" w:rsidP="007F3568">
      <w:pPr>
        <w:jc w:val="lowKashida"/>
      </w:pPr>
      <w:r w:rsidRPr="00671854">
        <w:rPr>
          <w:bCs/>
          <w:shd w:val="clear" w:color="auto" w:fill="FFFFFF" w:themeFill="background1"/>
        </w:rPr>
        <w:t>Figure 8 shows a schematic representation of the calcula</w:t>
      </w:r>
      <w:r w:rsidR="00AD057B">
        <w:rPr>
          <w:bCs/>
          <w:shd w:val="clear" w:color="auto" w:fill="FFFFFF" w:themeFill="background1"/>
        </w:rPr>
        <w:t>ted frontier molecular orbitals</w:t>
      </w:r>
      <w:r w:rsidRPr="00671854">
        <w:rPr>
          <w:bCs/>
          <w:shd w:val="clear" w:color="auto" w:fill="FFFFFF" w:themeFill="background1"/>
        </w:rPr>
        <w:t xml:space="preserve"> (FMOs) of </w:t>
      </w:r>
      <w:r>
        <w:rPr>
          <w:bCs/>
        </w:rPr>
        <w:t>the species involved in this reaction in the presence of SO</w:t>
      </w:r>
      <w:r>
        <w:rPr>
          <w:bCs/>
          <w:vertAlign w:val="subscript"/>
        </w:rPr>
        <w:t>3</w:t>
      </w:r>
      <w:r>
        <w:rPr>
          <w:bCs/>
          <w:vertAlign w:val="superscript"/>
        </w:rPr>
        <w:t>2-</w:t>
      </w:r>
      <w:r>
        <w:rPr>
          <w:bCs/>
        </w:rPr>
        <w:t xml:space="preserve"> as reducing agent. The HOMO and LUMO energy differences in str</w:t>
      </w:r>
      <w:r>
        <w:rPr>
          <w:bCs/>
          <w:color w:val="000000"/>
        </w:rPr>
        <w:t>uctures 1 and 2 are 1.0 and 2.9 eV, respectively. Investigation of HOMO in the structure of 2 shows a high electron density at the center of the molecule (adjacent to the Fe(II) atom). Thus, the electron transfer of SO</w:t>
      </w:r>
      <w:r>
        <w:rPr>
          <w:bCs/>
          <w:color w:val="000000"/>
          <w:vertAlign w:val="subscript"/>
        </w:rPr>
        <w:t>3</w:t>
      </w:r>
      <w:r>
        <w:rPr>
          <w:bCs/>
          <w:color w:val="000000"/>
          <w:vertAlign w:val="superscript"/>
        </w:rPr>
        <w:t>2-</w:t>
      </w:r>
      <w:r>
        <w:rPr>
          <w:bCs/>
          <w:color w:val="000000"/>
        </w:rPr>
        <w:t xml:space="preserve"> to the structure 1 takes place and the structure 2 is formed. In the</w:t>
      </w:r>
      <w:r>
        <w:rPr>
          <w:bCs/>
        </w:rPr>
        <w:t xml:space="preserve"> structure 3, the electron density in the vicinity of two Fe(III) atoms in binuclear intermediate is more than that of the O-O bond, so O-O bond cleaves homolytically, leading to the formation of two active high-valent [Fe(IV)=O] intermediates (structure 4). </w:t>
      </w:r>
      <w:r>
        <w:t>The energy band gap of the structure 4 is 3.9 eV. The electron density in the structure 4 in the vicinity of Fe(IV) is higher than the structure 3. In fact, the removal of one dimer from intermediates increases the electron density in the vicinity of HOMO orbital of atom Fe(IV) in the structure 4.</w:t>
      </w:r>
    </w:p>
    <w:p w:rsidR="00470846" w:rsidRDefault="00470846">
      <w:pPr>
        <w:rPr>
          <w:sz w:val="20"/>
          <w:szCs w:val="20"/>
        </w:rPr>
      </w:pPr>
    </w:p>
    <w:tbl>
      <w:tblPr>
        <w:tblStyle w:val="TableGrid3"/>
        <w:tblW w:w="11086" w:type="dxa"/>
        <w:tblInd w:w="-365" w:type="dxa"/>
        <w:tblLayout w:type="fixed"/>
        <w:tblLook w:val="04A0" w:firstRow="1" w:lastRow="0" w:firstColumn="1" w:lastColumn="0" w:noHBand="0" w:noVBand="1"/>
      </w:tblPr>
      <w:tblGrid>
        <w:gridCol w:w="3577"/>
        <w:gridCol w:w="3604"/>
        <w:gridCol w:w="3905"/>
      </w:tblGrid>
      <w:tr w:rsidR="00470846">
        <w:tc>
          <w:tcPr>
            <w:tcW w:w="3577" w:type="dxa"/>
            <w:tcBorders>
              <w:top w:val="nil"/>
              <w:left w:val="nil"/>
              <w:bottom w:val="nil"/>
              <w:right w:val="nil"/>
            </w:tcBorders>
          </w:tcPr>
          <w:p w:rsidR="00470846" w:rsidRDefault="00C71C23">
            <w:pPr>
              <w:widowControl w:val="0"/>
              <w:spacing w:after="0" w:line="360" w:lineRule="auto"/>
              <w:jc w:val="center"/>
              <w:rPr>
                <w:rFonts w:ascii="Calibri" w:eastAsia="Calibri" w:hAnsi="Calibri" w:cs="Arial"/>
              </w:rPr>
            </w:pPr>
            <w:r>
              <w:rPr>
                <w:noProof/>
              </w:rPr>
              <mc:AlternateContent>
                <mc:Choice Requires="wps">
                  <w:drawing>
                    <wp:anchor distT="0" distB="0" distL="114300" distR="0" simplePos="0" relativeHeight="25162444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5" name="_x0000_tole_rId62"/>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62"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 id="_x0000_tole_rId62" o:spid="_x0000_s1061" type="#_x0000_t75" style="position:absolute;left:0;text-align:left;margin-left:0;margin-top:0;width:50pt;height:50pt;z-index:251687936;visibility:hidden;mso-position-horizontal-relative:text;mso-position-vertical-relative:text">
                  <o:lock v:ext="edit" selection="t"/>
                </v:shape>
              </w:pict>
            </w:r>
            <w:r>
              <w:object w:dxaOrig="3375" w:dyaOrig="2670">
                <v:shape id="ole_rId62" o:spid="_x0000_i1049" type="#_x0000_t75" style="width:168.75pt;height:133.5pt;visibility:visible;mso-wrap-distance-right:0" o:ole="">
                  <v:imagedata r:id="rId66" o:title=""/>
                </v:shape>
                <o:OLEObject Type="Embed" ProgID="PBrush" ShapeID="ole_rId62" DrawAspect="Content" ObjectID="_1751767607" r:id="rId67"/>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HOMO of structure 1</w:t>
            </w:r>
          </w:p>
        </w:tc>
        <w:tc>
          <w:tcPr>
            <w:tcW w:w="3604"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2342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6" name="_x0000_tole_rId64"/>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64"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64" o:spid="_x0000_s1059" type="#_x0000_t75" style="position:absolute;left:0;text-align:left;margin-left:0;margin-top:0;width:50pt;height:50pt;z-index:251688960;visibility:hidden;mso-position-horizontal-relative:text;mso-position-vertical-relative:text">
                  <o:lock v:ext="edit" selection="t"/>
                </v:shape>
              </w:pict>
            </w:r>
            <w:r>
              <w:rPr>
                <w:rFonts w:eastAsia="Calibri" w:cs="Arial"/>
              </w:rPr>
              <w:object w:dxaOrig="3390" w:dyaOrig="2580">
                <v:shape id="ole_rId64" o:spid="_x0000_i1050" type="#_x0000_t75" style="width:169.5pt;height:129pt;visibility:visible;mso-wrap-distance-right:0" o:ole="">
                  <v:imagedata r:id="rId68" o:title=""/>
                </v:shape>
                <o:OLEObject Type="Embed" ProgID="PBrush" ShapeID="ole_rId64" DrawAspect="Content" ObjectID="_1751767608" r:id="rId69"/>
              </w:object>
            </w:r>
            <w:r>
              <w:rPr>
                <w:rFonts w:ascii="Times New Roman" w:eastAsia="Calibri" w:hAnsi="Times New Roman" w:cs="Times New Roman"/>
                <w:sz w:val="24"/>
                <w:szCs w:val="24"/>
              </w:rPr>
              <w:t>LUMO of structure 1</w:t>
            </w:r>
          </w:p>
        </w:tc>
        <w:tc>
          <w:tcPr>
            <w:tcW w:w="3905"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rFonts w:eastAsia="Calibri"/>
                <w:noProof/>
              </w:rPr>
              <mc:AlternateContent>
                <mc:Choice Requires="wps">
                  <w:drawing>
                    <wp:anchor distT="0" distB="0" distL="114300" distR="0" simplePos="0" relativeHeight="25162240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7" name="_x0000_tole_rId66"/>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66"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rPr>
              <w:pict>
                <v:shape id="_x0000_tole_rId66" o:spid="_x0000_s1057" type="#_x0000_t75" style="position:absolute;left:0;text-align:left;margin-left:0;margin-top:0;width:50pt;height:50pt;z-index:251689984;visibility:hidden;mso-position-horizontal-relative:text;mso-position-vertical-relative:text">
                  <o:lock v:ext="edit" selection="t"/>
                </v:shape>
              </w:pict>
            </w:r>
            <w:r>
              <w:rPr>
                <w:rFonts w:eastAsia="Calibri"/>
              </w:rPr>
              <w:object w:dxaOrig="3705" w:dyaOrig="2565">
                <v:shape id="ole_rId66" o:spid="_x0000_i1051" type="#_x0000_t75" style="width:185.25pt;height:128.25pt;visibility:visible;mso-wrap-distance-right:0" o:ole="">
                  <v:imagedata r:id="rId70" o:title=""/>
                </v:shape>
                <o:OLEObject Type="Embed" ProgID="PBrush" ShapeID="ole_rId66" DrawAspect="Content" ObjectID="_1751767609" r:id="rId71"/>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HOMO of structure 2</w:t>
            </w:r>
          </w:p>
        </w:tc>
      </w:tr>
      <w:tr w:rsidR="00470846">
        <w:tc>
          <w:tcPr>
            <w:tcW w:w="3577" w:type="dxa"/>
            <w:tcBorders>
              <w:top w:val="nil"/>
              <w:left w:val="nil"/>
              <w:bottom w:val="nil"/>
              <w:right w:val="nil"/>
            </w:tcBorders>
          </w:tcPr>
          <w:p w:rsidR="00470846" w:rsidRDefault="00C71C23">
            <w:pPr>
              <w:widowControl w:val="0"/>
              <w:spacing w:after="0" w:line="360" w:lineRule="auto"/>
              <w:jc w:val="center"/>
              <w:rPr>
                <w:rFonts w:ascii="Calibri" w:eastAsia="Calibri" w:hAnsi="Calibri" w:cs="Arial"/>
              </w:rPr>
            </w:pPr>
            <w:r>
              <w:rPr>
                <w:noProof/>
              </w:rPr>
              <mc:AlternateContent>
                <mc:Choice Requires="wps">
                  <w:drawing>
                    <wp:anchor distT="0" distB="0" distL="114300" distR="0" simplePos="0" relativeHeight="25162137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8" name="_x0000_tole_rId68"/>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68"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 id="_x0000_tole_rId68" o:spid="_x0000_s1055" type="#_x0000_t75" style="position:absolute;left:0;text-align:left;margin-left:0;margin-top:0;width:50pt;height:50pt;z-index:251691008;visibility:hidden;mso-position-horizontal-relative:text;mso-position-vertical-relative:text">
                  <o:lock v:ext="edit" selection="t"/>
                </v:shape>
              </w:pict>
            </w:r>
            <w:r>
              <w:object w:dxaOrig="3030" w:dyaOrig="2475">
                <v:shape id="ole_rId68" o:spid="_x0000_i1052" type="#_x0000_t75" style="width:151.5pt;height:123.75pt;visibility:visible;mso-wrap-distance-right:0" o:ole="">
                  <v:imagedata r:id="rId72" o:title=""/>
                </v:shape>
                <o:OLEObject Type="Embed" ProgID="PBrush" ShapeID="ole_rId68" DrawAspect="Content" ObjectID="_1751767610" r:id="rId73"/>
              </w:object>
            </w:r>
          </w:p>
          <w:p w:rsidR="00470846" w:rsidRDefault="00470846">
            <w:pPr>
              <w:widowControl w:val="0"/>
              <w:spacing w:after="0" w:line="360" w:lineRule="auto"/>
              <w:jc w:val="center"/>
              <w:rPr>
                <w:rFonts w:ascii="Calibri" w:eastAsia="Calibri" w:hAnsi="Calibri" w:cs="Arial"/>
              </w:rPr>
            </w:pPr>
          </w:p>
          <w:p w:rsidR="00470846" w:rsidRDefault="00470846">
            <w:pPr>
              <w:widowControl w:val="0"/>
              <w:spacing w:after="0" w:line="360" w:lineRule="auto"/>
              <w:jc w:val="center"/>
              <w:rPr>
                <w:rFonts w:ascii="Calibri" w:eastAsia="Calibri" w:hAnsi="Calibri" w:cs="Arial"/>
              </w:rPr>
            </w:pP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LUMO of structure 2</w:t>
            </w:r>
          </w:p>
        </w:tc>
        <w:tc>
          <w:tcPr>
            <w:tcW w:w="3604"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2035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49" name="_x0000_tole_rId70"/>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70"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70" o:spid="_x0000_s1053" type="#_x0000_t75" style="position:absolute;left:0;text-align:left;margin-left:0;margin-top:0;width:50pt;height:50pt;z-index:251692032;visibility:hidden;mso-position-horizontal-relative:text;mso-position-vertical-relative:text">
                  <o:lock v:ext="edit" selection="t"/>
                </v:shape>
              </w:pict>
            </w:r>
            <w:r>
              <w:rPr>
                <w:rFonts w:eastAsia="Calibri" w:cs="Arial"/>
              </w:rPr>
              <w:object w:dxaOrig="3075" w:dyaOrig="3195">
                <v:shape id="ole_rId70" o:spid="_x0000_i1053" type="#_x0000_t75" style="width:153.75pt;height:159.75pt;visibility:visible;mso-wrap-distance-right:0" o:ole="">
                  <v:imagedata r:id="rId74" o:title=""/>
                </v:shape>
                <o:OLEObject Type="Embed" ProgID="PBrush" ShapeID="ole_rId70" DrawAspect="Content" ObjectID="_1751767611" r:id="rId75"/>
              </w:object>
            </w:r>
            <w:r>
              <w:rPr>
                <w:rFonts w:ascii="Times New Roman" w:eastAsia="Calibri" w:hAnsi="Times New Roman" w:cs="Times New Roman"/>
                <w:sz w:val="24"/>
                <w:szCs w:val="24"/>
              </w:rPr>
              <w:t>HOMO of structure 3</w:t>
            </w:r>
          </w:p>
        </w:tc>
        <w:tc>
          <w:tcPr>
            <w:tcW w:w="3905"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rFonts w:eastAsia="Calibri"/>
                <w:noProof/>
              </w:rPr>
              <mc:AlternateContent>
                <mc:Choice Requires="wps">
                  <w:drawing>
                    <wp:anchor distT="0" distB="0" distL="114300" distR="0" simplePos="0" relativeHeight="25161932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0" name="_x0000_tole_rId72"/>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72"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rPr>
              <w:pict>
                <v:shape id="_x0000_tole_rId72" o:spid="_x0000_s1051" type="#_x0000_t75" style="position:absolute;left:0;text-align:left;margin-left:0;margin-top:0;width:50pt;height:50pt;z-index:251693056;visibility:hidden;mso-position-horizontal-relative:text;mso-position-vertical-relative:text">
                  <o:lock v:ext="edit" selection="t"/>
                </v:shape>
              </w:pict>
            </w:r>
            <w:r>
              <w:rPr>
                <w:rFonts w:eastAsia="Calibri"/>
              </w:rPr>
              <w:object w:dxaOrig="3345" w:dyaOrig="3180">
                <v:shape id="ole_rId72" o:spid="_x0000_i1054" type="#_x0000_t75" style="width:167.25pt;height:159pt;visibility:visible;mso-wrap-distance-right:0" o:ole="">
                  <v:imagedata r:id="rId76" o:title=""/>
                </v:shape>
                <o:OLEObject Type="Embed" ProgID="PBrush" ShapeID="ole_rId72" DrawAspect="Content" ObjectID="_1751767612" r:id="rId77"/>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LUMO of structure 3</w:t>
            </w:r>
          </w:p>
        </w:tc>
      </w:tr>
      <w:tr w:rsidR="00470846">
        <w:trPr>
          <w:trHeight w:val="3860"/>
        </w:trPr>
        <w:tc>
          <w:tcPr>
            <w:tcW w:w="3577"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830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1" name="_x0000_tole_rId74"/>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74"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74" o:spid="_x0000_s1049" type="#_x0000_t75" style="position:absolute;left:0;text-align:left;margin-left:0;margin-top:0;width:50pt;height:50pt;z-index:251694080;visibility:hidden;mso-position-horizontal-relative:text;mso-position-vertical-relative:text">
                  <o:lock v:ext="edit" selection="t"/>
                </v:shape>
              </w:pict>
            </w:r>
            <w:r>
              <w:rPr>
                <w:rFonts w:eastAsia="Calibri" w:cs="Arial"/>
              </w:rPr>
              <w:object w:dxaOrig="2940" w:dyaOrig="2055">
                <v:shape id="ole_rId74" o:spid="_x0000_i1055" type="#_x0000_t75" style="width:147pt;height:102.75pt;visibility:visible;mso-wrap-distance-right:0" o:ole="">
                  <v:imagedata r:id="rId78" o:title=""/>
                </v:shape>
                <o:OLEObject Type="Embed" ProgID="PBrush" ShapeID="ole_rId74" DrawAspect="Content" ObjectID="_1751767613" r:id="rId79"/>
              </w:object>
            </w:r>
            <w:r>
              <w:rPr>
                <w:rFonts w:ascii="Times New Roman" w:eastAsia="Calibri" w:hAnsi="Times New Roman" w:cs="Times New Roman"/>
                <w:sz w:val="24"/>
                <w:szCs w:val="24"/>
              </w:rPr>
              <w:t>HOMO of structure 4</w:t>
            </w:r>
          </w:p>
        </w:tc>
        <w:tc>
          <w:tcPr>
            <w:tcW w:w="3604"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728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2" name="_x0000_tole_rId76"/>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76"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76" o:spid="_x0000_s1047" type="#_x0000_t75" style="position:absolute;left:0;text-align:left;margin-left:0;margin-top:0;width:50pt;height:50pt;z-index:251695104;visibility:hidden;mso-position-horizontal-relative:text;mso-position-vertical-relative:text">
                  <o:lock v:ext="edit" selection="t"/>
                </v:shape>
              </w:pict>
            </w:r>
            <w:r>
              <w:rPr>
                <w:rFonts w:eastAsia="Calibri" w:cs="Arial"/>
              </w:rPr>
              <w:object w:dxaOrig="2880" w:dyaOrig="2145">
                <v:shape id="ole_rId76" o:spid="_x0000_i1056" type="#_x0000_t75" style="width:2in;height:107.25pt;visibility:visible;mso-wrap-distance-right:0" o:ole="">
                  <v:imagedata r:id="rId80" o:title=""/>
                </v:shape>
                <o:OLEObject Type="Embed" ProgID="PBrush" ShapeID="ole_rId76" DrawAspect="Content" ObjectID="_1751767614" r:id="rId81"/>
              </w:object>
            </w:r>
            <w:r>
              <w:rPr>
                <w:rFonts w:ascii="Times New Roman" w:eastAsia="Calibri" w:hAnsi="Times New Roman" w:cs="Times New Roman"/>
                <w:sz w:val="24"/>
                <w:szCs w:val="24"/>
              </w:rPr>
              <w:t>LUMO of structure 4</w:t>
            </w:r>
          </w:p>
          <w:p w:rsidR="00470846" w:rsidRDefault="00C71C23">
            <w:pPr>
              <w:widowControl w:val="0"/>
              <w:tabs>
                <w:tab w:val="left" w:pos="2415"/>
              </w:tabs>
              <w:spacing w:after="0" w:line="240" w:lineRule="auto"/>
              <w:rPr>
                <w:rFonts w:ascii="Times New Roman" w:hAnsi="Times New Roman" w:cs="Times New Roman"/>
                <w:sz w:val="24"/>
                <w:szCs w:val="24"/>
              </w:rPr>
            </w:pPr>
            <w:r>
              <w:rPr>
                <w:rFonts w:ascii="Times New Roman" w:eastAsia="Calibri" w:hAnsi="Times New Roman" w:cs="Times New Roman"/>
                <w:sz w:val="24"/>
                <w:szCs w:val="24"/>
              </w:rPr>
              <w:tab/>
            </w:r>
          </w:p>
        </w:tc>
        <w:tc>
          <w:tcPr>
            <w:tcW w:w="3905" w:type="dxa"/>
            <w:tcBorders>
              <w:top w:val="nil"/>
              <w:left w:val="nil"/>
              <w:bottom w:val="nil"/>
              <w:right w:val="nil"/>
            </w:tcBorders>
          </w:tcPr>
          <w:p w:rsidR="00470846" w:rsidRDefault="00470846">
            <w:pPr>
              <w:widowControl w:val="0"/>
              <w:spacing w:after="0" w:line="360" w:lineRule="auto"/>
              <w:jc w:val="both"/>
              <w:rPr>
                <w:rFonts w:ascii="Times New Roman" w:hAnsi="Times New Roman" w:cs="Times New Roman"/>
                <w:sz w:val="24"/>
                <w:szCs w:val="24"/>
              </w:rPr>
            </w:pPr>
          </w:p>
        </w:tc>
      </w:tr>
    </w:tbl>
    <w:p w:rsidR="00470846" w:rsidRDefault="00C71C23">
      <w:pPr>
        <w:rPr>
          <w:bCs/>
          <w:sz w:val="20"/>
          <w:szCs w:val="20"/>
        </w:rPr>
      </w:pPr>
      <w:r w:rsidRPr="00671854">
        <w:rPr>
          <w:rFonts w:cs="Times New Roman"/>
          <w:b/>
          <w:bCs/>
          <w:sz w:val="20"/>
          <w:szCs w:val="20"/>
          <w:shd w:val="clear" w:color="auto" w:fill="FFFFFF" w:themeFill="background1"/>
          <w:lang w:val="en-GB"/>
        </w:rPr>
        <w:t>Figure 8:</w:t>
      </w:r>
      <w:r w:rsidRPr="00671854">
        <w:rPr>
          <w:rFonts w:cs="Times New Roman"/>
          <w:bCs/>
          <w:sz w:val="20"/>
          <w:szCs w:val="20"/>
          <w:shd w:val="clear" w:color="auto" w:fill="FFFFFF" w:themeFill="background1"/>
          <w:lang w:val="en-GB"/>
        </w:rPr>
        <w:t xml:space="preserve"> Schematic</w:t>
      </w:r>
      <w:r>
        <w:rPr>
          <w:rFonts w:cs="Times New Roman"/>
          <w:bCs/>
          <w:sz w:val="20"/>
          <w:szCs w:val="20"/>
          <w:lang w:val="en-GB"/>
        </w:rPr>
        <w:t xml:space="preserve"> representation of the calculated FMOs of the species involved in the proposed catalytic cycle in the presence of SO</w:t>
      </w:r>
      <w:r>
        <w:rPr>
          <w:rFonts w:cs="Times New Roman"/>
          <w:bCs/>
          <w:sz w:val="20"/>
          <w:szCs w:val="20"/>
          <w:vertAlign w:val="subscript"/>
          <w:lang w:val="en-GB"/>
        </w:rPr>
        <w:t>3</w:t>
      </w:r>
      <w:r>
        <w:rPr>
          <w:rFonts w:cs="Times New Roman"/>
          <w:bCs/>
          <w:sz w:val="20"/>
          <w:szCs w:val="20"/>
          <w:vertAlign w:val="superscript"/>
          <w:lang w:val="en-GB"/>
        </w:rPr>
        <w:t>2-</w:t>
      </w:r>
      <w:r>
        <w:rPr>
          <w:rFonts w:cs="Times New Roman"/>
          <w:bCs/>
          <w:sz w:val="20"/>
          <w:szCs w:val="20"/>
          <w:lang w:val="en-GB"/>
        </w:rPr>
        <w:t xml:space="preserve"> in solution (water). Circles with light and dark gray, red, blue and medium purple color are H, C, O, N and Fe atoms.</w:t>
      </w:r>
    </w:p>
    <w:p w:rsidR="00470846" w:rsidRPr="00AD057B" w:rsidRDefault="00470846">
      <w:pPr>
        <w:rPr>
          <w:sz w:val="18"/>
          <w:szCs w:val="18"/>
        </w:rPr>
      </w:pPr>
    </w:p>
    <w:p w:rsidR="00470846" w:rsidRPr="007F3568" w:rsidRDefault="00C71C23" w:rsidP="007F3568">
      <w:pPr>
        <w:jc w:val="lowKashida"/>
        <w:rPr>
          <w:sz w:val="18"/>
          <w:szCs w:val="18"/>
        </w:rPr>
      </w:pPr>
      <w:r w:rsidRPr="00AD057B">
        <w:rPr>
          <w:rFonts w:cs="Times New Roman"/>
          <w:bCs/>
          <w:shd w:val="clear" w:color="auto" w:fill="FFFFFF" w:themeFill="background1"/>
        </w:rPr>
        <w:t>Figure 9 shows</w:t>
      </w:r>
      <w:r w:rsidRPr="00AD057B">
        <w:rPr>
          <w:rFonts w:cs="Times New Roman"/>
          <w:bCs/>
        </w:rPr>
        <w:t xml:space="preserve"> the </w:t>
      </w:r>
      <w:r w:rsidRPr="00AD057B">
        <w:rPr>
          <w:rFonts w:cs="Times New Roman"/>
          <w:bCs/>
          <w:highlight w:val="cyan"/>
        </w:rPr>
        <w:t>PES (relative Gibbs free energy)</w:t>
      </w:r>
      <w:r w:rsidRPr="00AD057B">
        <w:rPr>
          <w:rFonts w:cs="Times New Roman"/>
          <w:bCs/>
        </w:rPr>
        <w:t xml:space="preserve"> at the wb97xd/6-311g (d,p) level of theory in presence of TEMPO. </w:t>
      </w:r>
      <w:r w:rsidRPr="00AD057B">
        <w:rPr>
          <w:bCs/>
        </w:rPr>
        <w:t>This reaction begins with the attack of TEMPO to structure 1 and generates a structure 2 (</w:t>
      </w:r>
      <w:r w:rsidRPr="00AD057B">
        <w:t xml:space="preserve">TEMPO-coordinated intermediate) </w:t>
      </w:r>
      <w:r w:rsidRPr="00AD057B">
        <w:rPr>
          <w:bCs/>
        </w:rPr>
        <w:t xml:space="preserve">with C1 </w:t>
      </w:r>
      <w:r w:rsidRPr="00AD057B">
        <w:rPr>
          <w:bCs/>
          <w:shd w:val="clear" w:color="auto" w:fill="FFFFFF" w:themeFill="background1"/>
        </w:rPr>
        <w:t xml:space="preserve">symmetry. </w:t>
      </w:r>
      <w:r w:rsidRPr="00AD057B">
        <w:rPr>
          <w:rFonts w:cs="Times New Roman"/>
          <w:bCs/>
          <w:shd w:val="clear" w:color="auto" w:fill="FFFFFF" w:themeFill="background1"/>
        </w:rPr>
        <w:t>It is worthy to mention that the structure 2 is more stable than 1 in th</w:t>
      </w:r>
      <w:r w:rsidR="007F3568" w:rsidRPr="00AD057B">
        <w:rPr>
          <w:rFonts w:cs="Times New Roman"/>
          <w:bCs/>
          <w:shd w:val="clear" w:color="auto" w:fill="FFFFFF" w:themeFill="background1"/>
        </w:rPr>
        <w:t xml:space="preserve">e presence of the TEMPO unlike </w:t>
      </w:r>
      <w:r w:rsidRPr="00AD057B">
        <w:rPr>
          <w:rFonts w:cs="Times New Roman"/>
          <w:bCs/>
          <w:shd w:val="clear" w:color="auto" w:fill="FFFFFF" w:themeFill="background1"/>
        </w:rPr>
        <w:t>the SO</w:t>
      </w:r>
      <w:r w:rsidRPr="00AD057B">
        <w:rPr>
          <w:rFonts w:cs="Times New Roman"/>
          <w:bCs/>
          <w:shd w:val="clear" w:color="auto" w:fill="FFFFFF" w:themeFill="background1"/>
          <w:vertAlign w:val="subscript"/>
        </w:rPr>
        <w:t>3</w:t>
      </w:r>
      <w:r w:rsidRPr="00AD057B">
        <w:rPr>
          <w:rFonts w:cs="Times New Roman"/>
          <w:bCs/>
          <w:shd w:val="clear" w:color="auto" w:fill="FFFFFF" w:themeFill="background1"/>
          <w:vertAlign w:val="superscript"/>
        </w:rPr>
        <w:t>2-</w:t>
      </w:r>
      <w:r w:rsidRPr="00AD057B">
        <w:rPr>
          <w:rFonts w:cs="Times New Roman"/>
          <w:bCs/>
          <w:shd w:val="clear" w:color="auto" w:fill="FFFFFF" w:themeFill="background1"/>
        </w:rPr>
        <w:t xml:space="preserve"> mechanism.</w:t>
      </w:r>
      <w:r w:rsidRPr="00AD057B">
        <w:rPr>
          <w:rFonts w:cs="Times New Roman"/>
          <w:bCs/>
          <w:shd w:val="clear" w:color="auto" w:fill="FFFFFF" w:themeFill="background1"/>
          <w:lang w:bidi="fa-IR"/>
        </w:rPr>
        <w:t xml:space="preserve"> </w:t>
      </w:r>
      <w:r w:rsidRPr="00AD057B">
        <w:rPr>
          <w:rFonts w:cs="Times New Roman"/>
          <w:bCs/>
          <w:shd w:val="clear" w:color="auto" w:fill="FFFFFF" w:themeFill="background1"/>
        </w:rPr>
        <w:t xml:space="preserve">These criteria can perhaps be attributed to the steric effects of the propyl group near the reaction active site, and also, with the connection of the TEMPO molecule, the number of hydrogen bonds in the system increases. </w:t>
      </w:r>
      <w:r w:rsidRPr="00AD057B">
        <w:rPr>
          <w:bCs/>
          <w:shd w:val="clear" w:color="auto" w:fill="FFFFFF" w:themeFill="background1"/>
        </w:rPr>
        <w:t>As shown in Figure 9 and Table 6</w:t>
      </w:r>
      <w:r w:rsidRPr="00AD057B">
        <w:rPr>
          <w:bCs/>
        </w:rPr>
        <w:t xml:space="preserve">, </w:t>
      </w:r>
      <w:r w:rsidRPr="00AD057B">
        <w:rPr>
          <w:bCs/>
          <w:highlight w:val="cyan"/>
        </w:rPr>
        <w:t>this reaction is barrier less and exothermic (ΔH = -242.4 kJ mol</w:t>
      </w:r>
      <w:r w:rsidRPr="00AD057B">
        <w:rPr>
          <w:bCs/>
          <w:highlight w:val="cyan"/>
          <w:vertAlign w:val="superscript"/>
        </w:rPr>
        <w:t>-1</w:t>
      </w:r>
      <w:r w:rsidRPr="00AD057B">
        <w:rPr>
          <w:bCs/>
          <w:highlight w:val="cyan"/>
        </w:rPr>
        <w:t>) and exergonic (ΔG = -103.7 kJ mol</w:t>
      </w:r>
      <w:r w:rsidRPr="00AD057B">
        <w:rPr>
          <w:bCs/>
          <w:highlight w:val="cyan"/>
          <w:vertAlign w:val="superscript"/>
        </w:rPr>
        <w:t>-1</w:t>
      </w:r>
      <w:r w:rsidRPr="00AD057B">
        <w:rPr>
          <w:bCs/>
          <w:highlight w:val="cyan"/>
        </w:rPr>
        <w:t>),</w:t>
      </w:r>
      <w:r w:rsidRPr="00AD057B">
        <w:rPr>
          <w:bCs/>
        </w:rPr>
        <w:t xml:space="preserve"> </w:t>
      </w:r>
      <w:r w:rsidRPr="007F3568">
        <w:rPr>
          <w:bCs/>
        </w:rPr>
        <w:t>so this reaction in the presence of TEMPO is spontaneous and the high value of equilibrium constant (K</w:t>
      </w:r>
      <w:r w:rsidRPr="007F3568">
        <w:rPr>
          <w:bCs/>
          <w:vertAlign w:val="subscript"/>
        </w:rPr>
        <w:t>eq</w:t>
      </w:r>
      <w:r w:rsidRPr="007F3568">
        <w:rPr>
          <w:bCs/>
        </w:rPr>
        <w:t>= 1.5×10</w:t>
      </w:r>
      <w:r w:rsidRPr="007F3568">
        <w:rPr>
          <w:bCs/>
          <w:vertAlign w:val="superscript"/>
        </w:rPr>
        <w:t>18</w:t>
      </w:r>
      <w:r w:rsidRPr="007F3568">
        <w:rPr>
          <w:bCs/>
        </w:rPr>
        <w:t xml:space="preserve"> M</w:t>
      </w:r>
      <w:r w:rsidRPr="007F3568">
        <w:rPr>
          <w:bCs/>
          <w:vertAlign w:val="superscript"/>
        </w:rPr>
        <w:t>-1</w:t>
      </w:r>
      <w:r w:rsidRPr="007F3568">
        <w:rPr>
          <w:bCs/>
        </w:rPr>
        <w:t xml:space="preserve">) confirms this statement.  The distance of O-atom of TEMPO and the Fe-atom of structure 1 is 1.80 </w:t>
      </w:r>
      <w:r w:rsidRPr="007F3568">
        <w:rPr>
          <w:rFonts w:ascii="Cambria Math" w:hAnsi="Cambria Math" w:cs="Cambria Math"/>
          <w:bCs/>
        </w:rPr>
        <w:t>Å</w:t>
      </w:r>
      <w:r w:rsidRPr="007F3568">
        <w:rPr>
          <w:bCs/>
        </w:rPr>
        <w:t xml:space="preserve"> which is in fair agreement with the experimental value (1.66 </w:t>
      </w:r>
      <w:r w:rsidRPr="007F3568">
        <w:rPr>
          <w:rFonts w:ascii="Cambria Math" w:hAnsi="Cambria Math" w:cs="Cambria Math"/>
          <w:bCs/>
        </w:rPr>
        <w:t>Å</w:t>
      </w:r>
      <w:r w:rsidRPr="007F3568">
        <w:rPr>
          <w:bCs/>
        </w:rPr>
        <w:t xml:space="preserve">). </w:t>
      </w:r>
      <w:r w:rsidRPr="007F3568">
        <w:rPr>
          <w:bCs/>
          <w:color w:val="000000"/>
        </w:rPr>
        <w:t>From this, it is concluded that Fe(II) is more stable than Fe(III) in the presence of TEMPO as co catalyst.</w:t>
      </w:r>
    </w:p>
    <w:p w:rsidR="00470846" w:rsidRDefault="00C71C23">
      <w:pPr>
        <w:spacing w:line="276" w:lineRule="auto"/>
        <w:jc w:val="both"/>
        <w:rPr>
          <w:rFonts w:cs="Times New Roman"/>
          <w:bCs/>
        </w:rPr>
      </w:pPr>
      <w:r>
        <w:rPr>
          <w:rFonts w:cs="Times New Roman"/>
          <w:bCs/>
        </w:rPr>
        <w:t>In the presence of O</w:t>
      </w:r>
      <w:r>
        <w:rPr>
          <w:rFonts w:cs="Times New Roman"/>
          <w:bCs/>
          <w:vertAlign w:val="subscript"/>
        </w:rPr>
        <w:t>2</w:t>
      </w:r>
      <w:r>
        <w:rPr>
          <w:rFonts w:cs="Times New Roman"/>
          <w:bCs/>
        </w:rPr>
        <w:t>, the conversion reaction of structure 2 to structure 3 (</w:t>
      </w:r>
      <w:r>
        <w:rPr>
          <w:rFonts w:cs="Times New Roman"/>
        </w:rPr>
        <w:t xml:space="preserve">iron-oxo intermediate) </w:t>
      </w:r>
      <w:r>
        <w:rPr>
          <w:rFonts w:cs="Times New Roman"/>
          <w:bCs/>
        </w:rPr>
        <w:t>and TEMPO takes place. The conversion reaction of the structure 2 to 3 is exothermic (ΔH = -0.8 kJ mol</w:t>
      </w:r>
      <w:r>
        <w:rPr>
          <w:rFonts w:cs="Times New Roman"/>
          <w:bCs/>
          <w:vertAlign w:val="superscript"/>
        </w:rPr>
        <w:t>-1</w:t>
      </w:r>
      <w:r>
        <w:rPr>
          <w:rFonts w:cs="Times New Roman"/>
          <w:bCs/>
        </w:rPr>
        <w:t>) but endergonic (ΔG = 1.0 kJ mol</w:t>
      </w:r>
      <w:r>
        <w:rPr>
          <w:rFonts w:cs="Times New Roman"/>
          <w:bCs/>
          <w:vertAlign w:val="superscript"/>
        </w:rPr>
        <w:t>-1</w:t>
      </w:r>
      <w:r>
        <w:rPr>
          <w:rFonts w:cs="Times New Roman"/>
          <w:bCs/>
        </w:rPr>
        <w:t>) because entropy changes (ΔS) during this formation is negative. Structure 3 in the presence of alkenes reduces to structure 4. This means that Fe(IV) and alkenes convert to Fe(II) and epoxides respectively during this reaction. This reaction is endothermic (ΔH = 2.2 kJ mol</w:t>
      </w:r>
      <w:r>
        <w:rPr>
          <w:rFonts w:cs="Times New Roman"/>
          <w:bCs/>
          <w:vertAlign w:val="superscript"/>
        </w:rPr>
        <w:t>-1</w:t>
      </w:r>
      <w:r>
        <w:rPr>
          <w:rFonts w:cs="Times New Roman"/>
          <w:bCs/>
        </w:rPr>
        <w:t>) and endergonic (ΔG = 2.1 kJ mol</w:t>
      </w:r>
      <w:r>
        <w:rPr>
          <w:rFonts w:cs="Times New Roman"/>
          <w:bCs/>
          <w:vertAlign w:val="superscript"/>
        </w:rPr>
        <w:t>-1</w:t>
      </w:r>
      <w:r>
        <w:rPr>
          <w:rFonts w:cs="Times New Roman"/>
          <w:bCs/>
        </w:rPr>
        <w:t xml:space="preserve">). </w:t>
      </w:r>
    </w:p>
    <w:p w:rsidR="00470846" w:rsidRDefault="00470846">
      <w:pPr>
        <w:jc w:val="center"/>
        <w:rPr>
          <w:sz w:val="20"/>
          <w:szCs w:val="20"/>
        </w:rPr>
      </w:pPr>
    </w:p>
    <w:p w:rsidR="00470846" w:rsidRDefault="00470846">
      <w:pPr>
        <w:jc w:val="center"/>
        <w:rPr>
          <w:bCs/>
        </w:rPr>
      </w:pPr>
    </w:p>
    <w:p w:rsidR="00470846" w:rsidRDefault="00C71C23">
      <w:pPr>
        <w:jc w:val="center"/>
        <w:rPr>
          <w:bCs/>
        </w:rPr>
      </w:pPr>
      <w:r>
        <w:rPr>
          <w:noProof/>
        </w:rPr>
        <w:drawing>
          <wp:inline distT="0" distB="0" distL="0" distR="0">
            <wp:extent cx="5238750" cy="3648075"/>
            <wp:effectExtent l="0" t="0" r="0" b="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
                    <pic:cNvPicPr>
                      <a:picLocks noChangeAspect="1" noChangeArrowheads="1"/>
                    </pic:cNvPicPr>
                  </pic:nvPicPr>
                  <pic:blipFill>
                    <a:blip r:embed="rId82"/>
                    <a:stretch>
                      <a:fillRect/>
                    </a:stretch>
                  </pic:blipFill>
                  <pic:spPr bwMode="auto">
                    <a:xfrm>
                      <a:off x="0" y="0"/>
                      <a:ext cx="5238750" cy="3648075"/>
                    </a:xfrm>
                    <a:prstGeom prst="rect">
                      <a:avLst/>
                    </a:prstGeom>
                  </pic:spPr>
                </pic:pic>
              </a:graphicData>
            </a:graphic>
          </wp:inline>
        </w:drawing>
      </w:r>
    </w:p>
    <w:p w:rsidR="00470846" w:rsidRDefault="00C71C23">
      <w:pPr>
        <w:jc w:val="center"/>
        <w:rPr>
          <w:bCs/>
        </w:rPr>
      </w:pPr>
      <w:r w:rsidRPr="00AD057B">
        <w:rPr>
          <w:b/>
          <w:highlight w:val="cyan"/>
          <w:shd w:val="clear" w:color="auto" w:fill="FFFFFF" w:themeFill="background1"/>
        </w:rPr>
        <w:t>Figure 9:</w:t>
      </w:r>
      <w:r w:rsidRPr="00AD057B">
        <w:rPr>
          <w:bCs/>
          <w:highlight w:val="cyan"/>
          <w:shd w:val="clear" w:color="auto" w:fill="FFFFFF" w:themeFill="background1"/>
        </w:rPr>
        <w:t xml:space="preserve"> PES</w:t>
      </w:r>
      <w:r w:rsidRPr="00AD057B">
        <w:rPr>
          <w:bCs/>
          <w:highlight w:val="cyan"/>
        </w:rPr>
        <w:t xml:space="preserve"> at the wb97xd/6-311g (d,p) level of theory in presence of TEMPO.</w:t>
      </w:r>
    </w:p>
    <w:p w:rsidR="007F3568" w:rsidRDefault="007F3568">
      <w:pPr>
        <w:jc w:val="center"/>
        <w:rPr>
          <w:bCs/>
        </w:rPr>
      </w:pPr>
    </w:p>
    <w:p w:rsidR="00470846" w:rsidRDefault="00C71C23">
      <w:pPr>
        <w:rPr>
          <w:bCs/>
          <w:sz w:val="20"/>
          <w:szCs w:val="20"/>
        </w:rPr>
      </w:pPr>
      <w:r w:rsidRPr="00AD057B">
        <w:rPr>
          <w:b/>
          <w:sz w:val="20"/>
          <w:szCs w:val="20"/>
          <w:highlight w:val="cyan"/>
          <w:shd w:val="clear" w:color="auto" w:fill="FFFFFF" w:themeFill="background1"/>
        </w:rPr>
        <w:t xml:space="preserve">Table 6. </w:t>
      </w:r>
      <w:r w:rsidRPr="00AD057B">
        <w:rPr>
          <w:bCs/>
          <w:sz w:val="20"/>
          <w:szCs w:val="20"/>
          <w:highlight w:val="cyan"/>
          <w:shd w:val="clear" w:color="auto" w:fill="FFFFFF" w:themeFill="background1"/>
        </w:rPr>
        <w:t>Relative</w:t>
      </w:r>
      <w:r w:rsidRPr="00AD057B">
        <w:rPr>
          <w:bCs/>
          <w:sz w:val="20"/>
          <w:szCs w:val="20"/>
          <w:highlight w:val="cyan"/>
        </w:rPr>
        <w:t xml:space="preserve"> enthalpies, ΔH in kJ mol</w:t>
      </w:r>
      <w:r w:rsidRPr="00AD057B">
        <w:rPr>
          <w:bCs/>
          <w:sz w:val="20"/>
          <w:szCs w:val="20"/>
          <w:highlight w:val="cyan"/>
          <w:vertAlign w:val="superscript"/>
        </w:rPr>
        <w:t>-1</w:t>
      </w:r>
      <w:r w:rsidRPr="00AD057B">
        <w:rPr>
          <w:bCs/>
          <w:sz w:val="20"/>
          <w:szCs w:val="20"/>
          <w:highlight w:val="cyan"/>
        </w:rPr>
        <w:t>, entropies, ΔS in kJ mol</w:t>
      </w:r>
      <w:r w:rsidRPr="00AD057B">
        <w:rPr>
          <w:bCs/>
          <w:sz w:val="20"/>
          <w:szCs w:val="20"/>
          <w:highlight w:val="cyan"/>
          <w:vertAlign w:val="superscript"/>
        </w:rPr>
        <w:t>-1</w:t>
      </w:r>
      <w:r w:rsidRPr="00AD057B">
        <w:rPr>
          <w:bCs/>
          <w:sz w:val="20"/>
          <w:szCs w:val="20"/>
          <w:highlight w:val="cyan"/>
        </w:rPr>
        <w:t>K</w:t>
      </w:r>
      <w:r w:rsidRPr="00AD057B">
        <w:rPr>
          <w:bCs/>
          <w:sz w:val="20"/>
          <w:szCs w:val="20"/>
          <w:highlight w:val="cyan"/>
          <w:vertAlign w:val="superscript"/>
        </w:rPr>
        <w:t>-1</w:t>
      </w:r>
      <w:r w:rsidRPr="00AD057B">
        <w:rPr>
          <w:bCs/>
          <w:sz w:val="20"/>
          <w:szCs w:val="20"/>
          <w:highlight w:val="cyan"/>
        </w:rPr>
        <w:t>, and Gibbs free energies, ΔG in kJ mol</w:t>
      </w:r>
      <w:r w:rsidRPr="00AD057B">
        <w:rPr>
          <w:bCs/>
          <w:sz w:val="20"/>
          <w:szCs w:val="20"/>
          <w:highlight w:val="cyan"/>
          <w:vertAlign w:val="superscript"/>
        </w:rPr>
        <w:t>-1</w:t>
      </w:r>
      <w:r w:rsidRPr="00AD057B">
        <w:rPr>
          <w:bCs/>
          <w:sz w:val="20"/>
          <w:szCs w:val="20"/>
          <w:highlight w:val="cyan"/>
        </w:rPr>
        <w:t>, computed at 298.15 K in water at the Wb97xd/6-311g (d,p) level of theory in the presence of TEMPO.</w:t>
      </w:r>
    </w:p>
    <w:tbl>
      <w:tblPr>
        <w:tblStyle w:val="GridTable4-Accent5"/>
        <w:bidiVisual/>
        <w:tblW w:w="6030" w:type="dxa"/>
        <w:jc w:val="center"/>
        <w:tblLayout w:type="fixed"/>
        <w:tblLook w:val="04A0" w:firstRow="1" w:lastRow="0" w:firstColumn="1" w:lastColumn="0" w:noHBand="0" w:noVBand="1"/>
      </w:tblPr>
      <w:tblGrid>
        <w:gridCol w:w="1298"/>
        <w:gridCol w:w="1053"/>
        <w:gridCol w:w="999"/>
        <w:gridCol w:w="962"/>
        <w:gridCol w:w="1718"/>
      </w:tblGrid>
      <w:tr w:rsidR="00470846" w:rsidTr="0047084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8"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hanging="12"/>
              <w:jc w:val="center"/>
              <w:rPr>
                <w:rFonts w:asciiTheme="minorHAnsi" w:hAnsiTheme="minorHAnsi"/>
                <w:sz w:val="22"/>
                <w:szCs w:val="22"/>
              </w:rPr>
            </w:pPr>
            <w:r>
              <w:rPr>
                <w:rFonts w:asciiTheme="minorHAnsi" w:hAnsiTheme="minorHAnsi"/>
                <w:color w:val="FFFFFF"/>
                <w:sz w:val="22"/>
                <w:szCs w:val="22"/>
              </w:rPr>
              <w:t>K</w:t>
            </w:r>
            <w:r>
              <w:rPr>
                <w:rFonts w:asciiTheme="minorHAnsi" w:hAnsiTheme="minorHAnsi"/>
                <w:color w:val="FFFFFF"/>
                <w:sz w:val="22"/>
                <w:szCs w:val="22"/>
                <w:vertAlign w:val="subscript"/>
              </w:rPr>
              <w:t>eq</w:t>
            </w:r>
          </w:p>
        </w:tc>
        <w:tc>
          <w:tcPr>
            <w:tcW w:w="1053"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hanging="1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ΔS</w:t>
            </w:r>
          </w:p>
        </w:tc>
        <w:tc>
          <w:tcPr>
            <w:tcW w:w="999"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left="90" w:firstLine="7"/>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ΔH</w:t>
            </w:r>
          </w:p>
        </w:tc>
        <w:tc>
          <w:tcPr>
            <w:tcW w:w="962"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spacing w:beforeAutospacing="0" w:after="0" w:afterAutospacing="0" w:line="360" w:lineRule="auto"/>
              <w:ind w:left="-110" w:firstLine="141"/>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ΔG</w:t>
            </w:r>
          </w:p>
        </w:tc>
        <w:tc>
          <w:tcPr>
            <w:tcW w:w="1718" w:type="dxa"/>
            <w:tcBorders>
              <w:top w:val="single" w:sz="4" w:space="0" w:color="4472C4"/>
              <w:left w:val="single" w:sz="4" w:space="0" w:color="4472C4"/>
              <w:bottom w:val="single" w:sz="4" w:space="0" w:color="4472C4"/>
              <w:right w:val="single" w:sz="4" w:space="0" w:color="4472C4"/>
            </w:tcBorders>
          </w:tcPr>
          <w:p w:rsidR="00470846" w:rsidRDefault="00C71C23">
            <w:pPr>
              <w:pStyle w:val="yiv2239271635msonormal"/>
              <w:widowControl w:val="0"/>
              <w:bidi/>
              <w:spacing w:beforeAutospacing="0" w:after="0" w:afterAutospacing="0" w:line="360" w:lineRule="auto"/>
              <w:ind w:right="-36" w:firstLine="532"/>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color w:val="FFFFFF"/>
                <w:sz w:val="22"/>
                <w:szCs w:val="22"/>
              </w:rPr>
              <w:t>Reaction</w:t>
            </w:r>
          </w:p>
        </w:tc>
      </w:tr>
      <w:tr w:rsidR="00470846" w:rsidTr="004708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8"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1.5</w:t>
            </w:r>
            <w:r>
              <w:rPr>
                <w:rFonts w:asciiTheme="minorHAnsi" w:hAnsiTheme="minorHAnsi"/>
                <w:sz w:val="22"/>
                <w:szCs w:val="22"/>
                <w:rtl/>
              </w:rPr>
              <w:t>×</w:t>
            </w:r>
            <w:r>
              <w:rPr>
                <w:rFonts w:asciiTheme="minorHAnsi" w:hAnsiTheme="minorHAnsi"/>
                <w:sz w:val="22"/>
                <w:szCs w:val="22"/>
              </w:rPr>
              <w:t>10</w:t>
            </w:r>
            <w:r>
              <w:rPr>
                <w:rFonts w:asciiTheme="minorHAnsi" w:hAnsiTheme="minorHAnsi"/>
                <w:sz w:val="22"/>
                <w:szCs w:val="22"/>
                <w:vertAlign w:val="superscript"/>
              </w:rPr>
              <w:t>18</w:t>
            </w:r>
          </w:p>
        </w:tc>
        <w:tc>
          <w:tcPr>
            <w:tcW w:w="1053"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firstLine="19"/>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vertAlign w:val="superscript"/>
              </w:rPr>
            </w:pPr>
            <w:r>
              <w:rPr>
                <w:rFonts w:asciiTheme="minorHAnsi" w:hAnsiTheme="minorHAnsi"/>
                <w:sz w:val="22"/>
                <w:szCs w:val="22"/>
                <w:rtl/>
              </w:rPr>
              <w:t>-</w:t>
            </w:r>
            <w:r>
              <w:rPr>
                <w:rFonts w:asciiTheme="minorHAnsi" w:hAnsiTheme="minorHAnsi"/>
                <w:sz w:val="22"/>
                <w:szCs w:val="22"/>
              </w:rPr>
              <w:t>0.0631</w:t>
            </w:r>
          </w:p>
        </w:tc>
        <w:tc>
          <w:tcPr>
            <w:tcW w:w="999"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left="90" w:firstLine="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242.4</w:t>
            </w:r>
          </w:p>
        </w:tc>
        <w:tc>
          <w:tcPr>
            <w:tcW w:w="962"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right="-13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103.7</w:t>
            </w:r>
          </w:p>
        </w:tc>
        <w:tc>
          <w:tcPr>
            <w:tcW w:w="1718"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22"/>
                <w:szCs w:val="22"/>
              </w:rPr>
            </w:pPr>
            <w:r>
              <w:rPr>
                <w:rFonts w:asciiTheme="minorHAnsi" w:hAnsiTheme="minorHAnsi"/>
                <w:bCs/>
                <w:iCs/>
                <w:sz w:val="22"/>
                <w:szCs w:val="22"/>
              </w:rPr>
              <w:t>1 → 2</w:t>
            </w:r>
          </w:p>
        </w:tc>
      </w:tr>
      <w:tr w:rsidR="00470846" w:rsidTr="00470846">
        <w:trPr>
          <w:jc w:val="center"/>
        </w:trPr>
        <w:tc>
          <w:tcPr>
            <w:cnfStyle w:val="001000000000" w:firstRow="0" w:lastRow="0" w:firstColumn="1" w:lastColumn="0" w:oddVBand="0" w:evenVBand="0" w:oddHBand="0" w:evenHBand="0" w:firstRowFirstColumn="0" w:firstRowLastColumn="0" w:lastRowFirstColumn="0" w:lastRowLastColumn="0"/>
            <w:tcW w:w="1298"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0.67</w:t>
            </w:r>
          </w:p>
        </w:tc>
        <w:tc>
          <w:tcPr>
            <w:tcW w:w="1053"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firstLine="1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0.0060</w:t>
            </w:r>
          </w:p>
        </w:tc>
        <w:tc>
          <w:tcPr>
            <w:tcW w:w="999"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left="90" w:firstLine="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tl/>
              </w:rPr>
              <w:t>-</w:t>
            </w:r>
            <w:r>
              <w:rPr>
                <w:rFonts w:asciiTheme="minorHAnsi" w:hAnsiTheme="minorHAnsi"/>
                <w:sz w:val="22"/>
                <w:szCs w:val="22"/>
              </w:rPr>
              <w:t>0.8</w:t>
            </w:r>
          </w:p>
        </w:tc>
        <w:tc>
          <w:tcPr>
            <w:tcW w:w="962"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left="-110" w:firstLine="141"/>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Pr>
                <w:rFonts w:asciiTheme="minorHAnsi" w:hAnsiTheme="minorHAnsi"/>
                <w:sz w:val="22"/>
                <w:szCs w:val="22"/>
              </w:rPr>
              <w:t>1.0</w:t>
            </w:r>
          </w:p>
        </w:tc>
        <w:tc>
          <w:tcPr>
            <w:tcW w:w="1718" w:type="dxa"/>
            <w:tcBorders>
              <w:top w:val="nil"/>
              <w:left w:val="nil"/>
              <w:bottom w:val="nil"/>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22"/>
                <w:szCs w:val="22"/>
              </w:rPr>
            </w:pPr>
            <w:r>
              <w:rPr>
                <w:rFonts w:asciiTheme="minorHAnsi" w:hAnsiTheme="minorHAnsi"/>
                <w:bCs/>
                <w:iCs/>
                <w:sz w:val="22"/>
                <w:szCs w:val="22"/>
              </w:rPr>
              <w:t>2 → 3</w:t>
            </w:r>
          </w:p>
        </w:tc>
      </w:tr>
      <w:tr w:rsidR="00470846" w:rsidTr="004708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8" w:type="dxa"/>
            <w:tcBorders>
              <w:top w:val="nil"/>
              <w:left w:val="nil"/>
              <w:bottom w:val="single" w:sz="4" w:space="0" w:color="000000"/>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hanging="12"/>
              <w:jc w:val="center"/>
              <w:rPr>
                <w:rFonts w:asciiTheme="minorHAnsi" w:hAnsiTheme="minorHAnsi"/>
                <w:sz w:val="22"/>
                <w:szCs w:val="22"/>
              </w:rPr>
            </w:pPr>
            <w:r>
              <w:rPr>
                <w:rFonts w:asciiTheme="minorHAnsi" w:hAnsiTheme="minorHAnsi"/>
                <w:sz w:val="22"/>
                <w:szCs w:val="22"/>
              </w:rPr>
              <w:t>0.42</w:t>
            </w:r>
          </w:p>
        </w:tc>
        <w:tc>
          <w:tcPr>
            <w:tcW w:w="1053" w:type="dxa"/>
            <w:tcBorders>
              <w:top w:val="nil"/>
              <w:left w:val="nil"/>
              <w:bottom w:val="single" w:sz="4" w:space="0" w:color="000000"/>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0.00008</w:t>
            </w:r>
          </w:p>
        </w:tc>
        <w:tc>
          <w:tcPr>
            <w:tcW w:w="999" w:type="dxa"/>
            <w:tcBorders>
              <w:top w:val="nil"/>
              <w:left w:val="nil"/>
              <w:bottom w:val="single" w:sz="4" w:space="0" w:color="000000"/>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left="90" w:firstLine="7"/>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2.2</w:t>
            </w:r>
          </w:p>
        </w:tc>
        <w:tc>
          <w:tcPr>
            <w:tcW w:w="962" w:type="dxa"/>
            <w:tcBorders>
              <w:top w:val="nil"/>
              <w:left w:val="nil"/>
              <w:bottom w:val="single" w:sz="4" w:space="0" w:color="000000"/>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ind w:left="-110" w:firstLine="141"/>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Pr>
                <w:rFonts w:asciiTheme="minorHAnsi" w:hAnsiTheme="minorHAnsi"/>
                <w:sz w:val="22"/>
                <w:szCs w:val="22"/>
              </w:rPr>
              <w:t>2.1</w:t>
            </w:r>
          </w:p>
        </w:tc>
        <w:tc>
          <w:tcPr>
            <w:tcW w:w="1718" w:type="dxa"/>
            <w:tcBorders>
              <w:top w:val="nil"/>
              <w:left w:val="nil"/>
              <w:bottom w:val="single" w:sz="4" w:space="0" w:color="000000"/>
              <w:right w:val="nil"/>
            </w:tcBorders>
            <w:shd w:val="clear" w:color="auto" w:fill="auto"/>
          </w:tcPr>
          <w:p w:rsidR="00470846" w:rsidRDefault="00C71C23" w:rsidP="007F3568">
            <w:pPr>
              <w:pStyle w:val="yiv2239271635msonormal"/>
              <w:widowControl w:val="0"/>
              <w:shd w:val="clear" w:color="auto" w:fill="FFFFFF" w:themeFill="background1"/>
              <w:spacing w:beforeAutospacing="0" w:after="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22"/>
                <w:szCs w:val="22"/>
              </w:rPr>
            </w:pPr>
            <w:r>
              <w:rPr>
                <w:rFonts w:asciiTheme="minorHAnsi" w:hAnsiTheme="minorHAnsi"/>
                <w:bCs/>
                <w:iCs/>
                <w:sz w:val="22"/>
                <w:szCs w:val="22"/>
              </w:rPr>
              <w:t>3 → 4</w:t>
            </w:r>
          </w:p>
        </w:tc>
      </w:tr>
    </w:tbl>
    <w:p w:rsidR="00470846" w:rsidRDefault="00470846">
      <w:pPr>
        <w:shd w:val="clear" w:color="auto" w:fill="FFFFFF" w:themeFill="background1"/>
        <w:jc w:val="center"/>
        <w:rPr>
          <w:sz w:val="20"/>
          <w:szCs w:val="20"/>
        </w:rPr>
      </w:pPr>
    </w:p>
    <w:p w:rsidR="00470846" w:rsidRDefault="00C71C23">
      <w:pPr>
        <w:rPr>
          <w:bCs/>
        </w:rPr>
      </w:pPr>
      <w:r>
        <w:rPr>
          <w:bCs/>
        </w:rPr>
        <w:t xml:space="preserve">A schematic representation of the calculated FMOs of the species involved in this reaction has been shown </w:t>
      </w:r>
      <w:r w:rsidRPr="00671854">
        <w:rPr>
          <w:bCs/>
          <w:shd w:val="clear" w:color="auto" w:fill="FFFFFF" w:themeFill="background1"/>
        </w:rPr>
        <w:t>in Figure 10. The</w:t>
      </w:r>
      <w:r>
        <w:rPr>
          <w:bCs/>
        </w:rPr>
        <w:t xml:space="preserve"> HOMO and LUMO energy differences in structures 1 and 2 are 1.1 and 3.1 ev, respectively. Therefore, it is concluded that the electron is transferred from TEMPO to structure 1 and the formation of structure 2 is desirable path. Likewise, </w:t>
      </w:r>
      <w:r>
        <w:rPr>
          <w:bCs/>
          <w:color w:val="000000"/>
        </w:rPr>
        <w:t>Figure 10 shows that TEMPO group increases the electron density in the vicinity of the center of structure 2 (Fe(II))</w:t>
      </w:r>
      <w:r>
        <w:rPr>
          <w:bCs/>
          <w:color w:val="C9211E"/>
        </w:rPr>
        <w:t xml:space="preserve">. </w:t>
      </w:r>
    </w:p>
    <w:p w:rsidR="00470846" w:rsidRDefault="00C71C23">
      <w:pPr>
        <w:spacing w:line="276" w:lineRule="auto"/>
        <w:jc w:val="both"/>
        <w:rPr>
          <w:rFonts w:cs="Times New Roman"/>
          <w:bCs/>
        </w:rPr>
      </w:pPr>
      <w:r>
        <w:rPr>
          <w:rFonts w:cs="Times New Roman"/>
          <w:bCs/>
        </w:rPr>
        <w:t>Investigation of HOMO from the structure 3 shows that the removal of the TEMPO group reduces the electron density in the vicinity of the Fe(IV) atom. The difference between the HOMO and LUMO energies in the structure 3 is 4.01 eV, which is greater than in the structure 2. Because, the electron density of HOMO in structure 3 decreases and the band gap increases, so this structure converts to structure 4 in the presence of alkene, as HOMO orbital in structure 4 shows, high electron density at the center of the molecule. The energy gap in structure 4 is 3.4 eV.</w:t>
      </w:r>
    </w:p>
    <w:p w:rsidR="00470846" w:rsidRDefault="00470846">
      <w:pPr>
        <w:tabs>
          <w:tab w:val="left" w:pos="3090"/>
        </w:tabs>
      </w:pPr>
    </w:p>
    <w:tbl>
      <w:tblPr>
        <w:tblStyle w:val="TableGrid2"/>
        <w:tblW w:w="10440" w:type="dxa"/>
        <w:jc w:val="center"/>
        <w:tblLayout w:type="fixed"/>
        <w:tblLook w:val="04A0" w:firstRow="1" w:lastRow="0" w:firstColumn="1" w:lastColumn="0" w:noHBand="0" w:noVBand="1"/>
      </w:tblPr>
      <w:tblGrid>
        <w:gridCol w:w="3330"/>
        <w:gridCol w:w="3510"/>
        <w:gridCol w:w="3600"/>
      </w:tblGrid>
      <w:tr w:rsidR="00470846">
        <w:trPr>
          <w:jc w:val="center"/>
        </w:trPr>
        <w:tc>
          <w:tcPr>
            <w:tcW w:w="333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625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4" name="_x0000_tole_rId7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7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79" o:spid="_x0000_s1045" type="#_x0000_t75" style="position:absolute;left:0;text-align:left;margin-left:0;margin-top:0;width:50pt;height:50pt;z-index:251696128;visibility:hidden;mso-position-horizontal-relative:text;mso-position-vertical-relative:text">
                  <o:lock v:ext="edit" selection="t"/>
                </v:shape>
              </w:pict>
            </w:r>
            <w:r>
              <w:rPr>
                <w:rFonts w:eastAsia="Calibri" w:cs="Arial"/>
              </w:rPr>
              <w:object w:dxaOrig="3195" w:dyaOrig="2130">
                <v:shape id="ole_rId79" o:spid="_x0000_i1057" type="#_x0000_t75" style="width:159.75pt;height:106.5pt;visibility:visible;mso-wrap-distance-right:0" o:ole="">
                  <v:imagedata r:id="rId83" o:title=""/>
                </v:shape>
                <o:OLEObject Type="Embed" ProgID="PBrush" ShapeID="ole_rId79" DrawAspect="Content" ObjectID="_1751767615" r:id="rId84"/>
              </w:object>
            </w:r>
            <w:r>
              <w:rPr>
                <w:rFonts w:ascii="Times New Roman" w:eastAsia="Calibri" w:hAnsi="Times New Roman" w:cs="Times New Roman"/>
                <w:sz w:val="24"/>
                <w:szCs w:val="24"/>
              </w:rPr>
              <w:t>HOMO of structure 1</w:t>
            </w:r>
          </w:p>
        </w:tc>
        <w:tc>
          <w:tcPr>
            <w:tcW w:w="351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523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5" name="_x0000_tole_rId8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8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81" o:spid="_x0000_s1043" type="#_x0000_t75" style="position:absolute;left:0;text-align:left;margin-left:0;margin-top:0;width:50pt;height:50pt;z-index:251697152;visibility:hidden;mso-position-horizontal-relative:text;mso-position-vertical-relative:text">
                  <o:lock v:ext="edit" selection="t"/>
                </v:shape>
              </w:pict>
            </w:r>
            <w:r>
              <w:rPr>
                <w:rFonts w:eastAsia="Calibri" w:cs="Arial"/>
              </w:rPr>
              <w:object w:dxaOrig="3285" w:dyaOrig="2130">
                <v:shape id="ole_rId81" o:spid="_x0000_i1058" type="#_x0000_t75" style="width:164.25pt;height:106.5pt;visibility:visible;mso-wrap-distance-right:0" o:ole="">
                  <v:imagedata r:id="rId85" o:title=""/>
                </v:shape>
                <o:OLEObject Type="Embed" ProgID="PBrush" ShapeID="ole_rId81" DrawAspect="Content" ObjectID="_1751767616" r:id="rId86"/>
              </w:object>
            </w:r>
            <w:r>
              <w:rPr>
                <w:rFonts w:ascii="Times New Roman" w:eastAsia="Calibri" w:hAnsi="Times New Roman" w:cs="Times New Roman"/>
                <w:sz w:val="24"/>
                <w:szCs w:val="24"/>
              </w:rPr>
              <w:t>LUMO of structure 1</w:t>
            </w:r>
          </w:p>
        </w:tc>
        <w:tc>
          <w:tcPr>
            <w:tcW w:w="3600" w:type="dxa"/>
            <w:tcBorders>
              <w:top w:val="nil"/>
              <w:left w:val="nil"/>
              <w:bottom w:val="nil"/>
              <w:right w:val="nil"/>
            </w:tcBorders>
          </w:tcPr>
          <w:p w:rsidR="00470846" w:rsidRDefault="00C71C23">
            <w:pPr>
              <w:widowControl w:val="0"/>
              <w:spacing w:after="0" w:line="360" w:lineRule="auto"/>
              <w:jc w:val="center"/>
              <w:rPr>
                <w:rFonts w:ascii="Calibri" w:eastAsia="Calibri" w:hAnsi="Calibri" w:cs="Arial"/>
              </w:rPr>
            </w:pPr>
            <w:r>
              <w:rPr>
                <w:noProof/>
              </w:rPr>
              <mc:AlternateContent>
                <mc:Choice Requires="wps">
                  <w:drawing>
                    <wp:anchor distT="0" distB="0" distL="114300" distR="0" simplePos="0" relativeHeight="25161420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6" name="_x0000_tole_rId8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8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 id="_x0000_tole_rId83" o:spid="_x0000_s1041" type="#_x0000_t75" style="position:absolute;left:0;text-align:left;margin-left:0;margin-top:0;width:50pt;height:50pt;z-index:251698176;visibility:hidden;mso-position-horizontal-relative:text;mso-position-vertical-relative:text">
                  <o:lock v:ext="edit" selection="t"/>
                </v:shape>
              </w:pict>
            </w:r>
            <w:r>
              <w:object w:dxaOrig="3705" w:dyaOrig="1740">
                <v:shape id="ole_rId83" o:spid="_x0000_i1059" type="#_x0000_t75" style="width:185.25pt;height:87pt;visibility:visible;mso-wrap-distance-right:0" o:ole="">
                  <v:imagedata r:id="rId87" o:title=""/>
                </v:shape>
                <o:OLEObject Type="Embed" ProgID="PBrush" ShapeID="ole_rId83" DrawAspect="Content" ObjectID="_1751767617" r:id="rId88"/>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HOMO of structure 2</w:t>
            </w:r>
          </w:p>
        </w:tc>
      </w:tr>
      <w:tr w:rsidR="00470846">
        <w:trPr>
          <w:jc w:val="center"/>
        </w:trPr>
        <w:tc>
          <w:tcPr>
            <w:tcW w:w="333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3184"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7" name="_x0000_tole_rId85"/>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85"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85" o:spid="_x0000_s1039" type="#_x0000_t75" style="position:absolute;left:0;text-align:left;margin-left:0;margin-top:0;width:50pt;height:50pt;z-index:251699200;visibility:hidden;mso-position-horizontal-relative:text;mso-position-vertical-relative:text">
                  <o:lock v:ext="edit" selection="t"/>
                </v:shape>
              </w:pict>
            </w:r>
            <w:r>
              <w:rPr>
                <w:rFonts w:eastAsia="Calibri" w:cs="Arial"/>
              </w:rPr>
              <w:object w:dxaOrig="3180" w:dyaOrig="2325">
                <v:shape id="ole_rId85" o:spid="_x0000_i1060" type="#_x0000_t75" style="width:159pt;height:116.25pt;visibility:visible;mso-wrap-distance-right:0" o:ole="">
                  <v:imagedata r:id="rId89" o:title=""/>
                </v:shape>
                <o:OLEObject Type="Embed" ProgID="PBrush" ShapeID="ole_rId85" DrawAspect="Content" ObjectID="_1751767618" r:id="rId90"/>
              </w:object>
            </w:r>
            <w:r>
              <w:rPr>
                <w:rFonts w:ascii="Times New Roman" w:eastAsia="Calibri" w:hAnsi="Times New Roman" w:cs="Times New Roman"/>
                <w:sz w:val="24"/>
                <w:szCs w:val="24"/>
              </w:rPr>
              <w:t>LUMO of structure 2</w:t>
            </w:r>
          </w:p>
        </w:tc>
        <w:tc>
          <w:tcPr>
            <w:tcW w:w="351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2160"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8" name="_x0000_tole_rId8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87"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87" o:spid="_x0000_s1037" type="#_x0000_t75" style="position:absolute;left:0;text-align:left;margin-left:0;margin-top:0;width:50pt;height:50pt;z-index:251700224;visibility:hidden;mso-position-horizontal-relative:text;mso-position-vertical-relative:text">
                  <o:lock v:ext="edit" selection="t"/>
                </v:shape>
              </w:pict>
            </w:r>
            <w:r>
              <w:rPr>
                <w:rFonts w:eastAsia="Calibri" w:cs="Arial"/>
              </w:rPr>
              <w:object w:dxaOrig="3300" w:dyaOrig="2220">
                <v:shape id="ole_rId87" o:spid="_x0000_i1061" type="#_x0000_t75" style="width:165pt;height:111pt;visibility:visible;mso-wrap-distance-right:0" o:ole="">
                  <v:imagedata r:id="rId91" o:title=""/>
                </v:shape>
                <o:OLEObject Type="Embed" ProgID="PBrush" ShapeID="ole_rId87" DrawAspect="Content" ObjectID="_1751767619" r:id="rId92"/>
              </w:object>
            </w:r>
            <w:r>
              <w:rPr>
                <w:rFonts w:ascii="Times New Roman" w:eastAsia="Calibri" w:hAnsi="Times New Roman" w:cs="Times New Roman"/>
                <w:sz w:val="24"/>
                <w:szCs w:val="24"/>
              </w:rPr>
              <w:t>HOMO of structure 3</w:t>
            </w:r>
          </w:p>
        </w:tc>
        <w:tc>
          <w:tcPr>
            <w:tcW w:w="360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rFonts w:eastAsia="Calibri"/>
                <w:noProof/>
              </w:rPr>
              <mc:AlternateContent>
                <mc:Choice Requires="wps">
                  <w:drawing>
                    <wp:anchor distT="0" distB="0" distL="114300" distR="0" simplePos="0" relativeHeight="251611136"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59" name="_x0000_tole_rId89"/>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89"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rPr>
              <w:pict>
                <v:shape id="_x0000_tole_rId89" o:spid="_x0000_s1035" type="#_x0000_t75" style="position:absolute;left:0;text-align:left;margin-left:0;margin-top:0;width:50pt;height:50pt;z-index:251701248;visibility:hidden;mso-position-horizontal-relative:text;mso-position-vertical-relative:text">
                  <o:lock v:ext="edit" selection="t"/>
                </v:shape>
              </w:pict>
            </w:r>
            <w:r>
              <w:rPr>
                <w:rFonts w:eastAsia="Calibri"/>
              </w:rPr>
              <w:object w:dxaOrig="3300" w:dyaOrig="2205">
                <v:shape id="ole_rId89" o:spid="_x0000_i1062" type="#_x0000_t75" style="width:165pt;height:110.25pt;visibility:visible;mso-wrap-distance-right:0">
                  <v:imagedata r:id="rId93" o:title=""/>
                </v:shape>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LUMO of structure 3</w:t>
            </w:r>
          </w:p>
        </w:tc>
      </w:tr>
      <w:tr w:rsidR="00470846">
        <w:trPr>
          <w:jc w:val="center"/>
        </w:trPr>
        <w:tc>
          <w:tcPr>
            <w:tcW w:w="333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noProof/>
              </w:rPr>
              <mc:AlternateContent>
                <mc:Choice Requires="wps">
                  <w:drawing>
                    <wp:anchor distT="0" distB="0" distL="114300" distR="0" simplePos="0" relativeHeight="251610112"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60" name="_x0000_tole_rId91"/>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91"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cs="Arial"/>
              </w:rPr>
              <w:pict>
                <v:shape id="_x0000_tole_rId91" o:spid="_x0000_s1033" type="#_x0000_t75" style="position:absolute;left:0;text-align:left;margin-left:0;margin-top:0;width:50pt;height:50pt;z-index:251702272;visibility:hidden;mso-position-horizontal-relative:text;mso-position-vertical-relative:text">
                  <o:lock v:ext="edit" selection="t"/>
                </v:shape>
              </w:pict>
            </w:r>
            <w:r>
              <w:rPr>
                <w:rFonts w:eastAsia="Calibri" w:cs="Arial"/>
              </w:rPr>
              <w:object w:dxaOrig="3135" w:dyaOrig="2610">
                <v:shape id="ole_rId91" o:spid="_x0000_i1063" type="#_x0000_t75" style="width:156.75pt;height:130.5pt;visibility:visible;mso-wrap-distance-right:0">
                  <v:imagedata r:id="rId94" o:title=""/>
                </v:shape>
              </w:object>
            </w:r>
            <w:r>
              <w:rPr>
                <w:rFonts w:ascii="Times New Roman" w:eastAsia="Calibri" w:hAnsi="Times New Roman" w:cs="Times New Roman"/>
                <w:sz w:val="24"/>
                <w:szCs w:val="24"/>
              </w:rPr>
              <w:t>HOMO of structure 4</w:t>
            </w:r>
          </w:p>
        </w:tc>
        <w:tc>
          <w:tcPr>
            <w:tcW w:w="3510" w:type="dxa"/>
            <w:tcBorders>
              <w:top w:val="nil"/>
              <w:left w:val="nil"/>
              <w:bottom w:val="nil"/>
              <w:right w:val="nil"/>
            </w:tcBorders>
          </w:tcPr>
          <w:p w:rsidR="00470846" w:rsidRDefault="00C71C23">
            <w:pPr>
              <w:widowControl w:val="0"/>
              <w:spacing w:after="0" w:line="360" w:lineRule="auto"/>
              <w:jc w:val="center"/>
              <w:rPr>
                <w:rFonts w:ascii="Times New Roman" w:hAnsi="Times New Roman" w:cs="Times New Roman"/>
                <w:sz w:val="24"/>
                <w:szCs w:val="24"/>
              </w:rPr>
            </w:pPr>
            <w:r>
              <w:rPr>
                <w:rFonts w:eastAsia="Calibri"/>
                <w:noProof/>
              </w:rPr>
              <mc:AlternateContent>
                <mc:Choice Requires="wps">
                  <w:drawing>
                    <wp:anchor distT="0" distB="0" distL="114300" distR="0" simplePos="0" relativeHeight="251609088" behindDoc="0" locked="0" layoutInCell="1" allowOverlap="1">
                      <wp:simplePos x="0" y="0"/>
                      <wp:positionH relativeFrom="column">
                        <wp:posOffset>635</wp:posOffset>
                      </wp:positionH>
                      <wp:positionV relativeFrom="paragraph">
                        <wp:posOffset>635</wp:posOffset>
                      </wp:positionV>
                      <wp:extent cx="635000" cy="635000"/>
                      <wp:effectExtent l="635" t="0" r="0" b="0"/>
                      <wp:wrapNone/>
                      <wp:docPr id="61" name="_x0000_tole_rId93"/>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93" stroked="f" o:allowincell="t"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rPr>
                <w:rFonts w:eastAsia="Calibri"/>
              </w:rPr>
              <w:pict>
                <v:shape id="_x0000_tole_rId93" o:spid="_x0000_s1031" type="#_x0000_t75" style="position:absolute;left:0;text-align:left;margin-left:0;margin-top:0;width:50pt;height:50pt;z-index:251703296;visibility:hidden;mso-position-horizontal-relative:text;mso-position-vertical-relative:text">
                  <o:lock v:ext="edit" selection="t"/>
                </v:shape>
              </w:pict>
            </w:r>
            <w:r>
              <w:rPr>
                <w:rFonts w:eastAsia="Calibri"/>
              </w:rPr>
              <w:object w:dxaOrig="3285" w:dyaOrig="2565">
                <v:shape id="ole_rId93" o:spid="_x0000_i1064" type="#_x0000_t75" style="width:164.25pt;height:128.25pt;visibility:visible;mso-wrap-distance-right:0">
                  <v:imagedata r:id="rId95" o:title=""/>
                </v:shape>
              </w:object>
            </w:r>
          </w:p>
          <w:p w:rsidR="00470846" w:rsidRDefault="00C71C23">
            <w:pPr>
              <w:widowControl w:val="0"/>
              <w:spacing w:after="0" w:line="360" w:lineRule="auto"/>
              <w:jc w:val="center"/>
              <w:rPr>
                <w:rFonts w:ascii="Times New Roman" w:hAnsi="Times New Roman" w:cs="Times New Roman"/>
                <w:sz w:val="24"/>
                <w:szCs w:val="24"/>
              </w:rPr>
            </w:pPr>
            <w:r>
              <w:rPr>
                <w:rFonts w:ascii="Times New Roman" w:eastAsia="Calibri" w:hAnsi="Times New Roman" w:cs="Times New Roman"/>
                <w:sz w:val="24"/>
                <w:szCs w:val="24"/>
              </w:rPr>
              <w:t>LUMO of structure 4</w:t>
            </w:r>
          </w:p>
        </w:tc>
        <w:tc>
          <w:tcPr>
            <w:tcW w:w="3600" w:type="dxa"/>
            <w:tcBorders>
              <w:top w:val="nil"/>
              <w:left w:val="nil"/>
              <w:bottom w:val="nil"/>
              <w:right w:val="nil"/>
            </w:tcBorders>
          </w:tcPr>
          <w:p w:rsidR="00470846" w:rsidRDefault="00470846">
            <w:pPr>
              <w:widowControl w:val="0"/>
              <w:spacing w:after="0" w:line="360" w:lineRule="auto"/>
              <w:rPr>
                <w:rFonts w:ascii="Times New Roman" w:hAnsi="Times New Roman" w:cs="Times New Roman"/>
                <w:sz w:val="24"/>
                <w:szCs w:val="24"/>
              </w:rPr>
            </w:pPr>
          </w:p>
        </w:tc>
      </w:tr>
    </w:tbl>
    <w:p w:rsidR="00470846" w:rsidRDefault="00470846">
      <w:pPr>
        <w:rPr>
          <w:sz w:val="20"/>
          <w:szCs w:val="20"/>
        </w:rPr>
      </w:pPr>
    </w:p>
    <w:p w:rsidR="00470846" w:rsidRDefault="00C71C23" w:rsidP="007F3568">
      <w:pPr>
        <w:tabs>
          <w:tab w:val="left" w:pos="3090"/>
        </w:tabs>
        <w:jc w:val="lowKashida"/>
        <w:rPr>
          <w:bCs/>
          <w:sz w:val="20"/>
          <w:szCs w:val="20"/>
        </w:rPr>
      </w:pPr>
      <w:r w:rsidRPr="00671854">
        <w:rPr>
          <w:b/>
          <w:sz w:val="20"/>
          <w:szCs w:val="20"/>
          <w:shd w:val="clear" w:color="auto" w:fill="FFFFFF" w:themeFill="background1"/>
        </w:rPr>
        <w:t>Figure 10:</w:t>
      </w:r>
      <w:r w:rsidRPr="00671854">
        <w:rPr>
          <w:bCs/>
          <w:sz w:val="20"/>
          <w:szCs w:val="20"/>
          <w:shd w:val="clear" w:color="auto" w:fill="FFFFFF" w:themeFill="background1"/>
        </w:rPr>
        <w:t xml:space="preserve"> Schematic</w:t>
      </w:r>
      <w:r>
        <w:rPr>
          <w:bCs/>
          <w:sz w:val="20"/>
          <w:szCs w:val="20"/>
        </w:rPr>
        <w:t xml:space="preserve"> representation of the calculated frontier molecular orbitals (FMOs) of the species involved in the proposed catalytic cycle in the presence of TEMPO in solution (water). Circles with light and dark gray, red, blue and medium purple color are H, C, O, N and Fe atoms. </w:t>
      </w:r>
    </w:p>
    <w:p w:rsidR="00470846" w:rsidRDefault="00470846">
      <w:pPr>
        <w:tabs>
          <w:tab w:val="left" w:pos="3090"/>
        </w:tabs>
        <w:rPr>
          <w:bCs/>
        </w:rPr>
      </w:pPr>
    </w:p>
    <w:p w:rsidR="00470846" w:rsidRDefault="00C71C23">
      <w:pPr>
        <w:rPr>
          <w:b/>
          <w:bCs/>
        </w:rPr>
      </w:pPr>
      <w:r>
        <w:rPr>
          <w:b/>
          <w:bCs/>
        </w:rPr>
        <w:t>Leaching test and re-usability of catalyst</w:t>
      </w:r>
    </w:p>
    <w:p w:rsidR="00470846" w:rsidRDefault="00C71C23" w:rsidP="007F3568">
      <w:pPr>
        <w:jc w:val="lowKashida"/>
      </w:pPr>
      <w:r>
        <w:t>To ensure whether the catalytic progress was followed heterogeneously or not, the catalyst has been magnetically separated in the middle of reaction time and the conversion monitored. The results have clearly shown that the conversion of alkene to epoxide has been paused without catalyst which established that the catalyst covalently anchored on amine-functionalized nanomagnetic core-shell through the sulfite and TEMPO-mediated catalytic cycles (Figure S5). The insignificant conversion of progress in TEMPO mechanism could refer to the TEMPO radical reactivity.</w:t>
      </w:r>
    </w:p>
    <w:p w:rsidR="00470846" w:rsidRDefault="00C71C23" w:rsidP="007F3568">
      <w:pPr>
        <w:jc w:val="lowKashida"/>
      </w:pPr>
      <w:r>
        <w:t>Moreover, the ICP-OES analysis was performed to measure the leached catalyst and the obtained values were negligible (0.013 mmol g</w:t>
      </w:r>
      <w:r>
        <w:rPr>
          <w:vertAlign w:val="superscript"/>
        </w:rPr>
        <w:t>-1</w:t>
      </w:r>
      <w:r>
        <w:t xml:space="preserve"> for sulfite and 0.016 mmol g</w:t>
      </w:r>
      <w:r>
        <w:rPr>
          <w:vertAlign w:val="superscript"/>
        </w:rPr>
        <w:t>-1</w:t>
      </w:r>
      <w:r>
        <w:t xml:space="preserve"> for TEMPO mechanisms).</w:t>
      </w:r>
    </w:p>
    <w:p w:rsidR="00470846" w:rsidRDefault="00C71C23" w:rsidP="007F3568">
      <w:pPr>
        <w:jc w:val="lowKashida"/>
      </w:pPr>
      <w:r>
        <w:t>On the other hand, the catalyst was recovered, washed and after drying, re-used for new catalytic run and the efficiency has been maintained for 7 runs in the presence of both sulfite and TEMPO (Figure S6).</w:t>
      </w:r>
    </w:p>
    <w:p w:rsidR="00470846" w:rsidRDefault="00C71C23" w:rsidP="007F3568">
      <w:pPr>
        <w:jc w:val="lowKashida"/>
        <w:rPr>
          <w:b/>
          <w:bCs/>
        </w:rPr>
      </w:pPr>
      <w:r>
        <w:rPr>
          <w:b/>
          <w:bCs/>
        </w:rPr>
        <w:t>Conclusion</w:t>
      </w:r>
    </w:p>
    <w:p w:rsidR="00470846" w:rsidRDefault="00C71C23" w:rsidP="007F3568">
      <w:pPr>
        <w:jc w:val="lowKashida"/>
        <w:rPr>
          <w:lang w:bidi="fa-IR"/>
        </w:rPr>
      </w:pPr>
      <w:r>
        <w:t>In summary, a novel and efficient catalytic system has been introduced which is able to carry out epoxidation of olefins under oxygen atmosphere and room temperature using an iron-based homogenously heterogenized catalyst assisted in two separate reactions, first by using sodium sulfite as a reducing agent and second by TEMPO co-catalyst. The mechanistic studies by using TEMPO as radical scavenger not only lead to interrupting the radical chain and reaction process, but also accelerated the process, which is accordant with non-radical sulfite-iron redox mechanism. In addition, the results confirmed the TEMPO capability to continue the epoxidation reaction through another pathway. Furthermore, the similar behaviors of the scope of alkenes with sulfite and TEMPO mechanisms, verified the active high-valent [Fe(IV)=O] intermediate as main oxygen-transfer agent to the alkene intermediate in both routes</w:t>
      </w:r>
      <w:r>
        <w:rPr>
          <w:lang w:bidi="fa-IR"/>
        </w:rPr>
        <w:t>.</w:t>
      </w:r>
    </w:p>
    <w:p w:rsidR="00470846" w:rsidRDefault="00C71C23" w:rsidP="007F3568">
      <w:pPr>
        <w:jc w:val="lowKashida"/>
      </w:pPr>
      <w:r>
        <w:t xml:space="preserve">It is worthy to mention that, in spite of several publications for aerobic oxidation of alkenes, there are limited reports that address the issue of this process using heterogeneous catalyst in water in the presence of oxygen. </w:t>
      </w:r>
    </w:p>
    <w:p w:rsidR="00470846" w:rsidRDefault="00C71C23" w:rsidP="007F3568">
      <w:pPr>
        <w:jc w:val="lowKashida"/>
      </w:pPr>
      <w:r>
        <w:t>Lastly, the proposed mechanisms were evaluated and confirmed with Density Functional Theory (DFT) computational method. The computational results show that the mechanisms goes through the active species of Fe(IV)=O which transfer oxygen to epoxide. In addition, based on  the  computational calculations, electron transfer and formation of structure 2 (Fe(II)) in the presence of TEMPO is very favorable due to the increase in electron density in the vicinity of Fe(II) in structure 2. Moreover, structure 4 (Fe(IV)) is unstable in the presence of TEMPO and SO</w:t>
      </w:r>
      <w:r>
        <w:rPr>
          <w:vertAlign w:val="subscript"/>
        </w:rPr>
        <w:t>3</w:t>
      </w:r>
      <w:r>
        <w:rPr>
          <w:vertAlign w:val="superscript"/>
        </w:rPr>
        <w:t>2-</w:t>
      </w:r>
      <w:r>
        <w:t xml:space="preserve"> because of decreasing in electron density.</w:t>
      </w:r>
    </w:p>
    <w:p w:rsidR="00470846" w:rsidRDefault="00470846" w:rsidP="007F3568">
      <w:pPr>
        <w:jc w:val="lowKashida"/>
        <w:rPr>
          <w:lang w:bidi="fa-IR"/>
        </w:rPr>
      </w:pPr>
    </w:p>
    <w:p w:rsidR="00470846" w:rsidRDefault="00C71C23" w:rsidP="007F3568">
      <w:pPr>
        <w:jc w:val="lowKashida"/>
        <w:rPr>
          <w:b/>
          <w:bCs/>
          <w:lang w:bidi="fa-IR"/>
        </w:rPr>
      </w:pPr>
      <w:r>
        <w:rPr>
          <w:b/>
          <w:bCs/>
          <w:lang w:bidi="fa-IR"/>
        </w:rPr>
        <w:t>Experimental</w:t>
      </w:r>
    </w:p>
    <w:p w:rsidR="00470846" w:rsidRDefault="00C71C23" w:rsidP="007F3568">
      <w:pPr>
        <w:jc w:val="lowKashida"/>
        <w:rPr>
          <w:b/>
          <w:bCs/>
          <w:lang w:bidi="fa-IR"/>
        </w:rPr>
      </w:pPr>
      <w:r>
        <w:rPr>
          <w:b/>
          <w:bCs/>
          <w:lang w:bidi="fa-IR"/>
        </w:rPr>
        <w:t>1. Materials and Methods</w:t>
      </w:r>
    </w:p>
    <w:p w:rsidR="00470846" w:rsidRDefault="00C71C23" w:rsidP="007F3568">
      <w:pPr>
        <w:jc w:val="lowKashida"/>
        <w:rPr>
          <w:lang w:val="en-GB" w:bidi="fa-IR"/>
        </w:rPr>
      </w:pPr>
      <w:r>
        <w:rPr>
          <w:lang w:bidi="fa-IR"/>
        </w:rPr>
        <w:t xml:space="preserve">All reagents and solvents were procured from commercial sources and used without purification. FTIR spectra from KBR pellets were documented by using </w:t>
      </w:r>
      <w:r>
        <w:rPr>
          <w:lang w:val="en-GB" w:bidi="fa-IR"/>
        </w:rPr>
        <w:t xml:space="preserve">Shimadzu FT-IR-8300 spectrophotometer. The morphological appearance of nanoparticles was evaluated by using TEM (JEOL, JEM-2100F, 200KV). </w:t>
      </w:r>
      <w:r>
        <w:rPr>
          <w:lang w:bidi="fa-IR"/>
        </w:rPr>
        <w:t>Scanning electron microscopy (</w:t>
      </w:r>
      <w:r>
        <w:rPr>
          <w:lang w:val="en-GB" w:bidi="fa-IR"/>
        </w:rPr>
        <w:t>FESEM) analysis was performed with Tescan Mira (II) at an acceleration voltage of 15 kV. The X-ray powder patterns were recorded using a PHILIPS PW1730 (step size: 0.05, time per step: 1s).</w:t>
      </w:r>
      <w:r>
        <w:rPr>
          <w:rFonts w:cs="Times New Roman"/>
          <w:w w:val="105"/>
          <w:lang w:val="en-GB" w:bidi="fa-IR"/>
        </w:rPr>
        <w:t xml:space="preserve"> </w:t>
      </w:r>
      <w:r>
        <w:rPr>
          <w:lang w:val="en-GB" w:bidi="fa-IR"/>
        </w:rPr>
        <w:t xml:space="preserve">The magnetic possessions of the catalyst were examined by using VSM by homemade vibrating sample magnetometer apparatus (Meghnatis Daghigh Kavir Company, Iran) at RT from -10000 to +10000 Oe. The electronic states of the powders were accomplished by using XPS (Multilab 2000, Thermo Scientific, Alka Radiation). Additionally, the reactions were followed using gas chromatography (GC, Aligent gas chromatograph model 7890A) with an HP-1 methyl siloxane column (30 m in length ×320 </w:t>
      </w:r>
      <w:r>
        <w:rPr>
          <w:rFonts w:ascii="Symbol" w:eastAsia="Symbol" w:hAnsi="Symbol" w:cs="Symbol"/>
          <w:lang w:val="en-GB" w:bidi="fa-IR"/>
        </w:rPr>
        <w:t></w:t>
      </w:r>
      <w:r>
        <w:rPr>
          <w:lang w:val="en-GB" w:bidi="fa-IR"/>
        </w:rPr>
        <w:t xml:space="preserve">m ×0.25 </w:t>
      </w:r>
      <w:r>
        <w:rPr>
          <w:rFonts w:ascii="Symbol" w:eastAsia="Symbol" w:hAnsi="Symbol" w:cs="Symbol"/>
          <w:lang w:val="en-GB" w:bidi="fa-IR"/>
        </w:rPr>
        <w:t></w:t>
      </w:r>
      <w:r>
        <w:rPr>
          <w:lang w:val="en-GB" w:bidi="fa-IR"/>
        </w:rPr>
        <w:t>m) attached to a Flame Ionization Detector (FID).</w:t>
      </w:r>
    </w:p>
    <w:p w:rsidR="00470846" w:rsidRDefault="00470846" w:rsidP="007F3568">
      <w:pPr>
        <w:jc w:val="lowKashida"/>
        <w:rPr>
          <w:lang w:val="en-GB" w:bidi="fa-IR"/>
        </w:rPr>
      </w:pPr>
    </w:p>
    <w:p w:rsidR="00470846" w:rsidRDefault="00C71C23" w:rsidP="007F3568">
      <w:pPr>
        <w:jc w:val="lowKashida"/>
        <w:rPr>
          <w:b/>
        </w:rPr>
      </w:pPr>
      <w:r>
        <w:rPr>
          <w:b/>
        </w:rPr>
        <w:t>Computational details</w:t>
      </w:r>
    </w:p>
    <w:p w:rsidR="00470846" w:rsidRDefault="00C71C23" w:rsidP="007F3568">
      <w:pPr>
        <w:jc w:val="lowKashida"/>
        <w:rPr>
          <w:bCs/>
          <w:color w:val="000000" w:themeColor="text1"/>
        </w:rPr>
      </w:pPr>
      <w:r>
        <w:rPr>
          <w:bCs/>
          <w:color w:val="000000" w:themeColor="text1"/>
        </w:rPr>
        <w:t xml:space="preserve">All quantum chemical calculations in the solvent phase have been performed at wb97xd/6-311g(d,p) </w:t>
      </w:r>
      <w:r>
        <w:fldChar w:fldCharType="begin"/>
      </w:r>
      <w:r>
        <w:rPr>
          <w:bCs/>
          <w:color w:val="000000"/>
        </w:rPr>
        <w:instrText>ADDIN EN.CITE &lt;EndNote&gt;&lt;Cite&gt;&lt;Author&gt;Papajak&lt;/Author&gt;&lt;Year&gt;2009&lt;/Year&gt;&lt;RecNum&gt;29&lt;/RecNum&gt;&lt;DisplayText&gt;[15]&lt;/DisplayText&gt;&lt;record&gt;&lt;rec-number&gt;29&lt;/rec-number&gt;&lt;foreign-keys&gt;&lt;key app="EN" db-id="v0fsptpzb5at51esfat5fprw925ffzepda0f" timestamp="1590596182"&gt;29&lt;/key&gt;&lt;/foreign-keys&gt;&lt;ref-type name="Journal Article"&gt;17&lt;/ref-type&gt;&lt;contributors&gt;&lt;authors&gt;&lt;author&gt;E. Papajak&lt;/author&gt;&lt;author&gt;H. R. Leverentz&lt;/author&gt;&lt;author&gt;J. Zheng&lt;/author&gt;&lt;author&gt;D. G. Truhlar&lt;/author&gt;&lt;/authors&gt;&lt;/contributors&gt;&lt;titles&gt;&lt;title&gt;Efficient Diffuse Basis Sets: cc-pVxZ+ and maug-cc-pVxZ&lt;/title&gt;&lt;secondary-title&gt;J. Chem. Theory Comput.&lt;/secondary-title&gt;&lt;/titles&gt;&lt;periodical&gt;&lt;full-title&gt;J. Chem. Theory Comput.&lt;/full-title&gt;&lt;/periodical&gt;&lt;pages&gt;1197-1202&lt;/pages&gt;&lt;volume&gt;5&lt;/volume&gt;&lt;dates&gt;&lt;year&gt;2009&lt;/year&gt;&lt;/dates&gt;&lt;urls&gt;&lt;/urls&gt;&lt;/record&gt;&lt;/Cite&gt;&lt;/EndNote&gt;</w:instrText>
      </w:r>
      <w:r>
        <w:rPr>
          <w:bCs/>
          <w:color w:val="000000"/>
        </w:rPr>
        <w:fldChar w:fldCharType="end"/>
      </w:r>
      <w:r>
        <w:rPr>
          <w:bCs/>
          <w:color w:val="000000" w:themeColor="text1"/>
        </w:rPr>
        <w:t>level of theory with the Gaussian 16 suite of programs.</w:t>
      </w:r>
      <w:r>
        <w:rPr>
          <w:bCs/>
          <w:color w:val="000000" w:themeColor="text1"/>
          <w:vertAlign w:val="superscript"/>
        </w:rPr>
        <w:t>40</w:t>
      </w:r>
      <w:r>
        <w:rPr>
          <w:bCs/>
          <w:color w:val="000000" w:themeColor="text1"/>
        </w:rPr>
        <w:t xml:space="preserve"> The optimization of all species structures at the solvent phase and calculation of their harmonic vibrational frequencies were carried out at wb97xd/6-311g(d,p) </w:t>
      </w:r>
      <w:r>
        <w:fldChar w:fldCharType="begin"/>
      </w:r>
      <w:r>
        <w:rPr>
          <w:bCs/>
          <w:color w:val="000000"/>
        </w:rPr>
        <w:instrText>ADDIN EN.CITE &lt;EndNote&gt;&lt;Cite&gt;&lt;Author&gt;Papajak&lt;/Author&gt;&lt;Year&gt;2009&lt;/Year&gt;&lt;RecNum&gt;29&lt;/RecNum&gt;&lt;DisplayText&gt;[15]&lt;/DisplayText&gt;&lt;record&gt;&lt;rec-number&gt;29&lt;/rec-number&gt;&lt;foreign-keys&gt;&lt;key app="EN" db-id="v0fsptpzb5at51esfat5fprw925ffzepda0f" timestamp="1590596182"&gt;29&lt;/key&gt;&lt;/foreign-keys&gt;&lt;ref-type name="Journal Article"&gt;17&lt;/ref-type&gt;&lt;contributors&gt;&lt;authors&gt;&lt;author&gt;E. Papajak&lt;/author&gt;&lt;author&gt;H. R. Leverentz&lt;/author&gt;&lt;author&gt;J. Zheng&lt;/author&gt;&lt;author&gt;D. G. Truhlar&lt;/author&gt;&lt;/authors&gt;&lt;/contributors&gt;&lt;titles&gt;&lt;title&gt;Efficient Diffuse Basis Sets: cc-pVxZ+ and maug-cc-pVxZ&lt;/title&gt;&lt;secondary-title&gt;J. Chem. Theory Comput.&lt;/secondary-title&gt;&lt;/titles&gt;&lt;periodical&gt;&lt;full-title&gt;J. Chem. Theory Comput.&lt;/full-title&gt;&lt;/periodical&gt;&lt;pages&gt;1197-1202&lt;/pages&gt;&lt;volume&gt;5&lt;/volume&gt;&lt;dates&gt;&lt;year&gt;2009&lt;/year&gt;&lt;/dates&gt;&lt;urls&gt;&lt;/urls&gt;&lt;/record&gt;&lt;/Cite&gt;&lt;/EndNote&gt;</w:instrText>
      </w:r>
      <w:r>
        <w:rPr>
          <w:bCs/>
          <w:color w:val="000000"/>
        </w:rPr>
        <w:fldChar w:fldCharType="end"/>
      </w:r>
      <w:r>
        <w:rPr>
          <w:bCs/>
          <w:color w:val="000000" w:themeColor="text1"/>
        </w:rPr>
        <w:t>level of theory. Implicit solvent effects of water were considered using the polarizable continuum model (PCM) in the framework of the self-consistent reaction field (SCRF).</w:t>
      </w:r>
    </w:p>
    <w:p w:rsidR="00470846" w:rsidRDefault="00C71C23" w:rsidP="007F3568">
      <w:pPr>
        <w:jc w:val="lowKashida"/>
        <w:rPr>
          <w:bCs/>
          <w:color w:val="000000" w:themeColor="text1"/>
        </w:rPr>
      </w:pPr>
      <w:r>
        <w:rPr>
          <w:bCs/>
          <w:color w:val="000000" w:themeColor="text1"/>
        </w:rPr>
        <w:t xml:space="preserve">KiSThelP package </w:t>
      </w:r>
      <w:r>
        <w:rPr>
          <w:bCs/>
          <w:color w:val="000000" w:themeColor="text1"/>
          <w:vertAlign w:val="superscript"/>
        </w:rPr>
        <w:t>41</w:t>
      </w:r>
      <w:r>
        <w:rPr>
          <w:bCs/>
          <w:color w:val="000000" w:themeColor="text1"/>
        </w:rPr>
        <w:t xml:space="preserve"> has been used to perform statistical mechanics calculations from </w:t>
      </w:r>
      <w:r>
        <w:rPr>
          <w:bCs/>
          <w:i/>
          <w:color w:val="000000" w:themeColor="text1"/>
        </w:rPr>
        <w:t>ab initio</w:t>
      </w:r>
      <w:r>
        <w:rPr>
          <w:bCs/>
          <w:color w:val="000000" w:themeColor="text1"/>
        </w:rPr>
        <w:t xml:space="preserve"> quantum chemistry data, without the necessity of an analytical potential energy function. Quantities using the canonical and microcanonical ensembles are calculated and thermodynamic properties of molecular species such as enthalpy, entropy and Gibbs free energy are produced through partition function calculations.</w:t>
      </w:r>
    </w:p>
    <w:p w:rsidR="00470846" w:rsidRDefault="00C71C23" w:rsidP="007F3568">
      <w:pPr>
        <w:jc w:val="lowKashida"/>
        <w:rPr>
          <w:color w:val="000000" w:themeColor="text1"/>
        </w:rPr>
      </w:pPr>
      <w:r>
        <w:rPr>
          <w:color w:val="000000" w:themeColor="text1"/>
        </w:rPr>
        <w:t>The vibrational contribution to entropy was calculated using a quasi-rigid-rotor-harmonic-oscillator (quasi-RRHO) approximation by means of the Grimme method implemented in the GoodVibes program</w:t>
      </w:r>
      <w:r>
        <w:rPr>
          <w:color w:val="000000" w:themeColor="text1"/>
          <w:vertAlign w:val="superscript"/>
        </w:rPr>
        <w:t xml:space="preserve"> 42</w:t>
      </w:r>
      <w:r>
        <w:rPr>
          <w:color w:val="000000" w:themeColor="text1"/>
        </w:rPr>
        <w:t>, which applies a free-rotor model for modes with frequencies smaller than a threshold (i.e. below to 100 cm</w:t>
      </w:r>
      <w:r>
        <w:rPr>
          <w:color w:val="000000" w:themeColor="text1"/>
          <w:vertAlign w:val="superscript"/>
        </w:rPr>
        <w:t>−1</w:t>
      </w:r>
      <w:r>
        <w:rPr>
          <w:color w:val="000000" w:themeColor="text1"/>
        </w:rPr>
        <w:t xml:space="preserve">). </w:t>
      </w:r>
      <w:r>
        <w:rPr>
          <w:color w:val="000000" w:themeColor="text1"/>
          <w:vertAlign w:val="superscript"/>
        </w:rPr>
        <w:t>43</w:t>
      </w:r>
      <w:r>
        <w:rPr>
          <w:color w:val="000000" w:themeColor="text1"/>
        </w:rPr>
        <w:t xml:space="preserve"> Subsequently, relative Gibbs free energies were corrected with the quasi-RRHO method and relative Gibbs free energies corrected with the quasi-RRHO method used to obtain the equilibrium constant (K</w:t>
      </w:r>
      <w:r>
        <w:rPr>
          <w:color w:val="000000" w:themeColor="text1"/>
          <w:vertAlign w:val="subscript"/>
        </w:rPr>
        <w:t>eq</w:t>
      </w:r>
      <w:r>
        <w:rPr>
          <w:color w:val="000000" w:themeColor="text1"/>
        </w:rPr>
        <w:t>) for the title reaction by KiSThelP package.</w:t>
      </w:r>
    </w:p>
    <w:p w:rsidR="00470846" w:rsidRDefault="00C71C23">
      <w:pPr>
        <w:rPr>
          <w:b/>
          <w:bCs/>
          <w:lang w:bidi="fa-IR"/>
        </w:rPr>
      </w:pPr>
      <w:r>
        <w:rPr>
          <w:b/>
          <w:bCs/>
          <w:lang w:bidi="fa-IR"/>
        </w:rPr>
        <w:t>2. Preparation of Ligand</w:t>
      </w:r>
    </w:p>
    <w:p w:rsidR="00470846" w:rsidRDefault="00C71C23">
      <w:pPr>
        <w:rPr>
          <w:lang w:val="en-GB" w:bidi="fa-IR"/>
        </w:rPr>
      </w:pPr>
      <w:r>
        <w:rPr>
          <w:b/>
          <w:bCs/>
          <w:lang w:bidi="fa-IR"/>
        </w:rPr>
        <w:t>2.1. Synthesis of Bis(phenol) Diamine Ligand (H</w:t>
      </w:r>
      <w:r>
        <w:rPr>
          <w:b/>
          <w:bCs/>
          <w:vertAlign w:val="subscript"/>
          <w:lang w:bidi="fa-IR"/>
        </w:rPr>
        <w:t>2</w:t>
      </w:r>
      <w:r>
        <w:rPr>
          <w:b/>
          <w:bCs/>
          <w:lang w:bidi="fa-IR"/>
        </w:rPr>
        <w:t>L</w:t>
      </w:r>
      <w:r>
        <w:rPr>
          <w:b/>
          <w:bCs/>
          <w:vertAlign w:val="superscript"/>
          <w:lang w:bidi="fa-IR"/>
        </w:rPr>
        <w:t>AE</w:t>
      </w:r>
      <w:r>
        <w:rPr>
          <w:b/>
          <w:bCs/>
          <w:lang w:bidi="fa-IR"/>
        </w:rPr>
        <w:t>)</w:t>
      </w:r>
    </w:p>
    <w:p w:rsidR="00470846" w:rsidRDefault="00470846"/>
    <w:p w:rsidR="00470846" w:rsidRDefault="00AD057B">
      <w:r>
        <w:pict>
          <v:shapetype id="_x0000_tole_rId95" o:spid="_x0000_m111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w:pict>
      </w:r>
      <w:r>
        <w:pict>
          <v:shape id="ole_rId95" o:spid="_x0000_s1028" type="#_x0000_tole_rId95" style="position:absolute;margin-left:.05pt;margin-top:0;width:123.9pt;height:59.55pt;z-index:251707392;mso-wrap-distance-right:0;mso-position-horizontal-relative:text;mso-position-vertical-relative:text" o:spt="75" o:preferrelative="t" path="m@4@5l@4@11@9@11@9@5xe" filled="f" stroked="f">
            <v:stroke joinstyle="miter"/>
            <v:imagedata r:id="rId96" o:titl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w10:wrap type="square" side="right"/>
          </v:shape>
        </w:pict>
      </w:r>
      <w:r w:rsidR="00C71C23">
        <w:br w:type="textWrapping" w:clear="all"/>
      </w:r>
    </w:p>
    <w:p w:rsidR="00470846" w:rsidRDefault="00C71C23" w:rsidP="007F3568">
      <w:pPr>
        <w:jc w:val="lowKashida"/>
        <w:rPr>
          <w:lang w:bidi="fa-IR"/>
        </w:rPr>
      </w:pPr>
      <w:r>
        <w:rPr>
          <w:lang w:bidi="fa-IR"/>
        </w:rPr>
        <w:t>The ligand was produced according to the adjusted reported method.</w:t>
      </w:r>
      <w:r>
        <w:rPr>
          <w:vertAlign w:val="superscript"/>
          <w:lang w:bidi="fa-IR"/>
        </w:rPr>
        <w:t>44</w:t>
      </w:r>
      <w:r>
        <w:rPr>
          <w:lang w:bidi="fa-IR"/>
        </w:rPr>
        <w:t xml:space="preserve"> To a round-bottom flask, 2,4-di-</w:t>
      </w:r>
      <w:r>
        <w:rPr>
          <w:i/>
          <w:iCs/>
          <w:lang w:bidi="fa-IR"/>
        </w:rPr>
        <w:t>tert</w:t>
      </w:r>
      <w:r>
        <w:rPr>
          <w:lang w:bidi="fa-IR"/>
        </w:rPr>
        <w:t>-butylphenol (11.25 g, 55.00 mmol), 2-(2-aminoethylamino)ethanol (3 mL, 27.00 mmol) and  formaldehyde 37% (4.58 mL, 55.00 mmol) was added and stirred under refluxed condition for 48h. The reaction crude was cooled to obtain the large amounts of solid. As a final point, the solvent was decanted, and the residue was washed with cold methanol to achieve a pure white powder (67% yield).</w:t>
      </w:r>
    </w:p>
    <w:p w:rsidR="00470846" w:rsidRDefault="00470846" w:rsidP="007F3568">
      <w:pPr>
        <w:jc w:val="lowKashida"/>
        <w:rPr>
          <w:lang w:bidi="fa-IR"/>
        </w:rPr>
      </w:pPr>
    </w:p>
    <w:p w:rsidR="00470846" w:rsidRDefault="00C71C23" w:rsidP="007F3568">
      <w:pPr>
        <w:jc w:val="lowKashida"/>
        <w:rPr>
          <w:b/>
          <w:bCs/>
          <w:lang w:bidi="fa-IR"/>
        </w:rPr>
      </w:pPr>
      <w:r>
        <w:rPr>
          <w:b/>
          <w:bCs/>
          <w:lang w:bidi="fa-IR"/>
        </w:rPr>
        <w:t>2.2. Bromination of Bis(phenol) Diamine Ligand (H</w:t>
      </w:r>
      <w:r>
        <w:rPr>
          <w:b/>
          <w:bCs/>
          <w:vertAlign w:val="subscript"/>
          <w:lang w:bidi="fa-IR"/>
        </w:rPr>
        <w:t>2</w:t>
      </w:r>
      <w:r>
        <w:rPr>
          <w:b/>
          <w:bCs/>
          <w:lang w:bidi="fa-IR"/>
        </w:rPr>
        <w:t>L</w:t>
      </w:r>
      <w:r>
        <w:rPr>
          <w:b/>
          <w:bCs/>
          <w:vertAlign w:val="superscript"/>
          <w:lang w:bidi="fa-IR"/>
        </w:rPr>
        <w:t>AE-Br</w:t>
      </w:r>
      <w:r>
        <w:rPr>
          <w:b/>
          <w:bCs/>
          <w:lang w:bidi="fa-IR"/>
        </w:rPr>
        <w:t>)</w:t>
      </w:r>
    </w:p>
    <w:p w:rsidR="00470846" w:rsidRDefault="00C71C23" w:rsidP="007F3568">
      <w:pPr>
        <w:jc w:val="lowKashida"/>
      </w:pPr>
      <w:r>
        <w:rPr>
          <w:noProof/>
        </w:rPr>
        <mc:AlternateContent>
          <mc:Choice Requires="wps">
            <w:drawing>
              <wp:anchor distT="0" distB="0" distL="114300" distR="0" simplePos="0" relativeHeight="251608064" behindDoc="0" locked="0" layoutInCell="0" allowOverlap="1">
                <wp:simplePos x="0" y="0"/>
                <wp:positionH relativeFrom="column">
                  <wp:posOffset>635</wp:posOffset>
                </wp:positionH>
                <wp:positionV relativeFrom="paragraph">
                  <wp:posOffset>635</wp:posOffset>
                </wp:positionV>
                <wp:extent cx="635000" cy="635000"/>
                <wp:effectExtent l="635" t="0" r="0" b="0"/>
                <wp:wrapNone/>
                <wp:docPr id="62" name="_x0000_tole_rId97"/>
                <wp:cNvGraphicFramePr/>
                <a:graphic xmlns:a="http://schemas.openxmlformats.org/drawingml/2006/main">
                  <a:graphicData uri="http://schemas.microsoft.com/office/word/2010/wordprocessingShape">
                    <wps:wsp>
                      <wps:cNvSpPr/>
                      <wps:spPr>
                        <a:xfrm>
                          <a:off x="0" y="0"/>
                          <a:ext cx="635040" cy="63504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anchor>
            </w:drawing>
          </mc:Choice>
          <mc:Fallback xmlns:w16se="http://schemas.microsoft.com/office/word/2015/wordml/symex" xmlns:cx="http://schemas.microsoft.com/office/drawing/2014/chartex">
            <w:pict>
              <v:shape id="shape_0" ID="_x0000_tole_rId97" stroked="f" o:allowincell="f" style="position:absolute;margin-left:0.05pt;margin-top:0pt;width:49.95pt;height:49.95pt;mso-wrap-style:none;v-text-anchor:middle" type="_x0000_t75">
                <v:fill o:detectmouseclick="t" on="false"/>
                <v:stroke color="#3465a4" joinstyle="round" endcap="flat"/>
                <w10:wrap type="none"/>
              </v:shape>
            </w:pict>
          </mc:Fallback>
        </mc:AlternateContent>
      </w:r>
      <w:r w:rsidR="00AD057B">
        <w:pict>
          <v:shape id="_x0000_tole_rId97" o:spid="_x0000_s1027" type="#_x0000_t75" style="position:absolute;left:0;text-align:left;margin-left:0;margin-top:0;width:50pt;height:50pt;z-index:251704320;visibility:hidden;mso-position-horizontal-relative:text;mso-position-vertical-relative:text">
            <o:lock v:ext="edit" selection="t"/>
          </v:shape>
        </w:pict>
      </w:r>
      <w:r>
        <w:object w:dxaOrig="3033" w:dyaOrig="1431">
          <v:shape id="ole_rId97" o:spid="_x0000_i1065" type="#_x0000_t75" style="width:130.5pt;height:60.75pt;visibility:visible;mso-wrap-distance-right:0">
            <v:imagedata r:id="rId97" o:title=""/>
          </v:shape>
        </w:object>
      </w:r>
    </w:p>
    <w:p w:rsidR="00470846" w:rsidRDefault="00C71C23" w:rsidP="007F3568">
      <w:pPr>
        <w:jc w:val="lowKashida"/>
        <w:rPr>
          <w:lang w:bidi="fa-IR"/>
        </w:rPr>
      </w:pPr>
      <w:r>
        <w:rPr>
          <w:lang w:bidi="fa-IR"/>
        </w:rPr>
        <w:t>The yielded H</w:t>
      </w:r>
      <w:r>
        <w:rPr>
          <w:vertAlign w:val="subscript"/>
          <w:lang w:bidi="fa-IR"/>
        </w:rPr>
        <w:t>2</w:t>
      </w:r>
      <w:r>
        <w:rPr>
          <w:lang w:bidi="fa-IR"/>
        </w:rPr>
        <w:t>L</w:t>
      </w:r>
      <w:r>
        <w:rPr>
          <w:vertAlign w:val="superscript"/>
          <w:lang w:bidi="fa-IR"/>
        </w:rPr>
        <w:t>AE</w:t>
      </w:r>
      <w:r>
        <w:rPr>
          <w:lang w:bidi="fa-IR"/>
        </w:rPr>
        <w:t xml:space="preserve"> precursor (1; 2.25 g, 4 mmol) was dissolved in CHCl</w:t>
      </w:r>
      <w:r>
        <w:rPr>
          <w:vertAlign w:val="subscript"/>
          <w:lang w:bidi="fa-IR"/>
        </w:rPr>
        <w:t>3</w:t>
      </w:r>
      <w:r>
        <w:rPr>
          <w:lang w:bidi="fa-IR"/>
        </w:rPr>
        <w:t xml:space="preserve"> (4 ml) and cooled in an ice bath to 20 ᴼC. A solution of PBr3 (0.2 g, 2 mmol) in CHCl</w:t>
      </w:r>
      <w:r>
        <w:rPr>
          <w:vertAlign w:val="subscript"/>
          <w:lang w:bidi="fa-IR"/>
        </w:rPr>
        <w:t>3</w:t>
      </w:r>
      <w:r>
        <w:rPr>
          <w:lang w:bidi="fa-IR"/>
        </w:rPr>
        <w:t xml:space="preserve"> (4 ml) was introduced dropwise and then, the solution was stirred for 1 h and at 20 °C. To end, the reaction was quenched with the slow and steady addition of water (10 ml). The organic phase was extracted and rinsed three times with water and dried over MgSO</w:t>
      </w:r>
      <w:r>
        <w:rPr>
          <w:vertAlign w:val="subscript"/>
          <w:lang w:bidi="fa-IR"/>
        </w:rPr>
        <w:t>4</w:t>
      </w:r>
      <w:r>
        <w:rPr>
          <w:lang w:bidi="fa-IR"/>
        </w:rPr>
        <w:t xml:space="preserve">. After evaporation of solvent, the yielded viscous oil, crystallized at 0°C over a few days and the resulted pale-yellow solid material was dried over air (87% yield). </w:t>
      </w:r>
      <w:r>
        <w:rPr>
          <w:vertAlign w:val="superscript"/>
          <w:lang w:bidi="fa-IR"/>
        </w:rPr>
        <w:t>45</w:t>
      </w:r>
    </w:p>
    <w:p w:rsidR="00470846" w:rsidRDefault="00C71C23" w:rsidP="007F3568">
      <w:pPr>
        <w:jc w:val="lowKashida"/>
        <w:rPr>
          <w:b/>
          <w:bCs/>
          <w:lang w:bidi="fa-IR"/>
        </w:rPr>
      </w:pPr>
      <w:r>
        <w:rPr>
          <w:b/>
          <w:bCs/>
          <w:lang w:bidi="fa-IR"/>
        </w:rPr>
        <w:t>3. Preparation of heterogeneous catalyst</w:t>
      </w:r>
    </w:p>
    <w:p w:rsidR="00470846" w:rsidRDefault="00C71C23" w:rsidP="007F3568">
      <w:pPr>
        <w:jc w:val="lowKashida"/>
        <w:rPr>
          <w:b/>
          <w:bCs/>
          <w:vertAlign w:val="subscript"/>
          <w:lang w:bidi="fa-IR"/>
        </w:rPr>
      </w:pPr>
      <w:r>
        <w:rPr>
          <w:b/>
          <w:bCs/>
          <w:lang w:bidi="fa-IR"/>
        </w:rPr>
        <w:t>3.1. Synthesis of Fe</w:t>
      </w:r>
      <w:r>
        <w:rPr>
          <w:b/>
          <w:bCs/>
          <w:vertAlign w:val="subscript"/>
          <w:lang w:bidi="fa-IR"/>
        </w:rPr>
        <w:t>3</w:t>
      </w:r>
      <w:r>
        <w:rPr>
          <w:b/>
          <w:bCs/>
          <w:lang w:bidi="fa-IR"/>
        </w:rPr>
        <w:t>O</w:t>
      </w:r>
      <w:r>
        <w:rPr>
          <w:b/>
          <w:bCs/>
          <w:vertAlign w:val="subscript"/>
          <w:lang w:bidi="fa-IR"/>
        </w:rPr>
        <w:t>4</w:t>
      </w:r>
      <w:r>
        <w:rPr>
          <w:b/>
          <w:bCs/>
          <w:lang w:bidi="fa-IR"/>
        </w:rPr>
        <w:t>@SiO</w:t>
      </w:r>
      <w:r>
        <w:rPr>
          <w:b/>
          <w:bCs/>
          <w:vertAlign w:val="subscript"/>
          <w:lang w:bidi="fa-IR"/>
        </w:rPr>
        <w:t>2</w:t>
      </w:r>
    </w:p>
    <w:p w:rsidR="00470846" w:rsidRDefault="00C71C23" w:rsidP="007F3568">
      <w:pPr>
        <w:jc w:val="lowKashida"/>
        <w:rPr>
          <w:lang w:val="en-GB" w:bidi="fa-IR"/>
        </w:rPr>
      </w:pPr>
      <w:r>
        <w:rPr>
          <w:lang w:val="en-GB" w:bidi="fa-IR"/>
        </w:rPr>
        <w:t>Synthesis of iron oxide nanoparticles proceeded using a reported co-precipitation method.</w:t>
      </w:r>
      <w:r>
        <w:rPr>
          <w:vertAlign w:val="superscript"/>
          <w:lang w:val="en-GB" w:bidi="fa-IR"/>
        </w:rPr>
        <w:t>46</w:t>
      </w:r>
      <w:r>
        <w:rPr>
          <w:lang w:val="en-GB" w:bidi="fa-IR"/>
        </w:rPr>
        <w:t xml:space="preserve"> A solution of 25 ml deionized water, 5.2 g of FeCl</w:t>
      </w:r>
      <w:r>
        <w:rPr>
          <w:vertAlign w:val="subscript"/>
          <w:lang w:val="en-GB" w:bidi="fa-IR"/>
        </w:rPr>
        <w:t>3</w:t>
      </w:r>
      <w:r>
        <w:rPr>
          <w:lang w:val="en-GB" w:bidi="fa-IR"/>
        </w:rPr>
        <w:t>.6H</w:t>
      </w:r>
      <w:r>
        <w:rPr>
          <w:vertAlign w:val="subscript"/>
          <w:lang w:val="en-GB" w:bidi="fa-IR"/>
        </w:rPr>
        <w:t>2</w:t>
      </w:r>
      <w:r>
        <w:rPr>
          <w:lang w:val="en-GB" w:bidi="fa-IR"/>
        </w:rPr>
        <w:t>O and 2.8 g of FeSO</w:t>
      </w:r>
      <w:r>
        <w:rPr>
          <w:vertAlign w:val="subscript"/>
          <w:lang w:val="en-GB" w:bidi="fa-IR"/>
        </w:rPr>
        <w:t>4</w:t>
      </w:r>
      <w:r>
        <w:rPr>
          <w:lang w:val="en-GB" w:bidi="fa-IR"/>
        </w:rPr>
        <w:t xml:space="preserve"> was prepared and 0.85 mL of HCl 37% was added. The resulting solution was dropped into 250 mL solution of 1.5 mol L</w:t>
      </w:r>
      <w:r>
        <w:rPr>
          <w:vertAlign w:val="superscript"/>
          <w:lang w:val="en-GB" w:bidi="fa-IR"/>
        </w:rPr>
        <w:t>-1</w:t>
      </w:r>
      <w:r>
        <w:rPr>
          <w:lang w:val="en-GB" w:bidi="fa-IR"/>
        </w:rPr>
        <w:t xml:space="preserve"> NaOH at 80 ᴼC continuously and mechanically stirred under the argon atmosphere. The produced Fe</w:t>
      </w:r>
      <w:r>
        <w:rPr>
          <w:vertAlign w:val="subscript"/>
          <w:lang w:val="en-GB" w:bidi="fa-IR"/>
        </w:rPr>
        <w:t>3</w:t>
      </w:r>
      <w:r>
        <w:rPr>
          <w:lang w:val="en-GB" w:bidi="fa-IR"/>
        </w:rPr>
        <w:t>O</w:t>
      </w:r>
      <w:r>
        <w:rPr>
          <w:vertAlign w:val="subscript"/>
          <w:lang w:val="en-GB" w:bidi="fa-IR"/>
        </w:rPr>
        <w:t>4</w:t>
      </w:r>
      <w:r>
        <w:rPr>
          <w:lang w:val="en-GB" w:bidi="fa-IR"/>
        </w:rPr>
        <w:t xml:space="preserve"> nanoparticles were isolated using an external magnetic field and washed three times using water and ethanol.</w:t>
      </w:r>
    </w:p>
    <w:p w:rsidR="00470846" w:rsidRDefault="00C71C23" w:rsidP="007F3568">
      <w:pPr>
        <w:jc w:val="lowKashida"/>
        <w:rPr>
          <w:lang w:val="en-GB" w:bidi="fa-IR"/>
        </w:rPr>
      </w:pPr>
      <w:r>
        <w:rPr>
          <w:lang w:bidi="fa-IR"/>
        </w:rPr>
        <w:t>With the purpose of protecting the prepared magnetic nanoparticles using silica shell</w:t>
      </w:r>
      <w:r>
        <w:rPr>
          <w:lang w:val="en-GB" w:bidi="fa-IR"/>
        </w:rPr>
        <w:t>, 0.5 g of Fe</w:t>
      </w:r>
      <w:r>
        <w:rPr>
          <w:vertAlign w:val="subscript"/>
          <w:lang w:val="en-GB" w:bidi="fa-IR"/>
        </w:rPr>
        <w:t>3</w:t>
      </w:r>
      <w:r>
        <w:rPr>
          <w:lang w:val="en-GB" w:bidi="fa-IR"/>
        </w:rPr>
        <w:t>O</w:t>
      </w:r>
      <w:r>
        <w:rPr>
          <w:vertAlign w:val="subscript"/>
          <w:lang w:val="en-GB" w:bidi="fa-IR"/>
        </w:rPr>
        <w:t>4</w:t>
      </w:r>
      <w:r>
        <w:rPr>
          <w:lang w:val="en-GB" w:bidi="fa-IR"/>
        </w:rPr>
        <w:t xml:space="preserve"> nanoparticles were dispersed in a mixture of ethanol (50 mL), water (5 mL), and tetraethoxysilane (TEOS) (0.20 mL). Afterwards, 5 mL NaOH (10 wt %) was added in 15 minutes and the reaction was permitted to carry on under mechanical stirring at R.T. for 30 min. Then, the SiO</w:t>
      </w:r>
      <w:r>
        <w:rPr>
          <w:vertAlign w:val="subscript"/>
          <w:lang w:val="en-GB" w:bidi="fa-IR"/>
        </w:rPr>
        <w:t>2</w:t>
      </w:r>
      <w:r>
        <w:rPr>
          <w:lang w:val="en-GB" w:bidi="fa-IR"/>
        </w:rPr>
        <w:t>@Fe</w:t>
      </w:r>
      <w:r>
        <w:rPr>
          <w:vertAlign w:val="subscript"/>
          <w:lang w:val="en-GB" w:bidi="fa-IR"/>
        </w:rPr>
        <w:t>3</w:t>
      </w:r>
      <w:r>
        <w:rPr>
          <w:lang w:val="en-GB" w:bidi="fa-IR"/>
        </w:rPr>
        <w:t>O</w:t>
      </w:r>
      <w:r>
        <w:rPr>
          <w:vertAlign w:val="subscript"/>
          <w:lang w:val="en-GB" w:bidi="fa-IR"/>
        </w:rPr>
        <w:t>4</w:t>
      </w:r>
      <w:r>
        <w:rPr>
          <w:lang w:val="en-GB" w:bidi="fa-IR"/>
        </w:rPr>
        <w:t xml:space="preserve"> particles were separated magnetically and rinsed with ethanol and water three times and dried in vacuum oven at 80 °C for 7 h. </w:t>
      </w:r>
      <w:r>
        <w:rPr>
          <w:vertAlign w:val="superscript"/>
          <w:lang w:val="en-GB" w:bidi="fa-IR"/>
        </w:rPr>
        <w:t>47</w:t>
      </w:r>
    </w:p>
    <w:p w:rsidR="00470846" w:rsidRDefault="00C71C23" w:rsidP="007F3568">
      <w:pPr>
        <w:jc w:val="lowKashida"/>
        <w:rPr>
          <w:b/>
          <w:bCs/>
          <w:lang w:bidi="fa-IR"/>
        </w:rPr>
      </w:pPr>
      <w:r>
        <w:rPr>
          <w:b/>
          <w:bCs/>
          <w:lang w:bidi="fa-IR"/>
        </w:rPr>
        <w:t>3.2. Synthesis of Fe</w:t>
      </w:r>
      <w:r>
        <w:rPr>
          <w:b/>
          <w:bCs/>
          <w:vertAlign w:val="subscript"/>
          <w:lang w:bidi="fa-IR"/>
        </w:rPr>
        <w:t>3</w:t>
      </w:r>
      <w:r>
        <w:rPr>
          <w:b/>
          <w:bCs/>
          <w:lang w:bidi="fa-IR"/>
        </w:rPr>
        <w:t>O</w:t>
      </w:r>
      <w:r>
        <w:rPr>
          <w:b/>
          <w:bCs/>
          <w:vertAlign w:val="subscript"/>
          <w:lang w:bidi="fa-IR"/>
        </w:rPr>
        <w:t>4</w:t>
      </w:r>
      <w:r>
        <w:rPr>
          <w:b/>
          <w:bCs/>
          <w:lang w:bidi="fa-IR"/>
        </w:rPr>
        <w:t>@SiO</w:t>
      </w:r>
      <w:r>
        <w:rPr>
          <w:b/>
          <w:bCs/>
          <w:vertAlign w:val="subscript"/>
          <w:lang w:bidi="fa-IR"/>
        </w:rPr>
        <w:t>2</w:t>
      </w:r>
      <w:r>
        <w:rPr>
          <w:b/>
          <w:bCs/>
          <w:lang w:bidi="fa-IR"/>
        </w:rPr>
        <w:t>-APTES</w:t>
      </w:r>
    </w:p>
    <w:p w:rsidR="00470846" w:rsidRDefault="00C71C23" w:rsidP="007F3568">
      <w:pPr>
        <w:jc w:val="lowKashida"/>
        <w:rPr>
          <w:lang w:bidi="fa-IR"/>
        </w:rPr>
      </w:pPr>
      <w:r>
        <w:rPr>
          <w:lang w:bidi="fa-IR"/>
        </w:rPr>
        <w:t>Silica-coated Fe</w:t>
      </w:r>
      <w:r>
        <w:rPr>
          <w:vertAlign w:val="subscript"/>
          <w:lang w:bidi="fa-IR"/>
        </w:rPr>
        <w:t>3</w:t>
      </w:r>
      <w:r>
        <w:rPr>
          <w:lang w:bidi="fa-IR"/>
        </w:rPr>
        <w:t>O</w:t>
      </w:r>
      <w:r>
        <w:rPr>
          <w:vertAlign w:val="subscript"/>
          <w:lang w:bidi="fa-IR"/>
        </w:rPr>
        <w:t>4</w:t>
      </w:r>
      <w:r>
        <w:rPr>
          <w:lang w:bidi="fa-IR"/>
        </w:rPr>
        <w:t xml:space="preserve"> nanoparticles (1 g) were diffused in dry toluene (70 mL) and 5 mL 3-Triethoxysilylpropylamine (APTES) was added dropwise. The reaction temperature was slowly increased to 110 ᴼC under argon atmosphere and refluxed for 36 h. The resulted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 nanoparticles were separated magnetically, washed 3 times with ethanol and acetone and dried at 80 ᴼC for 24 h.</w:t>
      </w:r>
    </w:p>
    <w:p w:rsidR="00470846" w:rsidRDefault="00C71C23" w:rsidP="007F3568">
      <w:pPr>
        <w:jc w:val="lowKashida"/>
        <w:rPr>
          <w:b/>
          <w:bCs/>
          <w:lang w:bidi="fa-IR"/>
        </w:rPr>
      </w:pPr>
      <w:r>
        <w:rPr>
          <w:b/>
          <w:bCs/>
          <w:lang w:bidi="fa-IR"/>
        </w:rPr>
        <w:t>3.3. Immobilization of H</w:t>
      </w:r>
      <w:r>
        <w:rPr>
          <w:b/>
          <w:bCs/>
          <w:vertAlign w:val="subscript"/>
          <w:lang w:bidi="fa-IR"/>
        </w:rPr>
        <w:t>2</w:t>
      </w:r>
      <w:r>
        <w:rPr>
          <w:b/>
          <w:bCs/>
          <w:lang w:bidi="fa-IR"/>
        </w:rPr>
        <w:t>L</w:t>
      </w:r>
      <w:r>
        <w:rPr>
          <w:b/>
          <w:bCs/>
          <w:vertAlign w:val="superscript"/>
          <w:lang w:bidi="fa-IR"/>
        </w:rPr>
        <w:t>AE-Br</w:t>
      </w:r>
      <w:r>
        <w:rPr>
          <w:b/>
          <w:bCs/>
          <w:lang w:bidi="fa-IR"/>
        </w:rPr>
        <w:t xml:space="preserve"> on Fe</w:t>
      </w:r>
      <w:r>
        <w:rPr>
          <w:b/>
          <w:bCs/>
          <w:vertAlign w:val="subscript"/>
          <w:lang w:bidi="fa-IR"/>
        </w:rPr>
        <w:t>3</w:t>
      </w:r>
      <w:r>
        <w:rPr>
          <w:b/>
          <w:bCs/>
          <w:lang w:bidi="fa-IR"/>
        </w:rPr>
        <w:t>O</w:t>
      </w:r>
      <w:r>
        <w:rPr>
          <w:b/>
          <w:bCs/>
          <w:vertAlign w:val="subscript"/>
          <w:lang w:bidi="fa-IR"/>
        </w:rPr>
        <w:t>4</w:t>
      </w:r>
      <w:r>
        <w:rPr>
          <w:b/>
          <w:bCs/>
          <w:lang w:bidi="fa-IR"/>
        </w:rPr>
        <w:t>@SiO</w:t>
      </w:r>
      <w:r>
        <w:rPr>
          <w:b/>
          <w:bCs/>
          <w:vertAlign w:val="subscript"/>
          <w:lang w:bidi="fa-IR"/>
        </w:rPr>
        <w:t>2</w:t>
      </w:r>
      <w:r>
        <w:rPr>
          <w:b/>
          <w:bCs/>
          <w:lang w:bidi="fa-IR"/>
        </w:rPr>
        <w:t>-APTES</w:t>
      </w:r>
    </w:p>
    <w:p w:rsidR="00470846" w:rsidRDefault="00C71C23" w:rsidP="007F3568">
      <w:pPr>
        <w:jc w:val="lowKashida"/>
        <w:rPr>
          <w:lang w:bidi="fa-IR"/>
        </w:rPr>
      </w:pPr>
      <w:r>
        <w:rPr>
          <w:lang w:bidi="fa-IR"/>
        </w:rPr>
        <w:t>The brominated ligand H</w:t>
      </w:r>
      <w:r>
        <w:rPr>
          <w:vertAlign w:val="subscript"/>
          <w:lang w:bidi="fa-IR"/>
        </w:rPr>
        <w:t>2</w:t>
      </w:r>
      <w:r>
        <w:rPr>
          <w:lang w:bidi="fa-IR"/>
        </w:rPr>
        <w:t>L</w:t>
      </w:r>
      <w:r>
        <w:rPr>
          <w:vertAlign w:val="superscript"/>
          <w:lang w:bidi="fa-IR"/>
        </w:rPr>
        <w:t>AE-Br</w:t>
      </w:r>
      <w:r>
        <w:rPr>
          <w:lang w:bidi="fa-IR"/>
        </w:rPr>
        <w:t xml:space="preserve"> (1 mmol, 0.602 g) was added to disperse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 (1 g) in dry THF (15 mL) and the suspension was stirred for 48h at room temperature. The obtained anchored ligand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-APTES-H</w:t>
      </w:r>
      <w:r>
        <w:rPr>
          <w:vertAlign w:val="subscript"/>
          <w:lang w:bidi="fa-IR"/>
        </w:rPr>
        <w:t>2</w:t>
      </w:r>
      <w:r>
        <w:rPr>
          <w:lang w:bidi="fa-IR"/>
        </w:rPr>
        <w:t>L</w:t>
      </w:r>
      <w:r>
        <w:rPr>
          <w:vertAlign w:val="superscript"/>
          <w:lang w:bidi="fa-IR"/>
        </w:rPr>
        <w:t>AE</w:t>
      </w:r>
      <w:r>
        <w:rPr>
          <w:lang w:bidi="fa-IR"/>
        </w:rPr>
        <w:t>) was magnetically separated and washed with THF, diethyl ether and dichloromethane three times to eliminate the unreacted ligand. The modified nanoparticles were dried at 80 ᴼC for 24 h.</w:t>
      </w:r>
    </w:p>
    <w:p w:rsidR="00470846" w:rsidRDefault="00C71C23" w:rsidP="007F3568">
      <w:pPr>
        <w:jc w:val="lowKashida"/>
        <w:rPr>
          <w:b/>
          <w:bCs/>
          <w:lang w:bidi="fa-IR"/>
        </w:rPr>
      </w:pPr>
      <w:r>
        <w:rPr>
          <w:b/>
          <w:bCs/>
          <w:lang w:bidi="fa-IR"/>
        </w:rPr>
        <w:t>3.4. Synthesis of Fe</w:t>
      </w:r>
      <w:r>
        <w:rPr>
          <w:b/>
          <w:bCs/>
          <w:vertAlign w:val="subscript"/>
          <w:lang w:bidi="fa-IR"/>
        </w:rPr>
        <w:t>3</w:t>
      </w:r>
      <w:r>
        <w:rPr>
          <w:b/>
          <w:bCs/>
          <w:lang w:bidi="fa-IR"/>
        </w:rPr>
        <w:t>O</w:t>
      </w:r>
      <w:r>
        <w:rPr>
          <w:b/>
          <w:bCs/>
          <w:vertAlign w:val="subscript"/>
          <w:lang w:bidi="fa-IR"/>
        </w:rPr>
        <w:t>4</w:t>
      </w:r>
      <w:r>
        <w:rPr>
          <w:b/>
          <w:bCs/>
          <w:lang w:bidi="fa-IR"/>
        </w:rPr>
        <w:t>@SiO</w:t>
      </w:r>
      <w:r>
        <w:rPr>
          <w:b/>
          <w:bCs/>
          <w:vertAlign w:val="subscript"/>
          <w:lang w:bidi="fa-IR"/>
        </w:rPr>
        <w:t>2</w:t>
      </w:r>
      <w:r>
        <w:rPr>
          <w:b/>
          <w:bCs/>
          <w:lang w:bidi="fa-IR"/>
        </w:rPr>
        <w:t>-APTES- FeL</w:t>
      </w:r>
      <w:r>
        <w:rPr>
          <w:b/>
          <w:bCs/>
          <w:vertAlign w:val="superscript"/>
          <w:lang w:bidi="fa-IR"/>
        </w:rPr>
        <w:t>AE</w:t>
      </w:r>
    </w:p>
    <w:p w:rsidR="00470846" w:rsidRDefault="00C71C23" w:rsidP="007F3568">
      <w:pPr>
        <w:jc w:val="lowKashida"/>
        <w:rPr>
          <w:lang w:bidi="fa-IR"/>
        </w:rPr>
      </w:pPr>
      <w:r>
        <w:rPr>
          <w:lang w:bidi="fa-IR"/>
        </w:rPr>
        <w:t>Triethylamine (2 mmol, 0.2 g) was added to a stirred mixture of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-APTES-H</w:t>
      </w:r>
      <w:r>
        <w:rPr>
          <w:vertAlign w:val="subscript"/>
          <w:lang w:bidi="fa-IR"/>
        </w:rPr>
        <w:t>2</w:t>
      </w:r>
      <w:r>
        <w:rPr>
          <w:lang w:bidi="fa-IR"/>
        </w:rPr>
        <w:t>L</w:t>
      </w:r>
      <w:r>
        <w:rPr>
          <w:vertAlign w:val="superscript"/>
          <w:lang w:bidi="fa-IR"/>
        </w:rPr>
        <w:t>AE</w:t>
      </w:r>
      <w:r>
        <w:rPr>
          <w:lang w:bidi="fa-IR"/>
        </w:rPr>
        <w:t xml:space="preserve"> (1 g) and FeCl</w:t>
      </w:r>
      <w:r>
        <w:rPr>
          <w:vertAlign w:val="subscript"/>
          <w:lang w:bidi="fa-IR"/>
        </w:rPr>
        <w:t>3</w:t>
      </w:r>
      <w:r>
        <w:rPr>
          <w:lang w:bidi="fa-IR"/>
        </w:rPr>
        <w:t xml:space="preserve"> anhydrous (1 mmol, 0.162 g) in ethanol (80 mL), and the reaction mixture was stirred for 3 days at room temperature. The product was separated using external magnet and washed with ethanol and acetone several times. The synthesized Fe</w:t>
      </w:r>
      <w:r>
        <w:rPr>
          <w:vertAlign w:val="subscript"/>
          <w:lang w:bidi="fa-IR"/>
        </w:rPr>
        <w:t>3</w:t>
      </w:r>
      <w:r>
        <w:rPr>
          <w:lang w:bidi="fa-IR"/>
        </w:rPr>
        <w:t>O</w:t>
      </w:r>
      <w:r>
        <w:rPr>
          <w:vertAlign w:val="subscript"/>
          <w:lang w:bidi="fa-IR"/>
        </w:rPr>
        <w:t>4</w:t>
      </w:r>
      <w:r>
        <w:rPr>
          <w:lang w:bidi="fa-IR"/>
        </w:rPr>
        <w:t>@SiO</w:t>
      </w:r>
      <w:r>
        <w:rPr>
          <w:vertAlign w:val="subscript"/>
          <w:lang w:bidi="fa-IR"/>
        </w:rPr>
        <w:t>2</w:t>
      </w:r>
      <w:r>
        <w:rPr>
          <w:lang w:bidi="fa-IR"/>
        </w:rPr>
        <w:t>-APTES-FeL</w:t>
      </w:r>
      <w:r>
        <w:rPr>
          <w:vertAlign w:val="superscript"/>
          <w:lang w:bidi="fa-IR"/>
        </w:rPr>
        <w:t>AE</w:t>
      </w:r>
      <w:r>
        <w:rPr>
          <w:lang w:bidi="fa-IR"/>
        </w:rPr>
        <w:t xml:space="preserve"> was dried at 80 ᴼC overnight and the Fe-doped amount was analyzed using ICP-OES.</w:t>
      </w:r>
    </w:p>
    <w:p w:rsidR="00470846" w:rsidRDefault="00C71C23" w:rsidP="007F3568">
      <w:pPr>
        <w:jc w:val="lowKashida"/>
        <w:rPr>
          <w:b/>
          <w:bCs/>
          <w:lang w:bidi="fa-IR"/>
        </w:rPr>
      </w:pPr>
      <w:r>
        <w:rPr>
          <w:b/>
          <w:bCs/>
          <w:lang w:bidi="fa-IR"/>
        </w:rPr>
        <w:t>4. General procedure for catalytic epoxidation of alkenes in the presence of Na</w:t>
      </w:r>
      <w:r>
        <w:rPr>
          <w:b/>
          <w:bCs/>
          <w:vertAlign w:val="subscript"/>
          <w:lang w:bidi="fa-IR"/>
        </w:rPr>
        <w:t>2</w:t>
      </w:r>
      <w:r>
        <w:rPr>
          <w:b/>
          <w:bCs/>
          <w:lang w:bidi="fa-IR"/>
        </w:rPr>
        <w:t>SO</w:t>
      </w:r>
      <w:r>
        <w:rPr>
          <w:b/>
          <w:bCs/>
          <w:vertAlign w:val="subscript"/>
          <w:lang w:bidi="fa-IR"/>
        </w:rPr>
        <w:t>3</w:t>
      </w:r>
      <w:r>
        <w:rPr>
          <w:b/>
          <w:bCs/>
          <w:lang w:bidi="fa-IR"/>
        </w:rPr>
        <w:t xml:space="preserve"> and TEMPO</w:t>
      </w:r>
    </w:p>
    <w:p w:rsidR="00470846" w:rsidRDefault="00C71C23" w:rsidP="007F3568">
      <w:pPr>
        <w:jc w:val="lowKashida"/>
        <w:rPr>
          <w:b/>
          <w:bCs/>
          <w:lang w:bidi="fa-IR"/>
        </w:rPr>
      </w:pPr>
      <w:r>
        <w:rPr>
          <w:lang w:bidi="fa-IR"/>
        </w:rPr>
        <w:t>Catalyst (0.004 g), alkene (1 mmol) and oxygen saturated water (0.6 mL) were added to a 5 mL round-bottom flask. The oxidation reaction was followed by addition of specific equivalents of Na</w:t>
      </w:r>
      <w:r>
        <w:rPr>
          <w:vertAlign w:val="subscript"/>
          <w:lang w:bidi="fa-IR"/>
        </w:rPr>
        <w:t>2</w:t>
      </w:r>
      <w:r>
        <w:rPr>
          <w:lang w:bidi="fa-IR"/>
        </w:rPr>
        <w:t>SO</w:t>
      </w:r>
      <w:r>
        <w:rPr>
          <w:vertAlign w:val="subscript"/>
          <w:lang w:bidi="fa-IR"/>
        </w:rPr>
        <w:t>3</w:t>
      </w:r>
      <w:r>
        <w:rPr>
          <w:lang w:bidi="fa-IR"/>
        </w:rPr>
        <w:t xml:space="preserve"> or TEMPO and the mixture was stirred at room temperature under filled-oxygen balloon. At the finishing point, the catalyst was separated using an external field the reaction solution was washed with 1.5 mL water to remove the sulfite salt and some TEMPO, and the organic phase was analyzed using GC. The reported conversions and selectivities are the average of 3 runs.</w:t>
      </w:r>
    </w:p>
    <w:p w:rsidR="00470846" w:rsidRDefault="00470846">
      <w:pPr>
        <w:rPr>
          <w:b/>
          <w:bCs/>
          <w:lang w:bidi="fa-IR"/>
        </w:rPr>
      </w:pPr>
    </w:p>
    <w:p w:rsidR="00470846" w:rsidRDefault="00C71C23" w:rsidP="007F3568">
      <w:pPr>
        <w:jc w:val="lowKashida"/>
        <w:rPr>
          <w:b/>
          <w:bCs/>
        </w:rPr>
      </w:pPr>
      <w:r>
        <w:rPr>
          <w:b/>
          <w:bCs/>
        </w:rPr>
        <w:t>References</w:t>
      </w:r>
    </w:p>
    <w:p w:rsidR="00470846" w:rsidRDefault="00C71C23" w:rsidP="007F3568">
      <w:pPr>
        <w:spacing w:before="240" w:after="0" w:line="276" w:lineRule="auto"/>
        <w:jc w:val="lowKashida"/>
        <w:rPr>
          <w:rFonts w:cs="AdvOT2e364b11"/>
        </w:rPr>
      </w:pPr>
      <w:r>
        <w:rPr>
          <w:rFonts w:cs="AdvOT2e364b11"/>
        </w:rPr>
        <w:t xml:space="preserve">1. a) D. Munz, D. Wang, M.M. Moyer, M.S. Webster-Gardiner, P. Kunal, D. Watts, B.G. Trewyn, A.N. Vedernikov, and T.B .Gunnoe, Aerobic epoxidation of olefin by platinum catalysts supported on mesoporous silica nanoparticles, </w:t>
      </w:r>
      <w:r>
        <w:rPr>
          <w:rFonts w:cs="AdvOT2e364b11"/>
          <w:i/>
          <w:iCs/>
        </w:rPr>
        <w:t>ACS Catalysis</w:t>
      </w:r>
      <w:r>
        <w:rPr>
          <w:rFonts w:cs="AdvOT2e364b11"/>
        </w:rPr>
        <w:t xml:space="preserve">, 2016, </w:t>
      </w:r>
      <w:r>
        <w:rPr>
          <w:rFonts w:cs="AdvOT2e364b11"/>
          <w:b/>
          <w:bCs/>
        </w:rPr>
        <w:t>6</w:t>
      </w:r>
      <w:r>
        <w:rPr>
          <w:rFonts w:cs="AdvOT2e364b11"/>
        </w:rPr>
        <w:t>, 4584-4593. b) T. V. Andrushkevich, and E. V. Ovchinnikova, The role of water in selective heterogeneous catalytic oxidation of hydrocarbons,</w:t>
      </w:r>
      <w:r>
        <w:rPr>
          <w:rFonts w:cs="AdvOT2e364b11"/>
          <w:i/>
          <w:iCs/>
        </w:rPr>
        <w:t xml:space="preserve"> Molecular Catalysis</w:t>
      </w:r>
      <w:r>
        <w:rPr>
          <w:rFonts w:cs="AdvOT2e364b11"/>
        </w:rPr>
        <w:t xml:space="preserve">, 2020, </w:t>
      </w:r>
      <w:r>
        <w:rPr>
          <w:rFonts w:cs="AdvOT2e364b11"/>
          <w:b/>
          <w:bCs/>
        </w:rPr>
        <w:t>484</w:t>
      </w:r>
      <w:r>
        <w:rPr>
          <w:rFonts w:cs="AdvOT2e364b11"/>
        </w:rPr>
        <w:t>, 110734. c) J. R. Webb, T. Bolan</w:t>
      </w:r>
      <w:r>
        <w:rPr>
          <w:rFonts w:eastAsia="AdvOT8608a8d1+03" w:cs="AdvOT8608a8d1+03"/>
        </w:rPr>
        <w:t>̃</w:t>
      </w:r>
      <w:r>
        <w:rPr>
          <w:rFonts w:cs="AdvOT2e364b11"/>
        </w:rPr>
        <w:t>o, T. B. Gunnoe, Catalytic oxy</w:t>
      </w:r>
      <w:r>
        <w:rPr>
          <w:rFonts w:cs="Cambria Math"/>
        </w:rPr>
        <w:t>‐</w:t>
      </w:r>
      <w:r>
        <w:rPr>
          <w:rFonts w:cs="AdvOT2e364b11"/>
        </w:rPr>
        <w:t xml:space="preserve">functionalization of methane and other hydrocarbons: fundamental advancements and new strategies, </w:t>
      </w:r>
      <w:r>
        <w:rPr>
          <w:rFonts w:cs="AdvOT02ce3bbb.I"/>
          <w:i/>
          <w:iCs/>
        </w:rPr>
        <w:t>ChemSusChem</w:t>
      </w:r>
      <w:r>
        <w:rPr>
          <w:rFonts w:cs="AdvOT2e364b11"/>
        </w:rPr>
        <w:t xml:space="preserve">, </w:t>
      </w:r>
      <w:r>
        <w:rPr>
          <w:rFonts w:cs="AdvOT51c1769e"/>
        </w:rPr>
        <w:t>2011</w:t>
      </w:r>
      <w:r>
        <w:rPr>
          <w:rFonts w:cs="AdvOT2e364b11"/>
        </w:rPr>
        <w:t xml:space="preserve">, </w:t>
      </w:r>
      <w:r>
        <w:rPr>
          <w:rFonts w:cs="AdvOT02ce3bbb.I"/>
          <w:b/>
          <w:bCs/>
        </w:rPr>
        <w:t>4</w:t>
      </w:r>
      <w:r>
        <w:rPr>
          <w:rFonts w:cs="AdvOT02ce3bbb.I"/>
        </w:rPr>
        <w:t xml:space="preserve">, </w:t>
      </w:r>
      <w:r>
        <w:rPr>
          <w:rFonts w:cs="AdvOT2e364b11"/>
        </w:rPr>
        <w:t>37</w:t>
      </w:r>
      <w:r>
        <w:rPr>
          <w:rFonts w:eastAsia="AdvOT8608a8d1+22" w:cs="AdvOT8608a8d1+22"/>
        </w:rPr>
        <w:t>−</w:t>
      </w:r>
      <w:r>
        <w:rPr>
          <w:rFonts w:cs="AdvOT2e364b11"/>
        </w:rPr>
        <w:t>49.</w:t>
      </w:r>
    </w:p>
    <w:p w:rsidR="00470846" w:rsidRDefault="00C71C23" w:rsidP="007F3568">
      <w:pPr>
        <w:spacing w:before="240" w:line="276" w:lineRule="auto"/>
        <w:jc w:val="lowKashida"/>
      </w:pPr>
      <w:r>
        <w:t>2. S. Tanase, E. Bouwman, Selective conversion of hydrocarbons with H</w:t>
      </w:r>
      <w:r>
        <w:rPr>
          <w:vertAlign w:val="subscript"/>
        </w:rPr>
        <w:t>2</w:t>
      </w:r>
      <w:r>
        <w:t>O</w:t>
      </w:r>
      <w:r>
        <w:rPr>
          <w:vertAlign w:val="subscript"/>
        </w:rPr>
        <w:t>2</w:t>
      </w:r>
      <w:r>
        <w:t xml:space="preserve"> using biomimetic non-heme iron and manganese oxidation catalysts. </w:t>
      </w:r>
      <w:r>
        <w:rPr>
          <w:i/>
          <w:iCs/>
        </w:rPr>
        <w:t>Adv. Inorg. Chem</w:t>
      </w:r>
      <w:r>
        <w:t xml:space="preserve">., 2006, </w:t>
      </w:r>
      <w:r>
        <w:rPr>
          <w:b/>
          <w:bCs/>
        </w:rPr>
        <w:t>58</w:t>
      </w:r>
      <w:r>
        <w:t>, 29-75.</w:t>
      </w:r>
    </w:p>
    <w:p w:rsidR="00470846" w:rsidRDefault="00C71C23" w:rsidP="007F3568">
      <w:pPr>
        <w:spacing w:before="240" w:line="276" w:lineRule="auto"/>
        <w:jc w:val="lowKashida"/>
      </w:pPr>
      <w:r>
        <w:t xml:space="preserve">3. AC05726672 A, editor. </w:t>
      </w:r>
      <w:r>
        <w:rPr>
          <w:i/>
          <w:iCs/>
        </w:rPr>
        <w:t>Ullmann's encyclopedia of industrial chemistry</w:t>
      </w:r>
      <w:r>
        <w:t>. Wiley-VCH, 2000.</w:t>
      </w:r>
    </w:p>
    <w:p w:rsidR="00470846" w:rsidRDefault="00C71C23" w:rsidP="007F3568">
      <w:pPr>
        <w:spacing w:before="240" w:line="276" w:lineRule="auto"/>
        <w:jc w:val="lowKashida"/>
      </w:pPr>
      <w:r>
        <w:t xml:space="preserve">4. E. M. Pliss, M. Aleksey Grobov, K. Anton Kuzaev, and A. L. Buchachenko, Magnetic field effect on the oxidation of organic substances by molecular oxygen, </w:t>
      </w:r>
      <w:r>
        <w:rPr>
          <w:i/>
          <w:iCs/>
        </w:rPr>
        <w:t>Journal of Physical Organic Chemistry</w:t>
      </w:r>
      <w:r>
        <w:t xml:space="preserve">, 2019, </w:t>
      </w:r>
      <w:r>
        <w:rPr>
          <w:b/>
          <w:bCs/>
        </w:rPr>
        <w:t>32</w:t>
      </w:r>
      <w:r>
        <w:t>, e3915.</w:t>
      </w:r>
    </w:p>
    <w:p w:rsidR="00470846" w:rsidRDefault="00C71C23" w:rsidP="007F3568">
      <w:pPr>
        <w:spacing w:before="240" w:line="276" w:lineRule="auto"/>
        <w:jc w:val="lowKashida"/>
        <w:rPr>
          <w:i/>
          <w:iCs/>
        </w:rPr>
      </w:pPr>
      <w:r>
        <w:t xml:space="preserve">5. C. Parmeggiani, C. Matassini and F. Cardona, A step forward towards sustainable aerobic alcohol oxidation: new and revised catalysts based on transition metals on solid supports, Green Chem, 2017, </w:t>
      </w:r>
      <w:r>
        <w:rPr>
          <w:b/>
          <w:bCs/>
        </w:rPr>
        <w:t>19</w:t>
      </w:r>
      <w:r>
        <w:t>,</w:t>
      </w:r>
      <w:r>
        <w:rPr>
          <w:b/>
          <w:bCs/>
        </w:rPr>
        <w:t xml:space="preserve"> </w:t>
      </w:r>
      <w:r>
        <w:t xml:space="preserve">2030-2050. </w:t>
      </w:r>
    </w:p>
    <w:p w:rsidR="00470846" w:rsidRDefault="00C71C23" w:rsidP="007F3568">
      <w:pPr>
        <w:spacing w:before="240" w:line="276" w:lineRule="auto"/>
        <w:jc w:val="lowKashida"/>
      </w:pPr>
      <w:r>
        <w:t xml:space="preserve">6. a) D. Munz, T. Strassner, Propane activation by palladium complexes with chelating bis (NHC) ligands and aerobic cooxidation, </w:t>
      </w:r>
      <w:r>
        <w:rPr>
          <w:i/>
          <w:iCs/>
        </w:rPr>
        <w:t>Angew.Chem., Int. Ed</w:t>
      </w:r>
      <w:r>
        <w:t xml:space="preserve">. 2014, </w:t>
      </w:r>
      <w:r>
        <w:rPr>
          <w:b/>
          <w:bCs/>
        </w:rPr>
        <w:t>53</w:t>
      </w:r>
      <w:r>
        <w:t xml:space="preserve">, 2485−2488. b) L. Qian, and G. Zheng, Recent advances of metal nanoclusters for aerobic oxidation, </w:t>
      </w:r>
      <w:r>
        <w:rPr>
          <w:i/>
          <w:iCs/>
        </w:rPr>
        <w:t>Materials Today Nano</w:t>
      </w:r>
      <w:r>
        <w:t xml:space="preserve">., 2020, </w:t>
      </w:r>
      <w:r>
        <w:rPr>
          <w:b/>
          <w:bCs/>
        </w:rPr>
        <w:t>11</w:t>
      </w:r>
      <w:r>
        <w:t xml:space="preserve"> 100080. c) W. Chen, J. A. Kocal, T. A. Brandvold, M. L. Bricker, S. R. Bare, R. W. Broach, N. Greenlay, K. Popp, J. T. Walenga, S. S. Yang, J. Low, Manganese oxide catalyzed methane partial oxidation in trifluoroacetic acid: Catalysis and kinetic analysis, </w:t>
      </w:r>
      <w:r>
        <w:rPr>
          <w:i/>
          <w:iCs/>
        </w:rPr>
        <w:t>Catalysis Today</w:t>
      </w:r>
      <w:r>
        <w:t xml:space="preserve">, 2009, </w:t>
      </w:r>
      <w:r>
        <w:rPr>
          <w:b/>
          <w:bCs/>
        </w:rPr>
        <w:t>140</w:t>
      </w:r>
      <w:r>
        <w:t>, 157−161.</w:t>
      </w:r>
    </w:p>
    <w:p w:rsidR="00470846" w:rsidRDefault="00C71C23" w:rsidP="007F3568">
      <w:pPr>
        <w:spacing w:before="240" w:line="276" w:lineRule="auto"/>
        <w:jc w:val="lowKashida"/>
      </w:pPr>
      <w:r>
        <w:t xml:space="preserve">7. Z. Chen, X. Li, S. Zhang, J. Jin, X. Song, X. Wang, and P. G. Tratnyek, Overlooked role of peroxides as free radical precursors in advanced oxidation processes, </w:t>
      </w:r>
      <w:r>
        <w:rPr>
          <w:i/>
          <w:iCs/>
        </w:rPr>
        <w:t>Environmental science &amp; technology</w:t>
      </w:r>
      <w:r>
        <w:t xml:space="preserve">, 2019, </w:t>
      </w:r>
      <w:r>
        <w:rPr>
          <w:b/>
          <w:bCs/>
        </w:rPr>
        <w:t>53</w:t>
      </w:r>
      <w:r>
        <w:t>, 2054-2062.</w:t>
      </w:r>
    </w:p>
    <w:p w:rsidR="00470846" w:rsidRDefault="00C71C23" w:rsidP="007F3568">
      <w:pPr>
        <w:spacing w:before="240" w:line="276" w:lineRule="auto"/>
        <w:jc w:val="lowKashida"/>
      </w:pPr>
      <w:r>
        <w:t>8. a) A.M. Wright, D.R. Pahls, J.B. Gary, T. Warner, J. Z. Williams, S. M. M. Knapp, K. E. Allen, C. R. Landis, T.R. Cundari, and K. I. Goldberg, Experimental and Computational Investigation of the Aerobic Oxidation of a Late Transition Metal-Hydride, </w:t>
      </w:r>
      <w:r>
        <w:rPr>
          <w:i/>
          <w:iCs/>
        </w:rPr>
        <w:t>J. Am. Chem. Soc.</w:t>
      </w:r>
      <w:r>
        <w:t xml:space="preserve">, 2019, </w:t>
      </w:r>
      <w:r>
        <w:rPr>
          <w:b/>
          <w:bCs/>
        </w:rPr>
        <w:t>141</w:t>
      </w:r>
      <w:r>
        <w:t xml:space="preserve">, 10830-10843. b) L. Boisvert, K. I. Goldberg, Reactions of late transition metal complexes with molecular oxygen, </w:t>
      </w:r>
      <w:r>
        <w:rPr>
          <w:i/>
          <w:iCs/>
        </w:rPr>
        <w:t>Acc. Chem. Res</w:t>
      </w:r>
      <w:r>
        <w:t xml:space="preserve">., 2012, </w:t>
      </w:r>
      <w:r>
        <w:rPr>
          <w:b/>
          <w:bCs/>
        </w:rPr>
        <w:t>45</w:t>
      </w:r>
      <w:r>
        <w:t xml:space="preserve">, 899−910. c) D. Munz, T. Strassner, Alkane C–H functionalization and oxidation with molecular oxygen, </w:t>
      </w:r>
      <w:r>
        <w:rPr>
          <w:i/>
          <w:iCs/>
        </w:rPr>
        <w:t>Inorg. Chem</w:t>
      </w:r>
      <w:r>
        <w:t xml:space="preserve">., 2015, </w:t>
      </w:r>
      <w:r>
        <w:rPr>
          <w:b/>
          <w:bCs/>
        </w:rPr>
        <w:t>54</w:t>
      </w:r>
      <w:r>
        <w:t>, 5043−5052.</w:t>
      </w:r>
    </w:p>
    <w:p w:rsidR="00470846" w:rsidRDefault="00C71C23" w:rsidP="007F3568">
      <w:pPr>
        <w:spacing w:before="240" w:line="276" w:lineRule="auto"/>
        <w:jc w:val="lowKashida"/>
      </w:pPr>
      <w:r>
        <w:t xml:space="preserve">9. a) V. C.-C. Wang, S. Maji, P. P.-Y. Chen, H. K. Lee, S. S.-F. Yu and S. I. Chan, Alkane oxidation: methane monooxygenases, related enzymes, and their biomimetics, </w:t>
      </w:r>
      <w:r>
        <w:rPr>
          <w:i/>
          <w:iCs/>
        </w:rPr>
        <w:t>Chem. Rev</w:t>
      </w:r>
      <w:r>
        <w:t xml:space="preserve">., 2017, </w:t>
      </w:r>
      <w:r>
        <w:rPr>
          <w:b/>
          <w:bCs/>
        </w:rPr>
        <w:t>117</w:t>
      </w:r>
      <w:r>
        <w:t>, 8574-8621. b)</w:t>
      </w:r>
      <w:r>
        <w:rPr>
          <w:rFonts w:cs="Calibri"/>
        </w:rPr>
        <w:t xml:space="preserve"> </w:t>
      </w:r>
      <w:r>
        <w:t xml:space="preserve">A. D. Ryabov, Green challenges of catalysis via iron (IV) oxo and iron (V) oxo species. </w:t>
      </w:r>
      <w:r>
        <w:rPr>
          <w:i/>
          <w:iCs/>
        </w:rPr>
        <w:t>Adv. Inorg. Chem</w:t>
      </w:r>
      <w:r>
        <w:t xml:space="preserve">., 2013, </w:t>
      </w:r>
      <w:r>
        <w:rPr>
          <w:b/>
          <w:bCs/>
        </w:rPr>
        <w:t>65</w:t>
      </w:r>
      <w:r>
        <w:t xml:space="preserve">, 117-163. </w:t>
      </w:r>
    </w:p>
    <w:p w:rsidR="00470846" w:rsidRDefault="00C71C23" w:rsidP="007F3568">
      <w:pPr>
        <w:spacing w:before="240" w:line="276" w:lineRule="auto"/>
        <w:jc w:val="lowKashida"/>
      </w:pPr>
      <w:r>
        <w:t xml:space="preserve">10. a) M. Costas, M. P. Mehn, M. P. Jensen,L. Que, Jr., Dioxygen activation at mononuclear nonheme iron active sites: enzymes, models, and intermediates. </w:t>
      </w:r>
      <w:r>
        <w:rPr>
          <w:i/>
          <w:iCs/>
        </w:rPr>
        <w:t>Chem. Rev.</w:t>
      </w:r>
      <w:r>
        <w:t xml:space="preserve"> 2004, </w:t>
      </w:r>
      <w:r>
        <w:rPr>
          <w:b/>
          <w:bCs/>
        </w:rPr>
        <w:t>104</w:t>
      </w:r>
      <w:r>
        <w:t>, 939-986. b) H. Ito, H. Kurokawa, and H. Matsui, Mitochondrial reactive oxygen species and heme, non-heme iron metabolism</w:t>
      </w:r>
      <w:r>
        <w:rPr>
          <w:i/>
          <w:iCs/>
        </w:rPr>
        <w:t>. Archives of Biochemistry and Biophysics</w:t>
      </w:r>
      <w:r>
        <w:t xml:space="preserve">, 2020, 108695. </w:t>
      </w:r>
    </w:p>
    <w:p w:rsidR="00470846" w:rsidRDefault="00C71C23" w:rsidP="007F3568">
      <w:pPr>
        <w:spacing w:before="240" w:line="276" w:lineRule="auto"/>
        <w:jc w:val="lowKashida"/>
      </w:pPr>
      <w:r>
        <w:t xml:space="preserve">11. a)  C. Krebs, D. Galonic Fujimori, C. T. Walsh, J. M. Jr. Bollinger, Non-heme Fe(IV)-oxo intermediates. </w:t>
      </w:r>
      <w:r>
        <w:rPr>
          <w:i/>
          <w:iCs/>
        </w:rPr>
        <w:t>Acc Chem Res</w:t>
      </w:r>
      <w:r>
        <w:t xml:space="preserve">, 2007, </w:t>
      </w:r>
      <w:r>
        <w:rPr>
          <w:b/>
          <w:bCs/>
        </w:rPr>
        <w:t>40</w:t>
      </w:r>
      <w:r>
        <w:t xml:space="preserve">, 484-492. b) E.G. Hrycay, and S.M. Bandiera, Monooxygenase, peroxidase and peroxygenase properties and reaction mechanisms of cytochrome P450 enzymes. </w:t>
      </w:r>
      <w:r>
        <w:rPr>
          <w:i/>
          <w:iCs/>
        </w:rPr>
        <w:t>Adv Exp Med Biol</w:t>
      </w:r>
      <w:r>
        <w:t xml:space="preserve">, 2015, </w:t>
      </w:r>
      <w:r>
        <w:rPr>
          <w:b/>
          <w:bCs/>
        </w:rPr>
        <w:t>851</w:t>
      </w:r>
      <w:r>
        <w:t>, 1-61.</w:t>
      </w:r>
    </w:p>
    <w:p w:rsidR="00470846" w:rsidRDefault="00C71C23" w:rsidP="007F3568">
      <w:pPr>
        <w:spacing w:before="240" w:line="276" w:lineRule="auto"/>
        <w:jc w:val="lowKashida"/>
      </w:pPr>
      <w:r>
        <w:t xml:space="preserve">12. a) L. Chen, X. Peng, J. Liu, J. Li, F. Wu, Decolorization of orange II in aqueous solution by an Fe(II)/sulfite system: replacement of persulfate, </w:t>
      </w:r>
      <w:r>
        <w:rPr>
          <w:i/>
          <w:iCs/>
        </w:rPr>
        <w:t>Ind. Eng. Chem. Res</w:t>
      </w:r>
      <w:r>
        <w:t xml:space="preserve">., 2012, </w:t>
      </w:r>
      <w:r>
        <w:rPr>
          <w:b/>
          <w:bCs/>
        </w:rPr>
        <w:t>51</w:t>
      </w:r>
      <w:r>
        <w:t xml:space="preserve">, 13632–13638. b) J. Xu, W. Ding, F. Wu, G. Mailhot, D. Zhou, K. Hanna, Rapid catalytic oxidation of arsenite to arsenate in an iron(III)/sulfite system under visible light, </w:t>
      </w:r>
      <w:r>
        <w:rPr>
          <w:i/>
          <w:iCs/>
        </w:rPr>
        <w:t>App. Catal. B-Environ</w:t>
      </w:r>
      <w:r>
        <w:t xml:space="preserve">. 2016, </w:t>
      </w:r>
      <w:r>
        <w:rPr>
          <w:b/>
          <w:bCs/>
        </w:rPr>
        <w:t>186</w:t>
      </w:r>
      <w:r>
        <w:t xml:space="preserve">, 56–61. </w:t>
      </w:r>
    </w:p>
    <w:p w:rsidR="00470846" w:rsidRDefault="00C71C23" w:rsidP="007F3568">
      <w:pPr>
        <w:spacing w:before="240" w:line="276" w:lineRule="auto"/>
        <w:jc w:val="lowKashida"/>
        <w:rPr>
          <w:lang w:val="de-DE"/>
        </w:rPr>
      </w:pPr>
      <w:r>
        <w:t>13. a) J. E. Nutting, K. Mao, and S. S. Stahl, Iron (III) Nitrate/TEMPO-Catalyzed Aerobic Alcohol Oxidation: Distinguishing between Serial versus Integrated Redox Cooperativity. </w:t>
      </w:r>
      <w:r>
        <w:rPr>
          <w:i/>
          <w:iCs/>
        </w:rPr>
        <w:t>J. Am. Chem. Soc</w:t>
      </w:r>
      <w:r>
        <w:t xml:space="preserve">., 2021, </w:t>
      </w:r>
      <w:r>
        <w:rPr>
          <w:b/>
          <w:bCs/>
        </w:rPr>
        <w:t>143</w:t>
      </w:r>
      <w:r>
        <w:t>, 10565-10570. b) G. Szczepaniak, J. Piątkowski, W. Nogaś, F. Lorandi, S. S. Yerneni, Marco. Fantin, A. Ruszczyńska, A. E. Enciso, E. Bulska, K. Grela and K. Matyjaszewski,</w:t>
      </w:r>
      <w:r>
        <w:rPr>
          <w:b/>
          <w:bCs/>
        </w:rPr>
        <w:t> </w:t>
      </w:r>
      <w:r>
        <w:t xml:space="preserve">An isocyanide ligand for the rapid quenching and efficient removal of copper residues after Cu/TEMPO-catalyzed aerobic alcohol oxidation and atom transfer radical polymerization. </w:t>
      </w:r>
      <w:r>
        <w:rPr>
          <w:i/>
          <w:iCs/>
        </w:rPr>
        <w:t>Chemical Science,</w:t>
      </w:r>
      <w:r>
        <w:t xml:space="preserve"> 2020, </w:t>
      </w:r>
      <w:r>
        <w:rPr>
          <w:b/>
          <w:bCs/>
        </w:rPr>
        <w:t>11</w:t>
      </w:r>
      <w:r>
        <w:t>, 4251-4262.</w:t>
      </w:r>
    </w:p>
    <w:p w:rsidR="00470846" w:rsidRDefault="00C71C23" w:rsidP="007F3568">
      <w:pPr>
        <w:spacing w:before="240" w:line="276" w:lineRule="auto"/>
        <w:jc w:val="lowKashida"/>
      </w:pPr>
      <w:r>
        <w:rPr>
          <w:lang w:val="de-DE"/>
        </w:rPr>
        <w:t xml:space="preserve">14. a) R. </w:t>
      </w:r>
      <w:r>
        <w:t xml:space="preserve">Peng, A. Offenhäusser, Y. Ermolenko, and Y. Mourzina, Biomimetic sensor based on Mn (III) meso-tetra (N-methyl-4-pyridyl) porphyrin for non-enzymatic electrocatalytic determination of hydrogen peroxide and as an electrochemical transducer in oxidase biosensor for analysis of biological media. </w:t>
      </w:r>
      <w:r>
        <w:rPr>
          <w:i/>
          <w:iCs/>
        </w:rPr>
        <w:t>Sensors and Actuators B: Chemical</w:t>
      </w:r>
      <w:r>
        <w:t xml:space="preserve">, 2020, </w:t>
      </w:r>
      <w:r>
        <w:rPr>
          <w:b/>
          <w:bCs/>
        </w:rPr>
        <w:t>321</w:t>
      </w:r>
      <w:r>
        <w:t xml:space="preserve">, 128437. b) H. Ohi, Y. Tachi, S. Itoh, Supramolecular and Coordination Polymer Complexes Supported by a Tripodal Tripyridine Ligand Containing a 1,3,5-Triethylbenzene Spacer, </w:t>
      </w:r>
      <w:r>
        <w:rPr>
          <w:i/>
          <w:iCs/>
        </w:rPr>
        <w:t>Inorg Chem</w:t>
      </w:r>
      <w:r>
        <w:t xml:space="preserve">, 2004, </w:t>
      </w:r>
      <w:r>
        <w:rPr>
          <w:b/>
          <w:bCs/>
        </w:rPr>
        <w:t>43</w:t>
      </w:r>
      <w:r>
        <w:t>, 4561-4563.</w:t>
      </w:r>
    </w:p>
    <w:p w:rsidR="00470846" w:rsidRDefault="00C71C23" w:rsidP="007F3568">
      <w:pPr>
        <w:spacing w:before="240" w:line="276" w:lineRule="auto"/>
        <w:jc w:val="lowKashida"/>
      </w:pPr>
      <w:r>
        <w:t xml:space="preserve">15. L. Santagostini, M. Gullotti, R. Pagliarin, E. Bianchi, L. Casella, E. Monzani, Functional Mimics of Copper Enzymes. Synthesis and Stereochemical Properties of the Copper (II) Complexes of a Trinucleating Ligand Derived from L-Histidine, </w:t>
      </w:r>
      <w:r>
        <w:rPr>
          <w:i/>
          <w:iCs/>
        </w:rPr>
        <w:t>Tetrahedron: Asymmetry</w:t>
      </w:r>
      <w:r>
        <w:t xml:space="preserve">, 1999, </w:t>
      </w:r>
      <w:r>
        <w:rPr>
          <w:b/>
          <w:bCs/>
        </w:rPr>
        <w:t>10</w:t>
      </w:r>
      <w:r>
        <w:t>, 281−295.</w:t>
      </w:r>
    </w:p>
    <w:p w:rsidR="00470846" w:rsidRDefault="00C71C23" w:rsidP="007F3568">
      <w:pPr>
        <w:spacing w:before="240" w:line="276" w:lineRule="auto"/>
        <w:jc w:val="lowKashida"/>
      </w:pPr>
      <w:r>
        <w:t>16. a) K. Cho, P. Leeladee, A. J. McGown, S. DeBeer, D. P. Goldberg, A high-valent iron-oxo corrolazine activates C–H bonds via hydrogen-atom transfer</w:t>
      </w:r>
      <w:r>
        <w:rPr>
          <w:i/>
          <w:iCs/>
        </w:rPr>
        <w:t>, J. Am. Chem. Soc</w:t>
      </w:r>
      <w:r>
        <w:t>.,</w:t>
      </w:r>
      <w:r>
        <w:rPr>
          <w:b/>
          <w:bCs/>
        </w:rPr>
        <w:t> </w:t>
      </w:r>
      <w:r>
        <w:t xml:space="preserve">2012, </w:t>
      </w:r>
      <w:r>
        <w:rPr>
          <w:b/>
          <w:bCs/>
        </w:rPr>
        <w:t>134,</w:t>
      </w:r>
      <w:r>
        <w:t xml:space="preserve"> 7392-7399. b) K. A. Prokop, H. Neu, S. P. de Visser, D. P. Goldberg, A Manganese (V)-Oxo π-Cation Radical Complex: Influence of One-Electron Oxidation on Oxygen-Atom Transfer, </w:t>
      </w:r>
      <w:r>
        <w:rPr>
          <w:i/>
          <w:iCs/>
        </w:rPr>
        <w:t>J. Am. Chem. Soc</w:t>
      </w:r>
      <w:r>
        <w:t xml:space="preserve">., 2011, </w:t>
      </w:r>
      <w:r>
        <w:rPr>
          <w:b/>
          <w:bCs/>
        </w:rPr>
        <w:t>133</w:t>
      </w:r>
      <w:r>
        <w:t xml:space="preserve">, 15874-15877. c) J. A. A. W. Elemans and R. J. M. Nolte, Porphyrin cage compounds based on glycoluril–from enzyme mimics to functional molecular machines. </w:t>
      </w:r>
      <w:r>
        <w:rPr>
          <w:i/>
          <w:iCs/>
        </w:rPr>
        <w:t>Chemical Communications</w:t>
      </w:r>
      <w:r>
        <w:t xml:space="preserve"> 2019</w:t>
      </w:r>
      <w:r>
        <w:rPr>
          <w:i/>
          <w:iCs/>
        </w:rPr>
        <w:t>,</w:t>
      </w:r>
      <w:r>
        <w:t> </w:t>
      </w:r>
      <w:r>
        <w:rPr>
          <w:b/>
          <w:bCs/>
        </w:rPr>
        <w:t>55</w:t>
      </w:r>
      <w:r>
        <w:t>, 9590-9605.</w:t>
      </w:r>
    </w:p>
    <w:p w:rsidR="00470846" w:rsidRDefault="00C71C23" w:rsidP="007F3568">
      <w:pPr>
        <w:spacing w:before="240" w:line="276" w:lineRule="auto"/>
        <w:jc w:val="lowKashida"/>
      </w:pPr>
      <w:r>
        <w:t>17. a) G. Zhan, W. Zhong, Z. Wei, Z. Liu, X. Liu, Roles of phenol groups and auxiliary ligand of copper (II) complexes with tetradentate ligands in the aerobic oxidation of benzyl alcohol, </w:t>
      </w:r>
      <w:r>
        <w:rPr>
          <w:i/>
          <w:iCs/>
        </w:rPr>
        <w:t>Dalton Transactions,</w:t>
      </w:r>
      <w:r>
        <w:t xml:space="preserve"> 2017, </w:t>
      </w:r>
      <w:r>
        <w:rPr>
          <w:b/>
          <w:bCs/>
        </w:rPr>
        <w:t>46</w:t>
      </w:r>
      <w:r>
        <w:t>, 8286-8297. b) S. Indira, G. Vinoth, M. Bharathi, S. Bharathi, A. Kalilur Rahiman, and K. Shanmuga Bharathi, Catechol oxidase and phenoxazinone synthase mimicking activities of mononuclear Fe (III) and Co (III) complexes of amino-bis (phenolate)-based mixed ligands: Synthesis, spectral and electrochemical studies. </w:t>
      </w:r>
      <w:r>
        <w:rPr>
          <w:i/>
          <w:iCs/>
        </w:rPr>
        <w:t>Inorganica Chimica Acta</w:t>
      </w:r>
      <w:r>
        <w:t xml:space="preserve">., 2019, </w:t>
      </w:r>
      <w:r>
        <w:rPr>
          <w:b/>
          <w:bCs/>
        </w:rPr>
        <w:t>495</w:t>
      </w:r>
      <w:r>
        <w:t>, 118988.</w:t>
      </w:r>
    </w:p>
    <w:p w:rsidR="00470846" w:rsidRDefault="00C71C23" w:rsidP="007F3568">
      <w:pPr>
        <w:spacing w:before="240" w:line="276" w:lineRule="auto"/>
        <w:jc w:val="lowKashida"/>
      </w:pPr>
      <w:r>
        <w:t>18. a) E. C Monkcom, P. Ghosh, E. Folkertsma, H. A. Negenman, M. Lutz, and R. J. M. Klein Gebbink, Bioinspired Non-Heme Iron Complexes: The Evolution of Facial N, N, O Ligand Design. </w:t>
      </w:r>
      <w:r>
        <w:rPr>
          <w:i/>
          <w:iCs/>
        </w:rPr>
        <w:t>CHIMIA International Journal for Chemistry</w:t>
      </w:r>
      <w:r>
        <w:t xml:space="preserve">, 2020, </w:t>
      </w:r>
      <w:r>
        <w:rPr>
          <w:b/>
          <w:bCs/>
        </w:rPr>
        <w:t>74</w:t>
      </w:r>
      <w:r>
        <w:t>, 450-466. b) L. Hajikhanmirzaei, E. Safaei, A. Wojtczak, Z. Jagličić, New mixed-ligand salicylaldehyde complexes of Mn(III) bis (phenol) di-amine: Synthesis, electronic and magnetic properties. </w:t>
      </w:r>
      <w:r>
        <w:rPr>
          <w:i/>
          <w:iCs/>
        </w:rPr>
        <w:t>Inorganica Chimica Acta,</w:t>
      </w:r>
      <w:r>
        <w:t xml:space="preserve"> 2015, </w:t>
      </w:r>
      <w:r>
        <w:rPr>
          <w:b/>
          <w:bCs/>
        </w:rPr>
        <w:t>430</w:t>
      </w:r>
      <w:r>
        <w:t xml:space="preserve">, 125-131. </w:t>
      </w:r>
    </w:p>
    <w:p w:rsidR="00470846" w:rsidRDefault="00C71C23" w:rsidP="007F3568">
      <w:pPr>
        <w:spacing w:before="240" w:line="276" w:lineRule="auto"/>
        <w:jc w:val="lowKashida"/>
      </w:pPr>
      <w:r>
        <w:t xml:space="preserve">19. a) B. Meunier, </w:t>
      </w:r>
      <w:r>
        <w:rPr>
          <w:rFonts w:cs="Arial"/>
          <w:shd w:val="clear" w:color="auto" w:fill="FFFFFF"/>
        </w:rPr>
        <w:t xml:space="preserve">Metalloporphyrins as versatile catalysts for oxidation reactions and oxidative DNA cleavage, </w:t>
      </w:r>
      <w:r>
        <w:rPr>
          <w:i/>
          <w:iCs/>
        </w:rPr>
        <w:t>Chem. Rev.,</w:t>
      </w:r>
      <w:r>
        <w:t xml:space="preserve"> 1992, 92, 1411. b) B. M. Choudary, M. L. Kantam, B. Bharathi, C. R. V. Reddy, Mn(III) salen complex: an efficient reusable acylation catalyst</w:t>
      </w:r>
      <w:r>
        <w:rPr>
          <w:i/>
          <w:iCs/>
        </w:rPr>
        <w:t>, J. Mol. Catal. A: Chem,</w:t>
      </w:r>
      <w:r>
        <w:t xml:space="preserve"> 2001, </w:t>
      </w:r>
      <w:r>
        <w:rPr>
          <w:b/>
          <w:bCs/>
        </w:rPr>
        <w:t>168</w:t>
      </w:r>
      <w:r>
        <w:t xml:space="preserve">, 69-73. c) J. Balsells, P. J. Carroll, P. J. Walsh, Achiral tetrahydrosalen ligands for the synthesis of C2-symmetric titanium complexes: a structure and diastereoselectivity study, </w:t>
      </w:r>
      <w:r>
        <w:rPr>
          <w:i/>
          <w:iCs/>
        </w:rPr>
        <w:t>Inorg. Chem</w:t>
      </w:r>
      <w:r>
        <w:t xml:space="preserve">., 2001, </w:t>
      </w:r>
      <w:r>
        <w:rPr>
          <w:b/>
          <w:bCs/>
        </w:rPr>
        <w:t>40</w:t>
      </w:r>
      <w:r>
        <w:t xml:space="preserve">, 5568-5574. d) L. Cavallo, H. Jacobsen, Electronic effects in (salen) Mn-based epoxidation catalysts, </w:t>
      </w:r>
      <w:r>
        <w:rPr>
          <w:i/>
          <w:iCs/>
        </w:rPr>
        <w:t xml:space="preserve">J. Org. Chem. </w:t>
      </w:r>
      <w:r>
        <w:t xml:space="preserve">2003, </w:t>
      </w:r>
      <w:r>
        <w:rPr>
          <w:b/>
          <w:bCs/>
        </w:rPr>
        <w:t>68</w:t>
      </w:r>
      <w:r>
        <w:t>, 6202.</w:t>
      </w:r>
    </w:p>
    <w:p w:rsidR="00470846" w:rsidRDefault="00C71C23" w:rsidP="007F3568">
      <w:pPr>
        <w:spacing w:before="240" w:line="276" w:lineRule="auto"/>
        <w:jc w:val="lowKashida"/>
      </w:pPr>
      <w:r>
        <w:t>20. a) I. Saberikia, E. Safaei, B. Karimi, Y. I. Lee, Oxygenation of sulfides catalysed by SBA‐15‐immobilized molybdenum(VI) complex of a bis (phenol) diamine ligand using aqueous hydrogen peroxide as a green oxidant</w:t>
      </w:r>
      <w:r>
        <w:rPr>
          <w:i/>
          <w:iCs/>
        </w:rPr>
        <w:t>. Applied Organometallic Chemistry</w:t>
      </w:r>
      <w:r>
        <w:t xml:space="preserve">, 2018, </w:t>
      </w:r>
      <w:r>
        <w:rPr>
          <w:b/>
          <w:bCs/>
        </w:rPr>
        <w:t>32</w:t>
      </w:r>
      <w:r>
        <w:t>, e4304.</w:t>
      </w:r>
      <w:r>
        <w:rPr>
          <w:rFonts w:cs="Arial"/>
          <w:shd w:val="clear" w:color="auto" w:fill="FFFFFF"/>
        </w:rPr>
        <w:t xml:space="preserve"> b)</w:t>
      </w:r>
      <w:r>
        <w:t xml:space="preserve"> M. T. P. da Silva, J. Villarroel-Rocha, C. F. Toncón-Leal, F. Fernandes Barbosa, M. Oliveira Miranda, M. A. Morales Torres, K. Sapag, S. BC Pergher, and T. Pinheiro Braga, Textural and photocatalytic characteristics of iron-cobalt based nanocomposites supported on SBA-15: Synergistic effect between Fe</w:t>
      </w:r>
      <w:r>
        <w:rPr>
          <w:vertAlign w:val="superscript"/>
        </w:rPr>
        <w:t>2+</w:t>
      </w:r>
      <w:r>
        <w:t xml:space="preserve"> and Fe</w:t>
      </w:r>
      <w:r>
        <w:rPr>
          <w:vertAlign w:val="superscript"/>
        </w:rPr>
        <w:t>0</w:t>
      </w:r>
      <w:r>
        <w:t xml:space="preserve"> on photoactivity. </w:t>
      </w:r>
      <w:r>
        <w:rPr>
          <w:i/>
          <w:iCs/>
        </w:rPr>
        <w:t>Microporous and Mesoporous Materials</w:t>
      </w:r>
      <w:r>
        <w:t xml:space="preserve">, 2021, </w:t>
      </w:r>
      <w:r>
        <w:rPr>
          <w:b/>
          <w:bCs/>
        </w:rPr>
        <w:t>310</w:t>
      </w:r>
      <w:r>
        <w:t>, 110582.</w:t>
      </w:r>
    </w:p>
    <w:p w:rsidR="00470846" w:rsidRDefault="00C71C23" w:rsidP="007F3568">
      <w:pPr>
        <w:spacing w:before="240" w:line="276" w:lineRule="auto"/>
        <w:jc w:val="lowKashida"/>
      </w:pPr>
      <w:r>
        <w:t>21. a) T. Karimpour, E. Safaei, B. Karimi, Y. I. Lee, Iron (III) Amine Bis (phenolate) Complex Immobilized on Silica‐Coated Magnetic Nanoparticles: A Highly Efficient Catalyst for the Oxidation of Alcohols and Sulfides. </w:t>
      </w:r>
      <w:r>
        <w:rPr>
          <w:i/>
          <w:iCs/>
        </w:rPr>
        <w:t>ChemCatChem</w:t>
      </w:r>
      <w:r>
        <w:t xml:space="preserve">, 2018, </w:t>
      </w:r>
      <w:r>
        <w:rPr>
          <w:b/>
          <w:bCs/>
        </w:rPr>
        <w:t>10</w:t>
      </w:r>
      <w:r>
        <w:t>, 1889-1899. (Highlighted, Yasuhiro Uozumi, Anggi Eka Putra, Synfacts 01082019, 15(08), 0918). b)</w:t>
      </w:r>
      <w:r>
        <w:rPr>
          <w:rFonts w:cs="Arial"/>
          <w:shd w:val="clear" w:color="auto" w:fill="FFFFFF"/>
        </w:rPr>
        <w:t xml:space="preserve"> </w:t>
      </w:r>
      <w:r>
        <w:t>T. Karimpour, E. Safaei, B. Karimi, A supported manganese complex with amine-bis (phenol) ligand for catalytic benzylic C (sp 3)–H bond oxidation. </w:t>
      </w:r>
      <w:r>
        <w:rPr>
          <w:i/>
          <w:iCs/>
        </w:rPr>
        <w:t>RSC advances</w:t>
      </w:r>
      <w:r>
        <w:t xml:space="preserve">, 2019, </w:t>
      </w:r>
      <w:r>
        <w:rPr>
          <w:b/>
          <w:bCs/>
        </w:rPr>
        <w:t>9</w:t>
      </w:r>
      <w:r>
        <w:t xml:space="preserve">,14343-14351. c) M. Ghobadi, M. Kargar Razi, R. Javahershenas, and M. Kazemi, Nanomagnetic reusable catalysts in organic synthesis, </w:t>
      </w:r>
      <w:r>
        <w:rPr>
          <w:i/>
          <w:iCs/>
        </w:rPr>
        <w:t>Synthetic Communications</w:t>
      </w:r>
      <w:r>
        <w:t xml:space="preserve">, 2021, </w:t>
      </w:r>
      <w:r>
        <w:rPr>
          <w:b/>
          <w:bCs/>
        </w:rPr>
        <w:t>51</w:t>
      </w:r>
      <w:r>
        <w:t>, 647-669.</w:t>
      </w:r>
    </w:p>
    <w:p w:rsidR="00470846" w:rsidRDefault="00C71C23" w:rsidP="007F3568">
      <w:pPr>
        <w:spacing w:before="240" w:line="276" w:lineRule="auto"/>
        <w:jc w:val="lowKashida"/>
      </w:pPr>
      <w:r>
        <w:t>22. a) Q. Zhang, X. Yang, J. Guan, Applications of Magnetic Nanomaterials in Heterogeneous Catalysis, </w:t>
      </w:r>
      <w:r>
        <w:rPr>
          <w:i/>
          <w:iCs/>
        </w:rPr>
        <w:t>ACS Applied Nano Materials</w:t>
      </w:r>
      <w:r>
        <w:t xml:space="preserve">, 2019, </w:t>
      </w:r>
      <w:r>
        <w:rPr>
          <w:b/>
          <w:bCs/>
        </w:rPr>
        <w:t>2</w:t>
      </w:r>
      <w:r>
        <w:t>, 4681-4697. b) P. Mohammadpour, E. Safaei, Catalytic C–H aerobic and oxidant-induced oxidation of alkylbenzenes (including toluene derivatives) over VO</w:t>
      </w:r>
      <w:r>
        <w:rPr>
          <w:vertAlign w:val="superscript"/>
        </w:rPr>
        <w:t>2+</w:t>
      </w:r>
      <w:r>
        <w:t xml:space="preserve"> immobilized on core–shell Fe</w:t>
      </w:r>
      <w:r>
        <w:rPr>
          <w:vertAlign w:val="subscript"/>
        </w:rPr>
        <w:t>3</w:t>
      </w:r>
      <w:r>
        <w:t>O</w:t>
      </w:r>
      <w:r>
        <w:rPr>
          <w:vertAlign w:val="subscript"/>
        </w:rPr>
        <w:t>4</w:t>
      </w:r>
      <w:r>
        <w:t>@SiO</w:t>
      </w:r>
      <w:r>
        <w:rPr>
          <w:vertAlign w:val="subscript"/>
        </w:rPr>
        <w:t>2</w:t>
      </w:r>
      <w:r>
        <w:t xml:space="preserve"> at room temperature in water. </w:t>
      </w:r>
      <w:r>
        <w:rPr>
          <w:i/>
          <w:iCs/>
        </w:rPr>
        <w:t>RSC Advances,</w:t>
      </w:r>
      <w:r>
        <w:t xml:space="preserve"> 2020, </w:t>
      </w:r>
      <w:r>
        <w:rPr>
          <w:b/>
          <w:bCs/>
        </w:rPr>
        <w:t>10</w:t>
      </w:r>
      <w:r>
        <w:t>, 23543-23553. (This manuscript selected as highlighted paper in the field of Polymer-Supported Synthesis: SYNFACTS Contributors: Yasuhiro Uozumi, Shota Mizuno SYNFACTS 01092020, 16(09), 1088 Published online: 18.08.20201861-19581861-194X DOI: 10.1055/s-0040-1706755; Reg-No.: Y07820SF Georg T).</w:t>
      </w:r>
    </w:p>
    <w:p w:rsidR="00470846" w:rsidRDefault="00C71C23" w:rsidP="007F3568">
      <w:pPr>
        <w:spacing w:before="240" w:line="276" w:lineRule="auto"/>
        <w:jc w:val="lowKashida"/>
      </w:pPr>
      <w:r>
        <w:t>23. Y. Liu, W. Zhang, X. Li, X. Le, J. Ma, Catalysis of the hydro-dechlorination of 4-chlorophenol and the reduction of 4-nitrophenol by Pd/Fe</w:t>
      </w:r>
      <w:r>
        <w:rPr>
          <w:vertAlign w:val="subscript"/>
        </w:rPr>
        <w:t>3</w:t>
      </w:r>
      <w:r>
        <w:t>O</w:t>
      </w:r>
      <w:r>
        <w:rPr>
          <w:vertAlign w:val="subscript"/>
        </w:rPr>
        <w:t>4</w:t>
      </w:r>
      <w:r>
        <w:t>@ SiO</w:t>
      </w:r>
      <w:r>
        <w:rPr>
          <w:vertAlign w:val="subscript"/>
        </w:rPr>
        <w:t>2</w:t>
      </w:r>
      <w:r>
        <w:t>@ m-SiO</w:t>
      </w:r>
      <w:r>
        <w:rPr>
          <w:vertAlign w:val="subscript"/>
        </w:rPr>
        <w:t>2</w:t>
      </w:r>
      <w:r>
        <w:t xml:space="preserve">, </w:t>
      </w:r>
      <w:r>
        <w:rPr>
          <w:i/>
          <w:iCs/>
        </w:rPr>
        <w:t>New J. Chem</w:t>
      </w:r>
      <w:r>
        <w:t xml:space="preserve">., 2015, </w:t>
      </w:r>
      <w:r>
        <w:rPr>
          <w:b/>
          <w:bCs/>
        </w:rPr>
        <w:t>39</w:t>
      </w:r>
      <w:r>
        <w:t>, 6474–6481.</w:t>
      </w:r>
    </w:p>
    <w:p w:rsidR="00470846" w:rsidRDefault="00C71C23" w:rsidP="007F3568">
      <w:pPr>
        <w:spacing w:before="240" w:line="276" w:lineRule="auto"/>
        <w:jc w:val="lowKashida"/>
      </w:pPr>
      <w:r>
        <w:t xml:space="preserve">24. A. P. Grosvenor, B. A. Kobe, M.C. Biesinger, N. S. McIntyre, Investigation of multiplet splitting of Fe 2p XPS spectra and bonding in iron compounds. Surface and Interface Analysis: An International Journal devoted to the development and application of techniques for the analysis of surfaces, </w:t>
      </w:r>
      <w:r>
        <w:rPr>
          <w:i/>
          <w:iCs/>
        </w:rPr>
        <w:t>interfaces and thin films</w:t>
      </w:r>
      <w:r>
        <w:t>, 2004, 36, 1564-1574.</w:t>
      </w:r>
    </w:p>
    <w:p w:rsidR="00470846" w:rsidRDefault="00C71C23" w:rsidP="007F3568">
      <w:pPr>
        <w:spacing w:before="240" w:line="276" w:lineRule="auto"/>
        <w:jc w:val="lowKashida"/>
      </w:pPr>
      <w:r>
        <w:t xml:space="preserve">25. L. Chen, X. Peng, J. Liu, J. Li, F. Wu, Decolorization of orange II in aqueous solution by an Fe(II)/sulfite system: replacement of persulfate, </w:t>
      </w:r>
      <w:r>
        <w:rPr>
          <w:i/>
          <w:iCs/>
        </w:rPr>
        <w:t>Ind. Eng. Chem. Res.</w:t>
      </w:r>
      <w:r>
        <w:t xml:space="preserve"> 2012, </w:t>
      </w:r>
      <w:r>
        <w:rPr>
          <w:b/>
          <w:bCs/>
        </w:rPr>
        <w:t>51</w:t>
      </w:r>
      <w:r>
        <w:t>, 13632–13638.</w:t>
      </w:r>
    </w:p>
    <w:p w:rsidR="00470846" w:rsidRDefault="00C71C23" w:rsidP="007F3568">
      <w:pPr>
        <w:spacing w:before="240" w:line="276" w:lineRule="auto"/>
        <w:jc w:val="lowKashida"/>
      </w:pPr>
      <w:r>
        <w:t>26. R. O. C. Norman and P. M. Storey, Electron spin resonance studies. Part XXXI. The generation, and some reactions, of the radicals SO</w:t>
      </w:r>
      <w:r>
        <w:rPr>
          <w:vertAlign w:val="subscript"/>
        </w:rPr>
        <w:t>3</w:t>
      </w:r>
      <w:r>
        <w:rPr>
          <w:vertAlign w:val="superscript"/>
        </w:rPr>
        <w:t>–·</w:t>
      </w:r>
      <w:r>
        <w:t>, S</w:t>
      </w:r>
      <w:r>
        <w:rPr>
          <w:vertAlign w:val="subscript"/>
        </w:rPr>
        <w:t>2</w:t>
      </w:r>
      <w:r>
        <w:t>O</w:t>
      </w:r>
      <w:r>
        <w:rPr>
          <w:vertAlign w:val="subscript"/>
        </w:rPr>
        <w:t>3</w:t>
      </w:r>
      <w:r>
        <w:rPr>
          <w:vertAlign w:val="superscript"/>
        </w:rPr>
        <w:t>–·</w:t>
      </w:r>
      <w:r>
        <w:t>, S</w:t>
      </w:r>
      <w:r>
        <w:rPr>
          <w:vertAlign w:val="superscript"/>
        </w:rPr>
        <w:t>–·</w:t>
      </w:r>
      <w:r>
        <w:t xml:space="preserve">, and SH in aqueous solution, </w:t>
      </w:r>
      <w:r>
        <w:rPr>
          <w:i/>
          <w:iCs/>
        </w:rPr>
        <w:t>J. Chem. Soc. B</w:t>
      </w:r>
      <w:r>
        <w:t>, 1971, 1009-1013.</w:t>
      </w:r>
    </w:p>
    <w:p w:rsidR="00470846" w:rsidRDefault="00C71C23" w:rsidP="007F3568">
      <w:pPr>
        <w:spacing w:before="240" w:line="276" w:lineRule="auto"/>
        <w:jc w:val="lowKashida"/>
      </w:pPr>
      <w:r>
        <w:t xml:space="preserve">27. a) T. Ozawa, M. Setaka, T. Kwan, ESR studies of the sulfite radical anion, </w:t>
      </w:r>
      <w:r>
        <w:rPr>
          <w:i/>
          <w:iCs/>
        </w:rPr>
        <w:t>Bull. Chem. Soc. Jpn.</w:t>
      </w:r>
      <w:r>
        <w:t xml:space="preserve">, 1971, </w:t>
      </w:r>
      <w:r>
        <w:rPr>
          <w:b/>
          <w:bCs/>
        </w:rPr>
        <w:t>44</w:t>
      </w:r>
      <w:r>
        <w:t xml:space="preserve">, 3473–3474; b) T. Ozawa, M. Setaka, H. Yamamoto and T. Kwan, On the Reaction of the Sulfite Radical Anions with Thioureas, </w:t>
      </w:r>
      <w:r>
        <w:rPr>
          <w:i/>
          <w:iCs/>
        </w:rPr>
        <w:t>Chem. Pharm. Bull</w:t>
      </w:r>
      <w:r>
        <w:t xml:space="preserve">., 1974, </w:t>
      </w:r>
      <w:r>
        <w:rPr>
          <w:b/>
          <w:bCs/>
        </w:rPr>
        <w:t>22</w:t>
      </w:r>
      <w:r>
        <w:t xml:space="preserve">, 962–964. c) T. Ozawa, T. Kwan, Esr evidence for the formation of new vinyl radicals in solution, </w:t>
      </w:r>
      <w:r>
        <w:rPr>
          <w:i/>
          <w:iCs/>
        </w:rPr>
        <w:t>J. Chem. Soc., Chem. Commun</w:t>
      </w:r>
      <w:r>
        <w:t xml:space="preserve">., 1983, </w:t>
      </w:r>
      <w:r>
        <w:rPr>
          <w:b/>
          <w:bCs/>
        </w:rPr>
        <w:t>2</w:t>
      </w:r>
      <w:r>
        <w:t>, 80–81.</w:t>
      </w:r>
    </w:p>
    <w:p w:rsidR="00470846" w:rsidRDefault="00C71C23" w:rsidP="007F3568">
      <w:pPr>
        <w:spacing w:before="240" w:line="276" w:lineRule="auto"/>
        <w:jc w:val="lowKashida"/>
      </w:pPr>
      <w:r>
        <w:t>28. P. A. Siskos, N. C. Peterson, R. E. Huie, Kinetics of the manganese (III)-sulfur (IV) reaction in aqueous perchloric acid solutions</w:t>
      </w:r>
      <w:r>
        <w:rPr>
          <w:i/>
          <w:iCs/>
        </w:rPr>
        <w:t>, Inorg. Chem</w:t>
      </w:r>
      <w:r>
        <w:t xml:space="preserve">., 1984, </w:t>
      </w:r>
      <w:r>
        <w:rPr>
          <w:b/>
          <w:bCs/>
        </w:rPr>
        <w:t>23</w:t>
      </w:r>
      <w:r>
        <w:t>, 1134–1137.</w:t>
      </w:r>
    </w:p>
    <w:p w:rsidR="00470846" w:rsidRDefault="00C71C23" w:rsidP="007F3568">
      <w:pPr>
        <w:spacing w:before="240" w:line="276" w:lineRule="auto"/>
        <w:jc w:val="lowKashida"/>
      </w:pPr>
      <w:r>
        <w:t xml:space="preserve">29. a) R. S. Murray, Reinvestigation of the reaction between hexacyanoferrate(III) and sulphite ions, </w:t>
      </w:r>
      <w:r>
        <w:rPr>
          <w:i/>
          <w:iCs/>
        </w:rPr>
        <w:t>J. Chem. Soc., Dalton Trans.,</w:t>
      </w:r>
      <w:r>
        <w:t xml:space="preserve"> 1974, 2381–2383. b) D. W. Carlyle, Electron transfer between sulfur (IV) and tris (1, 10-phenanthroline) iron (III) ion in aqueous solution</w:t>
      </w:r>
      <w:r>
        <w:rPr>
          <w:i/>
          <w:iCs/>
        </w:rPr>
        <w:t>, J. Am. Chem. Soc</w:t>
      </w:r>
      <w:r>
        <w:t xml:space="preserve">., 1972, </w:t>
      </w:r>
      <w:r>
        <w:rPr>
          <w:b/>
          <w:bCs/>
        </w:rPr>
        <w:t>94</w:t>
      </w:r>
      <w:r>
        <w:t>, 4525–4529.</w:t>
      </w:r>
    </w:p>
    <w:p w:rsidR="00470846" w:rsidRDefault="00C71C23" w:rsidP="007F3568">
      <w:pPr>
        <w:spacing w:before="240" w:line="276" w:lineRule="auto"/>
        <w:jc w:val="lowKashida"/>
      </w:pPr>
      <w:r>
        <w:t>30. R. E. Huie, P. Neta, Oxidation of ascorbate and a tocopherol analogue by the sulfite-derived radicals O</w:t>
      </w:r>
      <w:r>
        <w:rPr>
          <w:vertAlign w:val="subscript"/>
        </w:rPr>
        <w:t>3</w:t>
      </w:r>
      <w:r>
        <w:rPr>
          <w:vertAlign w:val="superscript"/>
        </w:rPr>
        <w:t>−</w:t>
      </w:r>
      <w:r>
        <w:t xml:space="preserve"> and O</w:t>
      </w:r>
      <w:r>
        <w:rPr>
          <w:vertAlign w:val="subscript"/>
        </w:rPr>
        <w:t>3</w:t>
      </w:r>
      <w:r>
        <w:rPr>
          <w:vertAlign w:val="superscript"/>
        </w:rPr>
        <w:t>−</w:t>
      </w:r>
      <w:r>
        <w:t xml:space="preserve">, </w:t>
      </w:r>
      <w:r>
        <w:rPr>
          <w:i/>
          <w:iCs/>
        </w:rPr>
        <w:t>Chem. Biol. Interact</w:t>
      </w:r>
      <w:r>
        <w:t xml:space="preserve">., 1985, </w:t>
      </w:r>
      <w:r>
        <w:rPr>
          <w:b/>
          <w:bCs/>
        </w:rPr>
        <w:t>53</w:t>
      </w:r>
      <w:r>
        <w:t>, 233–238.</w:t>
      </w:r>
    </w:p>
    <w:p w:rsidR="00470846" w:rsidRDefault="00C71C23" w:rsidP="007F3568">
      <w:pPr>
        <w:spacing w:before="240" w:line="276" w:lineRule="auto"/>
        <w:jc w:val="lowKashida"/>
      </w:pPr>
      <w:r>
        <w:t xml:space="preserve">31. H. Hussain, I. R. Green and I. Ahmed, Journey describing applications of oxone in synthetic chemistry, </w:t>
      </w:r>
      <w:r>
        <w:rPr>
          <w:i/>
          <w:iCs/>
        </w:rPr>
        <w:t>Chem. Rev.,</w:t>
      </w:r>
      <w:r>
        <w:t xml:space="preserve"> 2013, </w:t>
      </w:r>
      <w:r>
        <w:rPr>
          <w:b/>
          <w:bCs/>
        </w:rPr>
        <w:t>113</w:t>
      </w:r>
      <w:r>
        <w:t>, 3329–3371.</w:t>
      </w:r>
    </w:p>
    <w:p w:rsidR="00470846" w:rsidRDefault="00C71C23" w:rsidP="007F3568">
      <w:pPr>
        <w:spacing w:before="240" w:line="276" w:lineRule="auto"/>
        <w:jc w:val="lowKashida"/>
      </w:pPr>
      <w:r>
        <w:t xml:space="preserve">32. a) Y. Song, C.-H. Yang, R. Kluger, Monooxygenase-like activity of methemoglobin with sodium sulfite as an efficient reductant, </w:t>
      </w:r>
      <w:r>
        <w:rPr>
          <w:i/>
          <w:iCs/>
        </w:rPr>
        <w:t>J. Am. Chem. Soc.,</w:t>
      </w:r>
      <w:r>
        <w:t xml:space="preserve"> 1993, </w:t>
      </w:r>
      <w:r>
        <w:rPr>
          <w:b/>
          <w:bCs/>
        </w:rPr>
        <w:t>115</w:t>
      </w:r>
      <w:r>
        <w:t>, 4365–4366. b) K. Wietzerbin, J. G. Muller, R. A. Jameton, G. Pratviel, J. Bernadou, B. Meunier, C. J. Burrows, Hydroxylation, Epoxidation, and DNA Cleavage Reactions Mediated by the Biomimetic Mn-TMPyP/O</w:t>
      </w:r>
      <w:r>
        <w:rPr>
          <w:vertAlign w:val="subscript"/>
        </w:rPr>
        <w:t>2</w:t>
      </w:r>
      <w:r>
        <w:t xml:space="preserve">/Sulfite Oxidation System, </w:t>
      </w:r>
      <w:r>
        <w:rPr>
          <w:i/>
          <w:iCs/>
        </w:rPr>
        <w:t>Inorg. Chem.,</w:t>
      </w:r>
      <w:r>
        <w:t xml:space="preserve"> 1999, </w:t>
      </w:r>
      <w:r>
        <w:rPr>
          <w:b/>
          <w:bCs/>
        </w:rPr>
        <w:t>38</w:t>
      </w:r>
      <w:r>
        <w:t>, 4123–4127. c) A. Rubinstein, R. Carmelib, R. Neumann, Formation of persulphate from sodium sulphite and molecular oxygen catalysed by H</w:t>
      </w:r>
      <w:r>
        <w:rPr>
          <w:vertAlign w:val="subscript"/>
        </w:rPr>
        <w:t>5</w:t>
      </w:r>
      <w:r>
        <w:t>PV</w:t>
      </w:r>
      <w:r>
        <w:rPr>
          <w:vertAlign w:val="subscript"/>
        </w:rPr>
        <w:t>2</w:t>
      </w:r>
      <w:r>
        <w:t>Mo</w:t>
      </w:r>
      <w:r>
        <w:rPr>
          <w:vertAlign w:val="subscript"/>
        </w:rPr>
        <w:t>10</w:t>
      </w:r>
      <w:r>
        <w:t>O</w:t>
      </w:r>
      <w:r>
        <w:rPr>
          <w:vertAlign w:val="subscript"/>
        </w:rPr>
        <w:t>40</w:t>
      </w:r>
      <w:r>
        <w:t xml:space="preserve">–aerobic epoxidation and hydrolysis, </w:t>
      </w:r>
      <w:r>
        <w:rPr>
          <w:i/>
          <w:iCs/>
        </w:rPr>
        <w:t>Chem. Commun</w:t>
      </w:r>
      <w:r>
        <w:t>.,</w:t>
      </w:r>
      <w:r>
        <w:rPr>
          <w:b/>
          <w:bCs/>
          <w:i/>
          <w:iCs/>
        </w:rPr>
        <w:t xml:space="preserve"> </w:t>
      </w:r>
      <w:r>
        <w:t xml:space="preserve">2014, </w:t>
      </w:r>
      <w:r>
        <w:rPr>
          <w:b/>
          <w:bCs/>
        </w:rPr>
        <w:t>50</w:t>
      </w:r>
      <w:r>
        <w:t>, 13247-13249.</w:t>
      </w:r>
    </w:p>
    <w:p w:rsidR="00470846" w:rsidRDefault="00C71C23" w:rsidP="007F3568">
      <w:pPr>
        <w:spacing w:before="240" w:line="276" w:lineRule="auto"/>
        <w:jc w:val="lowKashida"/>
      </w:pPr>
      <w:r>
        <w:t>33. A. L. Balch, Y.-W. Chan, R.-J. Cheng, G. N. La Mar, L. Latos-Grazynski, M. W. Renner, Oxygenation patterns for iron(II) porphyrins. Peroxo and ferryl (Fe</w:t>
      </w:r>
      <w:r>
        <w:rPr>
          <w:vertAlign w:val="superscript"/>
        </w:rPr>
        <w:t>IV</w:t>
      </w:r>
      <w:r>
        <w:t xml:space="preserve">O) intermediates detected by proton nuclear magnetic resonance spectroscopy during the oxygenation of (tetramesitylporphyrin) iron (II), </w:t>
      </w:r>
      <w:r>
        <w:rPr>
          <w:i/>
          <w:iCs/>
        </w:rPr>
        <w:t>J. Am. Chem. Soc.,</w:t>
      </w:r>
      <w:r>
        <w:t xml:space="preserve"> 1984, </w:t>
      </w:r>
      <w:r>
        <w:rPr>
          <w:b/>
          <w:bCs/>
        </w:rPr>
        <w:t>106</w:t>
      </w:r>
      <w:r>
        <w:t>, 7779-7785.</w:t>
      </w:r>
    </w:p>
    <w:p w:rsidR="00470846" w:rsidRDefault="00C71C23" w:rsidP="007F3568">
      <w:pPr>
        <w:spacing w:before="240" w:line="276" w:lineRule="auto"/>
        <w:jc w:val="lowKashida"/>
      </w:pPr>
      <w:r>
        <w:t>34. P.M. Wood, The potential diagram for oxygen at pH7, </w:t>
      </w:r>
      <w:r>
        <w:rPr>
          <w:i/>
          <w:iCs/>
        </w:rPr>
        <w:t>Biochemical Journal</w:t>
      </w:r>
      <w:r>
        <w:t xml:space="preserve">, 1988, </w:t>
      </w:r>
      <w:r>
        <w:rPr>
          <w:b/>
          <w:bCs/>
        </w:rPr>
        <w:t>253</w:t>
      </w:r>
      <w:r>
        <w:t>, 287-289.</w:t>
      </w:r>
    </w:p>
    <w:p w:rsidR="00470846" w:rsidRDefault="00C71C23" w:rsidP="007F3568">
      <w:pPr>
        <w:spacing w:before="240" w:line="276" w:lineRule="auto"/>
        <w:jc w:val="lowKashida"/>
      </w:pPr>
      <w:r>
        <w:t xml:space="preserve">35. a) I. Fridovich, P. Handler, Detection of free radicals in illuminated dye solutions by the initiation of sulfite oxidation, </w:t>
      </w:r>
      <w:r>
        <w:rPr>
          <w:i/>
          <w:iCs/>
        </w:rPr>
        <w:t>J. Biol. Chem.,</w:t>
      </w:r>
      <w:r>
        <w:t xml:space="preserve"> 1960, </w:t>
      </w:r>
      <w:r>
        <w:rPr>
          <w:b/>
          <w:bCs/>
        </w:rPr>
        <w:t>235</w:t>
      </w:r>
      <w:r>
        <w:t>, 1835-1838. b) E. Hayon, A.</w:t>
      </w:r>
      <w:r>
        <w:rPr>
          <w:b/>
          <w:bCs/>
        </w:rPr>
        <w:t xml:space="preserve"> </w:t>
      </w:r>
      <w:r>
        <w:t xml:space="preserve">Treinin, J. Waf, </w:t>
      </w:r>
      <w:r>
        <w:rPr>
          <w:i/>
          <w:iCs/>
        </w:rPr>
        <w:t>J. Am. Chem. Soc</w:t>
      </w:r>
      <w:r>
        <w:t>.,</w:t>
      </w:r>
      <w:r>
        <w:rPr>
          <w:b/>
          <w:bCs/>
          <w:i/>
          <w:iCs/>
        </w:rPr>
        <w:t xml:space="preserve"> </w:t>
      </w:r>
      <w:r>
        <w:t xml:space="preserve">1972, </w:t>
      </w:r>
      <w:r>
        <w:rPr>
          <w:b/>
          <w:bCs/>
        </w:rPr>
        <w:t>94</w:t>
      </w:r>
      <w:r>
        <w:t>, 47-57.</w:t>
      </w:r>
    </w:p>
    <w:p w:rsidR="00470846" w:rsidRDefault="00C71C23" w:rsidP="007F3568">
      <w:pPr>
        <w:spacing w:before="240" w:line="276" w:lineRule="auto"/>
        <w:jc w:val="lowKashida"/>
        <w:rPr>
          <w:b/>
          <w:bCs/>
        </w:rPr>
      </w:pPr>
      <w:r>
        <w:t xml:space="preserve">36. T. E. Eriksen, pH Effects on the pulse radiolysis of deoxygenated aqueous solutions of sulphur dioxide, </w:t>
      </w:r>
      <w:r>
        <w:rPr>
          <w:i/>
          <w:iCs/>
        </w:rPr>
        <w:t>J. Chem. Soc. Faraday Trans</w:t>
      </w:r>
      <w:r>
        <w:t>,</w:t>
      </w:r>
      <w:r>
        <w:rPr>
          <w:i/>
          <w:iCs/>
        </w:rPr>
        <w:t xml:space="preserve"> </w:t>
      </w:r>
      <w:r>
        <w:t xml:space="preserve">1974, </w:t>
      </w:r>
      <w:r>
        <w:rPr>
          <w:b/>
          <w:bCs/>
        </w:rPr>
        <w:t>70</w:t>
      </w:r>
      <w:r>
        <w:t>, 208-215.</w:t>
      </w:r>
    </w:p>
    <w:p w:rsidR="00470846" w:rsidRDefault="00C71C23" w:rsidP="007F3568">
      <w:pPr>
        <w:spacing w:before="240" w:line="276" w:lineRule="auto"/>
        <w:jc w:val="lowKashida"/>
      </w:pPr>
      <w:r>
        <w:t xml:space="preserve">37. a) G. Katona, P. Carpentier, V. Nivière, P. Amara, V. Adam, J. Ohana, N. Tsanov, D. Bourgeois, Raman-assisted crystallography reveals end-on peroxide intermediates in a nonheme iron enzyme, </w:t>
      </w:r>
      <w:r>
        <w:rPr>
          <w:i/>
          <w:iCs/>
        </w:rPr>
        <w:t>Science</w:t>
      </w:r>
      <w:r>
        <w:t xml:space="preserve">, 2007, </w:t>
      </w:r>
      <w:r>
        <w:rPr>
          <w:b/>
          <w:bCs/>
        </w:rPr>
        <w:t>316</w:t>
      </w:r>
      <w:r>
        <w:t>, 449-453. b) E. G. Kovaleva, J. D. Lipscomb, Crystal structures of Fe</w:t>
      </w:r>
      <w:r>
        <w:rPr>
          <w:vertAlign w:val="superscript"/>
        </w:rPr>
        <w:t>2+</w:t>
      </w:r>
      <w:r>
        <w:t xml:space="preserve"> dioxygenase superoxo, alkylperoxo, and bound product intermediates, </w:t>
      </w:r>
      <w:r>
        <w:rPr>
          <w:i/>
          <w:iCs/>
        </w:rPr>
        <w:t>Science</w:t>
      </w:r>
      <w:r>
        <w:t xml:space="preserve">, 2007, </w:t>
      </w:r>
      <w:r>
        <w:rPr>
          <w:b/>
          <w:bCs/>
        </w:rPr>
        <w:t>316</w:t>
      </w:r>
      <w:r>
        <w:t>, 453-457.</w:t>
      </w:r>
    </w:p>
    <w:p w:rsidR="00470846" w:rsidRDefault="00C71C23" w:rsidP="007F3568">
      <w:pPr>
        <w:spacing w:before="240" w:line="276" w:lineRule="auto"/>
        <w:jc w:val="lowKashida"/>
      </w:pPr>
      <w:r>
        <w:t xml:space="preserve">38. a) M. Costas, M. P. Mehn, M. P. Jensen, L. Que, Dioxygen activation at mononuclear nonheme iron active sites: enzymes, models, and intermediates, </w:t>
      </w:r>
      <w:r>
        <w:rPr>
          <w:i/>
          <w:iCs/>
        </w:rPr>
        <w:t>L. Chem. Rev</w:t>
      </w:r>
      <w:r>
        <w:t xml:space="preserve">., 2004, </w:t>
      </w:r>
      <w:r>
        <w:rPr>
          <w:b/>
          <w:bCs/>
        </w:rPr>
        <w:t>104</w:t>
      </w:r>
      <w:r>
        <w:t xml:space="preserve">, 939-986. (b) L. Que, The road to non-heme oxoferryls and beyond, </w:t>
      </w:r>
      <w:r>
        <w:rPr>
          <w:i/>
          <w:iCs/>
        </w:rPr>
        <w:t>Acc. Chem. Res.,</w:t>
      </w:r>
      <w:r>
        <w:t xml:space="preserve"> 2007, </w:t>
      </w:r>
      <w:r>
        <w:rPr>
          <w:b/>
          <w:bCs/>
        </w:rPr>
        <w:t>40</w:t>
      </w:r>
      <w:r>
        <w:t>, 493.</w:t>
      </w:r>
    </w:p>
    <w:p w:rsidR="00470846" w:rsidRDefault="00C71C23" w:rsidP="007F3568">
      <w:pPr>
        <w:spacing w:before="240" w:line="276" w:lineRule="auto"/>
        <w:jc w:val="lowKashida"/>
      </w:pPr>
      <w:r>
        <w:t xml:space="preserve">39. J. M. Smith, D. E. Mayberry, C. G. Margarit, J. Sutter, H. Wang, K. Meyer, R. P. Bontchev, N-O Bond Homolysis of an Iron(II) TEMPO Complex Yields an Iron(III) Oxo Intermediate, </w:t>
      </w:r>
      <w:r>
        <w:rPr>
          <w:i/>
          <w:iCs/>
        </w:rPr>
        <w:t>J. Am. Chem. Soc.,</w:t>
      </w:r>
      <w:r>
        <w:t xml:space="preserve"> 2012, </w:t>
      </w:r>
      <w:r>
        <w:rPr>
          <w:b/>
          <w:bCs/>
        </w:rPr>
        <w:t>134</w:t>
      </w:r>
      <w:r>
        <w:t>, 6516−6519.</w:t>
      </w:r>
    </w:p>
    <w:p w:rsidR="00470846" w:rsidRDefault="00C71C23" w:rsidP="007F3568">
      <w:pPr>
        <w:spacing w:before="240" w:line="276" w:lineRule="auto"/>
        <w:jc w:val="lowKashida"/>
      </w:pPr>
      <w:r>
        <w:t>40. Gaussian 16, Revision B.01, M. J. Frisch, et al. Gaussian, Inc., Wallington CT, 2016.</w:t>
      </w:r>
    </w:p>
    <w:p w:rsidR="00470846" w:rsidRDefault="00C71C23" w:rsidP="007F3568">
      <w:pPr>
        <w:spacing w:before="240" w:line="276" w:lineRule="auto"/>
        <w:jc w:val="lowKashida"/>
      </w:pPr>
      <w:r>
        <w:t xml:space="preserve">41. S. Canneaux, F. Bohr, E. Henon, A program to predict thermodynamic properties and rate constants from quantum chemistry results, </w:t>
      </w:r>
      <w:r>
        <w:rPr>
          <w:i/>
          <w:iCs/>
        </w:rPr>
        <w:t>KiSThelP: J. Comput. Chem.</w:t>
      </w:r>
      <w:r>
        <w:t xml:space="preserve"> 2013, </w:t>
      </w:r>
      <w:r>
        <w:rPr>
          <w:b/>
          <w:bCs/>
        </w:rPr>
        <w:t>35</w:t>
      </w:r>
      <w:r>
        <w:t>, 82-93.</w:t>
      </w:r>
    </w:p>
    <w:p w:rsidR="00470846" w:rsidRDefault="00C71C23" w:rsidP="007F3568">
      <w:pPr>
        <w:spacing w:before="240" w:line="276" w:lineRule="auto"/>
        <w:jc w:val="lowKashida"/>
      </w:pPr>
      <w:r>
        <w:t xml:space="preserve">42. S. Grimme, Supramolecular binding thermodynamics by dispersion‐corrected density functional theory. </w:t>
      </w:r>
      <w:r>
        <w:rPr>
          <w:i/>
          <w:iCs/>
        </w:rPr>
        <w:t>Chem. Eur. J.,</w:t>
      </w:r>
      <w:r>
        <w:t xml:space="preserve"> 2012, </w:t>
      </w:r>
      <w:r>
        <w:rPr>
          <w:b/>
          <w:bCs/>
        </w:rPr>
        <w:t>18</w:t>
      </w:r>
      <w:r>
        <w:t>, 9955-9964.</w:t>
      </w:r>
    </w:p>
    <w:p w:rsidR="00470846" w:rsidRDefault="00C71C23" w:rsidP="007F3568">
      <w:pPr>
        <w:spacing w:before="240" w:line="276" w:lineRule="auto"/>
        <w:jc w:val="lowKashida"/>
      </w:pPr>
      <w:r>
        <w:t xml:space="preserve">43. GoodVibes v2.0.1, I. Funes-Adois and R. Paton, 2017, </w:t>
      </w:r>
      <w:hyperlink r:id="rId98">
        <w:r>
          <w:rPr>
            <w:rStyle w:val="Hyperlink"/>
            <w:color w:val="auto"/>
          </w:rPr>
          <w:t>https://github.com/bobbypaton/GoodVibes</w:t>
        </w:r>
      </w:hyperlink>
      <w:r>
        <w:t>.</w:t>
      </w:r>
    </w:p>
    <w:p w:rsidR="00470846" w:rsidRDefault="00C71C23" w:rsidP="007F3568">
      <w:pPr>
        <w:spacing w:before="240" w:line="276" w:lineRule="auto"/>
        <w:jc w:val="lowKashida"/>
      </w:pPr>
      <w:r>
        <w:t xml:space="preserve">44. E. Safaei, A. Wojtczak, E. Bill, H. Hamidi, Synthesis, crystal structure, magnetic and redox properties of Cu(II)–Cu(II) binuclear complexes of bis (phenol) amine ligands, </w:t>
      </w:r>
      <w:r>
        <w:rPr>
          <w:i/>
          <w:iCs/>
        </w:rPr>
        <w:t>Polyhedron</w:t>
      </w:r>
      <w:r>
        <w:t xml:space="preserve">, 2010, </w:t>
      </w:r>
      <w:r>
        <w:rPr>
          <w:b/>
          <w:bCs/>
        </w:rPr>
        <w:t>29</w:t>
      </w:r>
      <w:r>
        <w:t>, 2769-2775.</w:t>
      </w:r>
    </w:p>
    <w:p w:rsidR="00470846" w:rsidRDefault="00C71C23" w:rsidP="007F3568">
      <w:pPr>
        <w:spacing w:before="240" w:line="276" w:lineRule="auto"/>
        <w:jc w:val="lowKashida"/>
      </w:pPr>
      <w:r>
        <w:t xml:space="preserve">45. A. Sokolowski, J. Müller, T. Weyhermüller, R. Schnepf, P. Hildebrandt, K. Hildenbrand, E. Bothe, K. Wieghardt, Phenoxyl radical complexes of zinc(II), </w:t>
      </w:r>
      <w:r>
        <w:rPr>
          <w:i/>
          <w:iCs/>
        </w:rPr>
        <w:t>J. Am. Chem. Soc.,</w:t>
      </w:r>
      <w:r>
        <w:t xml:space="preserve"> 1997, </w:t>
      </w:r>
      <w:r>
        <w:rPr>
          <w:b/>
          <w:bCs/>
        </w:rPr>
        <w:t>119</w:t>
      </w:r>
      <w:r>
        <w:t>, 8889-8900.</w:t>
      </w:r>
    </w:p>
    <w:p w:rsidR="00470846" w:rsidRDefault="00C71C23" w:rsidP="007F3568">
      <w:pPr>
        <w:spacing w:before="240" w:line="276" w:lineRule="auto"/>
        <w:jc w:val="lowKashida"/>
        <w:rPr>
          <w:lang w:val="de-DE"/>
        </w:rPr>
      </w:pPr>
      <w:r>
        <w:t xml:space="preserve">46. </w:t>
      </w:r>
      <w:r>
        <w:rPr>
          <w:lang w:val="de-DE"/>
        </w:rPr>
        <w:t>X. Zheng, L. He, Y. Duan, X. Jiang, G. Xiang, W. Zhao, S. Zhang</w:t>
      </w:r>
      <w:r>
        <w:rPr>
          <w:i/>
          <w:iCs/>
          <w:lang w:val="de-DE"/>
        </w:rPr>
        <w:t>,</w:t>
      </w:r>
      <w:r>
        <w:rPr>
          <w:lang w:val="en-GB"/>
        </w:rPr>
        <w:t xml:space="preserve"> </w:t>
      </w:r>
      <w:r>
        <w:rPr>
          <w:lang w:val="de-DE"/>
        </w:rPr>
        <w:t>Poly (ionic liquid) immobilized magnetic nanoparticles as new adsorbent for extraction and enrichment of organophosphorus pesticides from tea drinks</w:t>
      </w:r>
      <w:r>
        <w:rPr>
          <w:i/>
          <w:iCs/>
          <w:lang w:val="de-DE"/>
        </w:rPr>
        <w:t>. J Chromatogr A.</w:t>
      </w:r>
      <w:r>
        <w:rPr>
          <w:lang w:val="de-DE"/>
        </w:rPr>
        <w:t xml:space="preserve"> 2014, </w:t>
      </w:r>
      <w:r>
        <w:rPr>
          <w:b/>
          <w:bCs/>
          <w:lang w:val="de-DE"/>
        </w:rPr>
        <w:t>1358</w:t>
      </w:r>
      <w:r>
        <w:rPr>
          <w:lang w:val="de-DE"/>
        </w:rPr>
        <w:t>, 39-45.</w:t>
      </w:r>
    </w:p>
    <w:p w:rsidR="00470846" w:rsidRDefault="00C71C23" w:rsidP="007F3568">
      <w:pPr>
        <w:spacing w:before="240" w:line="276" w:lineRule="auto"/>
        <w:jc w:val="lowKashida"/>
      </w:pPr>
      <w:r>
        <w:rPr>
          <w:lang w:val="de-DE"/>
        </w:rPr>
        <w:t xml:space="preserve">47. </w:t>
      </w:r>
      <w:r>
        <w:rPr>
          <w:lang w:val="en-GB"/>
        </w:rPr>
        <w:t xml:space="preserve">J. Javidi, M. Esmaeilpour, M. Rajabnia Khansari, Synthesis, characterization and application of core-shell magnetic molecularly imprinted polymers for selective recognition of clozapine from human serum, </w:t>
      </w:r>
      <w:r>
        <w:rPr>
          <w:i/>
          <w:iCs/>
          <w:lang w:val="en-GB"/>
        </w:rPr>
        <w:t>RSC Adv,</w:t>
      </w:r>
      <w:r>
        <w:rPr>
          <w:lang w:val="en-GB"/>
        </w:rPr>
        <w:t xml:space="preserve"> 2015, </w:t>
      </w:r>
      <w:r>
        <w:rPr>
          <w:b/>
          <w:bCs/>
          <w:lang w:val="en-GB"/>
        </w:rPr>
        <w:t>5</w:t>
      </w:r>
      <w:r>
        <w:rPr>
          <w:lang w:val="en-GB"/>
        </w:rPr>
        <w:t>, 73268-73278.</w:t>
      </w:r>
    </w:p>
    <w:p w:rsidR="00470846" w:rsidRDefault="00470846" w:rsidP="007F3568">
      <w:pPr>
        <w:jc w:val="lowKashida"/>
      </w:pPr>
    </w:p>
    <w:p w:rsidR="00470846" w:rsidRDefault="00470846" w:rsidP="007F3568">
      <w:pPr>
        <w:jc w:val="lowKashida"/>
        <w:rPr>
          <w:color w:val="00B0F0"/>
        </w:rPr>
      </w:pPr>
    </w:p>
    <w:p w:rsidR="00470846" w:rsidRDefault="00470846"/>
    <w:p w:rsidR="00E8649C" w:rsidRDefault="00E8649C"/>
    <w:p w:rsidR="00E8649C" w:rsidRDefault="00E8649C"/>
    <w:p w:rsidR="00470846" w:rsidRDefault="00C71C23">
      <w:pPr>
        <w:rPr>
          <w:b/>
          <w:bCs/>
        </w:rPr>
      </w:pPr>
      <w:r>
        <w:rPr>
          <w:b/>
          <w:bCs/>
        </w:rPr>
        <w:t>Graphical Abstract</w:t>
      </w:r>
    </w:p>
    <w:p w:rsidR="00470846" w:rsidRDefault="00470846"/>
    <w:p w:rsidR="00470846" w:rsidRDefault="00470846"/>
    <w:p w:rsidR="00470846" w:rsidRDefault="00C71C23">
      <w:pPr>
        <w:jc w:val="center"/>
      </w:pPr>
      <w:r>
        <w:rPr>
          <w:noProof/>
        </w:rPr>
        <w:drawing>
          <wp:inline distT="0" distB="0" distL="0" distR="0">
            <wp:extent cx="5490210" cy="1938020"/>
            <wp:effectExtent l="0" t="0" r="0" b="0"/>
            <wp:docPr id="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3"/>
                    <pic:cNvPicPr>
                      <a:picLocks noChangeAspect="1" noChangeArrowheads="1"/>
                    </pic:cNvPicPr>
                  </pic:nvPicPr>
                  <pic:blipFill>
                    <a:blip r:embed="rId99"/>
                    <a:stretch>
                      <a:fillRect/>
                    </a:stretch>
                  </pic:blipFill>
                  <pic:spPr bwMode="auto">
                    <a:xfrm>
                      <a:off x="0" y="0"/>
                      <a:ext cx="5490210" cy="1938020"/>
                    </a:xfrm>
                    <a:prstGeom prst="rect">
                      <a:avLst/>
                    </a:prstGeom>
                  </pic:spPr>
                </pic:pic>
              </a:graphicData>
            </a:graphic>
          </wp:inline>
        </w:drawing>
      </w:r>
    </w:p>
    <w:sectPr w:rsidR="00470846">
      <w:type w:val="continuous"/>
      <w:pgSz w:w="12240" w:h="15840"/>
      <w:pgMar w:top="1440" w:right="1440" w:bottom="1440" w:left="1440" w:header="0" w:footer="0" w:gutter="0"/>
      <w:cols w:space="720"/>
      <w:formProt w:val="0"/>
      <w:docGrid w:linePitch="360" w:charSpace="81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099F" w:rsidRDefault="003D099F" w:rsidP="007F3568">
      <w:pPr>
        <w:spacing w:after="0" w:line="240" w:lineRule="auto"/>
      </w:pPr>
      <w:r>
        <w:separator/>
      </w:r>
    </w:p>
  </w:endnote>
  <w:endnote w:type="continuationSeparator" w:id="0">
    <w:p w:rsidR="003D099F" w:rsidRDefault="003D099F" w:rsidP="007F3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charset w:val="01"/>
    <w:family w:val="roman"/>
    <w:pitch w:val="variable"/>
  </w:font>
  <w:font w:name="FandolFang R">
    <w:panose1 w:val="00000000000000000000"/>
    <w:charset w:val="00"/>
    <w:family w:val="roman"/>
    <w:notTrueType/>
    <w:pitch w:val="default"/>
  </w:font>
  <w:font w:name="Droid Sans Devanagari">
    <w:altName w:val="Times New Roman"/>
    <w:panose1 w:val="00000000000000000000"/>
    <w:charset w:val="00"/>
    <w:family w:val="roman"/>
    <w:notTrueType/>
    <w:pitch w:val="default"/>
  </w:font>
  <w:font w:name="Times">
    <w:altName w:val="Times New Roman"/>
    <w:panose1 w:val="02020603050405020304"/>
    <w:charset w:val="00"/>
    <w:family w:val="roman"/>
    <w:pitch w:val="variable"/>
    <w:sig w:usb0="E0002EFF" w:usb1="C0007843" w:usb2="00000009" w:usb3="00000000" w:csb0="000001FF" w:csb1="00000000"/>
  </w:font>
  <w:font w:name="Shonar Bangla">
    <w:panose1 w:val="020B0502040204020203"/>
    <w:charset w:val="00"/>
    <w:family w:val="swiss"/>
    <w:pitch w:val="variable"/>
    <w:sig w:usb0="0001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AdvOT2e364b11">
    <w:panose1 w:val="00000000000000000000"/>
    <w:charset w:val="00"/>
    <w:family w:val="roman"/>
    <w:notTrueType/>
    <w:pitch w:val="default"/>
  </w:font>
  <w:font w:name="AdvOT8608a8d1+03">
    <w:panose1 w:val="00000000000000000000"/>
    <w:charset w:val="00"/>
    <w:family w:val="roman"/>
    <w:notTrueType/>
    <w:pitch w:val="default"/>
  </w:font>
  <w:font w:name="AdvOT02ce3bbb.I">
    <w:panose1 w:val="00000000000000000000"/>
    <w:charset w:val="00"/>
    <w:family w:val="roman"/>
    <w:notTrueType/>
    <w:pitch w:val="default"/>
  </w:font>
  <w:font w:name="AdvOT51c1769e">
    <w:panose1 w:val="00000000000000000000"/>
    <w:charset w:val="00"/>
    <w:family w:val="roman"/>
    <w:notTrueType/>
    <w:pitch w:val="default"/>
  </w:font>
  <w:font w:name="AdvOT8608a8d1+22">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099F" w:rsidRDefault="003D099F" w:rsidP="007F3568">
      <w:pPr>
        <w:spacing w:after="0" w:line="240" w:lineRule="auto"/>
      </w:pPr>
      <w:r>
        <w:separator/>
      </w:r>
    </w:p>
  </w:footnote>
  <w:footnote w:type="continuationSeparator" w:id="0">
    <w:p w:rsidR="003D099F" w:rsidRDefault="003D099F" w:rsidP="007F356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autoHyphenation/>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0846"/>
    <w:rsid w:val="001748D4"/>
    <w:rsid w:val="001B3511"/>
    <w:rsid w:val="003C5F32"/>
    <w:rsid w:val="003D099F"/>
    <w:rsid w:val="00470846"/>
    <w:rsid w:val="00506D48"/>
    <w:rsid w:val="00671854"/>
    <w:rsid w:val="007F3568"/>
    <w:rsid w:val="00872CA6"/>
    <w:rsid w:val="00AD057B"/>
    <w:rsid w:val="00C659D4"/>
    <w:rsid w:val="00C71C23"/>
    <w:rsid w:val="00D11DBF"/>
    <w:rsid w:val="00E667B1"/>
    <w:rsid w:val="00E8649C"/>
  </w:rsids>
  <m:mathPr>
    <m:mathFont m:val="Cambria Math"/>
    <m:brkBin m:val="before"/>
    <m:brkBinSub m:val="--"/>
    <m:smallFrac m:val="0"/>
    <m:dispDef/>
    <m:lMargin m:val="0"/>
    <m:rMargin m:val="0"/>
    <m:defJc m:val="centerGroup"/>
    <m:wrapIndent m:val="1440"/>
    <m:intLim m:val="subSup"/>
    <m:naryLim m:val="undOvr"/>
  </m:mathPr>
  <w:themeFontLang w:val="en-US" w:eastAsia="" w:bidi="ar-SA"/>
  <w:clrSchemeMapping w:bg1="light1" w:t1="dark1" w:bg2="light2" w:t2="dark2" w:accent1="accent1" w:accent2="accent2" w:accent3="accent3" w:accent4="accent4" w:accent5="accent5" w:accent6="accent6" w:hyperlink="hyperlink" w:followedHyperlink="followedHyperlink"/>
  <w:shapeDefaults>
    <o:shapedefaults v:ext="edit" spidmax="1157"/>
    <o:shapelayout v:ext="edit">
      <o:idmap v:ext="edit" data="1"/>
    </o:shapelayout>
  </w:shapeDefaults>
  <w:decimalSymbol w:val="."/>
  <w:listSeparator w:val=","/>
  <w15:docId w15:val="{293ECE45-A013-44C0-89F4-D4B73E0A9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AB1FBE"/>
  </w:style>
  <w:style w:type="character" w:customStyle="1" w:styleId="FooterChar">
    <w:name w:val="Footer Char"/>
    <w:basedOn w:val="DefaultParagraphFont"/>
    <w:link w:val="Footer"/>
    <w:uiPriority w:val="99"/>
    <w:qFormat/>
    <w:rsid w:val="00AB1FBE"/>
  </w:style>
  <w:style w:type="character" w:styleId="Hyperlink">
    <w:name w:val="Hyperlink"/>
    <w:basedOn w:val="DefaultParagraphFont"/>
    <w:uiPriority w:val="99"/>
    <w:unhideWhenUsed/>
    <w:rsid w:val="00731B72"/>
    <w:rPr>
      <w:color w:val="0563C1" w:themeColor="hyperlink"/>
      <w:u w:val="single"/>
    </w:rPr>
  </w:style>
  <w:style w:type="character" w:styleId="CommentReference">
    <w:name w:val="annotation reference"/>
    <w:basedOn w:val="DefaultParagraphFont"/>
    <w:uiPriority w:val="99"/>
    <w:semiHidden/>
    <w:unhideWhenUsed/>
    <w:qFormat/>
    <w:rsid w:val="002301E5"/>
    <w:rPr>
      <w:sz w:val="16"/>
      <w:szCs w:val="16"/>
    </w:rPr>
  </w:style>
  <w:style w:type="character" w:customStyle="1" w:styleId="CommentTextChar">
    <w:name w:val="Comment Text Char"/>
    <w:basedOn w:val="DefaultParagraphFont"/>
    <w:link w:val="CommentText"/>
    <w:uiPriority w:val="99"/>
    <w:semiHidden/>
    <w:qFormat/>
    <w:rsid w:val="002301E5"/>
    <w:rPr>
      <w:sz w:val="20"/>
      <w:szCs w:val="20"/>
    </w:rPr>
  </w:style>
  <w:style w:type="character" w:customStyle="1" w:styleId="CommentSubjectChar">
    <w:name w:val="Comment Subject Char"/>
    <w:basedOn w:val="CommentTextChar"/>
    <w:link w:val="CommentSubject"/>
    <w:uiPriority w:val="99"/>
    <w:semiHidden/>
    <w:qFormat/>
    <w:rsid w:val="002301E5"/>
    <w:rPr>
      <w:b/>
      <w:bCs/>
      <w:sz w:val="20"/>
      <w:szCs w:val="20"/>
    </w:rPr>
  </w:style>
  <w:style w:type="character" w:customStyle="1" w:styleId="BalloonTextChar">
    <w:name w:val="Balloon Text Char"/>
    <w:basedOn w:val="DefaultParagraphFont"/>
    <w:link w:val="BalloonText"/>
    <w:uiPriority w:val="99"/>
    <w:semiHidden/>
    <w:qFormat/>
    <w:rsid w:val="002301E5"/>
    <w:rPr>
      <w:rFonts w:ascii="Segoe UI" w:hAnsi="Segoe UI" w:cs="Segoe UI"/>
      <w:sz w:val="18"/>
      <w:szCs w:val="18"/>
    </w:rPr>
  </w:style>
  <w:style w:type="character" w:customStyle="1" w:styleId="EndnoteTextChar">
    <w:name w:val="Endnote Text Char"/>
    <w:basedOn w:val="DefaultParagraphFont"/>
    <w:link w:val="EndnoteText"/>
    <w:uiPriority w:val="99"/>
    <w:qFormat/>
    <w:rsid w:val="00977337"/>
    <w:rPr>
      <w:sz w:val="20"/>
      <w:szCs w:val="20"/>
    </w:rPr>
  </w:style>
  <w:style w:type="character" w:customStyle="1" w:styleId="EndnoteCharacters">
    <w:name w:val="Endnote Characters"/>
    <w:uiPriority w:val="99"/>
    <w:semiHidden/>
    <w:unhideWhenUsed/>
    <w:qFormat/>
    <w:rsid w:val="00977337"/>
    <w:rPr>
      <w:vertAlign w:val="superscript"/>
    </w:rPr>
  </w:style>
  <w:style w:type="character" w:styleId="EndnoteReference">
    <w:name w:val="endnote reference"/>
    <w:rPr>
      <w:vertAlign w:val="superscript"/>
    </w:rPr>
  </w:style>
  <w:style w:type="paragraph" w:customStyle="1" w:styleId="Heading">
    <w:name w:val="Heading"/>
    <w:basedOn w:val="Normal"/>
    <w:next w:val="BodyText"/>
    <w:qFormat/>
    <w:pPr>
      <w:keepNext/>
      <w:spacing w:before="240" w:after="120"/>
    </w:pPr>
    <w:rPr>
      <w:rFonts w:ascii="Liberation Sans" w:eastAsia="FandolFang R" w:hAnsi="Liberation Sans" w:cs="Droid Sans Devanagari"/>
      <w:sz w:val="28"/>
      <w:szCs w:val="28"/>
    </w:rPr>
  </w:style>
  <w:style w:type="paragraph" w:styleId="BodyText">
    <w:name w:val="Body Text"/>
    <w:basedOn w:val="Normal"/>
    <w:pPr>
      <w:spacing w:after="140" w:line="276" w:lineRule="auto"/>
    </w:pPr>
  </w:style>
  <w:style w:type="paragraph" w:styleId="List">
    <w:name w:val="List"/>
    <w:basedOn w:val="BodyText"/>
    <w:rPr>
      <w:rFonts w:cs="Droid Sans Devanagari"/>
    </w:rPr>
  </w:style>
  <w:style w:type="paragraph" w:styleId="Caption">
    <w:name w:val="caption"/>
    <w:basedOn w:val="Normal"/>
    <w:qFormat/>
    <w:pPr>
      <w:suppressLineNumbers/>
      <w:spacing w:before="120" w:after="120"/>
    </w:pPr>
    <w:rPr>
      <w:rFonts w:cs="Droid Sans Devanagari"/>
      <w:i/>
      <w:iCs/>
      <w:sz w:val="24"/>
      <w:szCs w:val="24"/>
    </w:rPr>
  </w:style>
  <w:style w:type="paragraph" w:customStyle="1" w:styleId="Index">
    <w:name w:val="Index"/>
    <w:basedOn w:val="Normal"/>
    <w:qFormat/>
    <w:pPr>
      <w:suppressLineNumbers/>
    </w:pPr>
    <w:rPr>
      <w:rFonts w:cs="Droid Sans Devanagari"/>
    </w:rPr>
  </w:style>
  <w:style w:type="paragraph" w:customStyle="1" w:styleId="HeaderandFooter">
    <w:name w:val="Header and Footer"/>
    <w:basedOn w:val="Normal"/>
    <w:qFormat/>
  </w:style>
  <w:style w:type="paragraph" w:styleId="Header">
    <w:name w:val="header"/>
    <w:basedOn w:val="Normal"/>
    <w:link w:val="HeaderChar"/>
    <w:uiPriority w:val="99"/>
    <w:unhideWhenUsed/>
    <w:rsid w:val="00AB1FBE"/>
    <w:pPr>
      <w:tabs>
        <w:tab w:val="center" w:pos="4680"/>
        <w:tab w:val="right" w:pos="9360"/>
      </w:tabs>
      <w:spacing w:after="0" w:line="240" w:lineRule="auto"/>
    </w:pPr>
  </w:style>
  <w:style w:type="paragraph" w:styleId="Footer">
    <w:name w:val="footer"/>
    <w:basedOn w:val="Normal"/>
    <w:link w:val="FooterChar"/>
    <w:uiPriority w:val="99"/>
    <w:unhideWhenUsed/>
    <w:rsid w:val="00AB1FBE"/>
    <w:pPr>
      <w:tabs>
        <w:tab w:val="center" w:pos="4680"/>
        <w:tab w:val="right" w:pos="9360"/>
      </w:tabs>
      <w:spacing w:after="0" w:line="240" w:lineRule="auto"/>
    </w:pPr>
  </w:style>
  <w:style w:type="paragraph" w:styleId="ListParagraph">
    <w:name w:val="List Paragraph"/>
    <w:basedOn w:val="Normal"/>
    <w:uiPriority w:val="34"/>
    <w:qFormat/>
    <w:rsid w:val="006119C3"/>
    <w:pPr>
      <w:ind w:left="720"/>
      <w:contextualSpacing/>
    </w:pPr>
  </w:style>
  <w:style w:type="paragraph" w:styleId="NormalWeb">
    <w:name w:val="Normal (Web)"/>
    <w:basedOn w:val="Normal"/>
    <w:uiPriority w:val="99"/>
    <w:semiHidden/>
    <w:unhideWhenUsed/>
    <w:qFormat/>
    <w:rsid w:val="009031ED"/>
    <w:pPr>
      <w:spacing w:beforeAutospacing="1" w:afterAutospacing="1" w:line="240" w:lineRule="auto"/>
    </w:pPr>
    <w:rPr>
      <w:rFonts w:ascii="Times New Roman" w:eastAsiaTheme="minorEastAsia" w:hAnsi="Times New Roman" w:cs="Times New Roman"/>
      <w:sz w:val="24"/>
      <w:szCs w:val="24"/>
    </w:rPr>
  </w:style>
  <w:style w:type="paragraph" w:customStyle="1" w:styleId="TAMainText">
    <w:name w:val="TA_Main_Text"/>
    <w:basedOn w:val="Normal"/>
    <w:qFormat/>
    <w:rsid w:val="00AD78C3"/>
    <w:pPr>
      <w:spacing w:after="0" w:line="480" w:lineRule="auto"/>
      <w:ind w:firstLine="202"/>
      <w:jc w:val="both"/>
    </w:pPr>
    <w:rPr>
      <w:rFonts w:ascii="Times" w:eastAsia="Times New Roman" w:hAnsi="Times" w:cs="Times New Roman"/>
      <w:sz w:val="24"/>
      <w:szCs w:val="20"/>
    </w:rPr>
  </w:style>
  <w:style w:type="paragraph" w:styleId="CommentText">
    <w:name w:val="annotation text"/>
    <w:basedOn w:val="Normal"/>
    <w:link w:val="CommentTextChar"/>
    <w:uiPriority w:val="99"/>
    <w:semiHidden/>
    <w:unhideWhenUsed/>
    <w:qFormat/>
    <w:rsid w:val="002301E5"/>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sid w:val="002301E5"/>
    <w:rPr>
      <w:b/>
      <w:bCs/>
    </w:rPr>
  </w:style>
  <w:style w:type="paragraph" w:styleId="BalloonText">
    <w:name w:val="Balloon Text"/>
    <w:basedOn w:val="Normal"/>
    <w:link w:val="BalloonTextChar"/>
    <w:uiPriority w:val="99"/>
    <w:semiHidden/>
    <w:unhideWhenUsed/>
    <w:qFormat/>
    <w:rsid w:val="002301E5"/>
    <w:pPr>
      <w:spacing w:after="0" w:line="240" w:lineRule="auto"/>
    </w:pPr>
    <w:rPr>
      <w:rFonts w:ascii="Segoe UI" w:hAnsi="Segoe UI" w:cs="Segoe UI"/>
      <w:sz w:val="18"/>
      <w:szCs w:val="18"/>
    </w:rPr>
  </w:style>
  <w:style w:type="paragraph" w:styleId="EndnoteText">
    <w:name w:val="endnote text"/>
    <w:basedOn w:val="Normal"/>
    <w:link w:val="EndnoteTextChar"/>
    <w:uiPriority w:val="99"/>
    <w:unhideWhenUsed/>
    <w:rsid w:val="00977337"/>
    <w:pPr>
      <w:spacing w:after="0" w:line="240" w:lineRule="auto"/>
    </w:pPr>
    <w:rPr>
      <w:sz w:val="20"/>
      <w:szCs w:val="20"/>
    </w:rPr>
  </w:style>
  <w:style w:type="paragraph" w:customStyle="1" w:styleId="yiv2239271635msonormal">
    <w:name w:val="yiv2239271635msonormal"/>
    <w:basedOn w:val="Normal"/>
    <w:qFormat/>
    <w:rsid w:val="00530ED9"/>
    <w:pPr>
      <w:spacing w:beforeAutospacing="1" w:afterAutospacing="1" w:line="240" w:lineRule="auto"/>
    </w:pPr>
    <w:rPr>
      <w:rFonts w:ascii="Times New Roman" w:eastAsia="Times New Roman" w:hAnsi="Times New Roman" w:cs="Times New Roman"/>
      <w:sz w:val="24"/>
      <w:szCs w:val="24"/>
    </w:rPr>
  </w:style>
  <w:style w:type="paragraph" w:customStyle="1" w:styleId="BCAuthorAddress">
    <w:name w:val="BC_Author_Address"/>
    <w:basedOn w:val="Normal"/>
    <w:next w:val="Normal"/>
    <w:qFormat/>
    <w:rsid w:val="00095424"/>
    <w:pPr>
      <w:spacing w:after="240" w:line="480" w:lineRule="auto"/>
      <w:jc w:val="center"/>
    </w:pPr>
    <w:rPr>
      <w:rFonts w:ascii="Times" w:eastAsia="Times New Roman" w:hAnsi="Times" w:cs="Times New Roman"/>
      <w:sz w:val="24"/>
      <w:szCs w:val="20"/>
    </w:rPr>
  </w:style>
  <w:style w:type="paragraph" w:customStyle="1" w:styleId="FrameContents">
    <w:name w:val="Frame Contents"/>
    <w:basedOn w:val="Normal"/>
    <w:qFormat/>
  </w:style>
  <w:style w:type="table" w:styleId="TableGrid">
    <w:name w:val="Table Grid"/>
    <w:basedOn w:val="TableNormal"/>
    <w:uiPriority w:val="39"/>
    <w:rsid w:val="00B342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2">
    <w:name w:val="Grid Table 4 Accent 2"/>
    <w:basedOn w:val="TableNormal"/>
    <w:uiPriority w:val="49"/>
    <w:rsid w:val="0007142E"/>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
    <w:name w:val="Grid Table 4 - Accent 21"/>
    <w:basedOn w:val="TableNormal"/>
    <w:uiPriority w:val="49"/>
    <w:rsid w:val="009031ED"/>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PlainTable3">
    <w:name w:val="Plain Table 3"/>
    <w:basedOn w:val="TableNormal"/>
    <w:uiPriority w:val="43"/>
    <w:rsid w:val="00B45A3E"/>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000000" w:themeColor="text1"/>
        </w:tcBorders>
      </w:tcPr>
    </w:tblStylePr>
    <w:tblStylePr w:type="lastRow">
      <w:rPr>
        <w:b/>
        <w:bCs/>
        <w:caps/>
      </w:rPr>
      <w:tblPr/>
      <w:tcPr>
        <w:tcBorders>
          <w:top w:val="nil"/>
        </w:tcBorders>
      </w:tcPr>
    </w:tblStylePr>
    <w:tblStylePr w:type="firstCol">
      <w:rPr>
        <w:b/>
        <w:bCs/>
        <w:caps/>
      </w:rPr>
      <w:tblPr/>
      <w:tcPr>
        <w:tcBorders>
          <w:right w:val="single" w:sz="4" w:space="0" w:color="000000" w:themeColor="text1"/>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6Colorful-Accent4">
    <w:name w:val="List Table 6 Colorful Accent 4"/>
    <w:basedOn w:val="TableNormal"/>
    <w:uiPriority w:val="51"/>
    <w:rsid w:val="00B45A3E"/>
    <w:rPr>
      <w:color w:val="BF8F00" w:themeColor="accent4" w:themeShade="BF"/>
    </w:rPr>
    <w:tblPr>
      <w:tblStyleRowBandSize w:val="1"/>
      <w:tblStyleColBandSize w:val="1"/>
      <w:tblInd w:w="0" w:type="dxa"/>
      <w:tblBorders>
        <w:top w:val="single" w:sz="4" w:space="0" w:color="FFC000" w:themeColor="accent4"/>
        <w:bottom w:val="single" w:sz="4" w:space="0" w:color="FFC000" w:themeColor="accent4"/>
      </w:tblBorders>
      <w:tblCellMar>
        <w:top w:w="0" w:type="dxa"/>
        <w:left w:w="108" w:type="dxa"/>
        <w:bottom w:w="0" w:type="dxa"/>
        <w:right w:w="108" w:type="dxa"/>
      </w:tblCellMar>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6Colorful-Accent3">
    <w:name w:val="List Table 6 Colorful Accent 3"/>
    <w:basedOn w:val="TableNormal"/>
    <w:uiPriority w:val="51"/>
    <w:rsid w:val="00AD3E26"/>
    <w:rPr>
      <w:color w:val="7B7B7B" w:themeColor="accent3" w:themeShade="BF"/>
    </w:rPr>
    <w:tblPr>
      <w:tblStyleRowBandSize w:val="1"/>
      <w:tblStyleColBandSize w:val="1"/>
      <w:tblInd w:w="0" w:type="dxa"/>
      <w:tblBorders>
        <w:top w:val="single" w:sz="4" w:space="0" w:color="A5A5A5" w:themeColor="accent3"/>
        <w:bottom w:val="single" w:sz="4" w:space="0" w:color="A5A5A5" w:themeColor="accent3"/>
      </w:tblBorders>
      <w:tblCellMar>
        <w:top w:w="0" w:type="dxa"/>
        <w:left w:w="108" w:type="dxa"/>
        <w:bottom w:w="0" w:type="dxa"/>
        <w:right w:w="108" w:type="dxa"/>
      </w:tblCellMar>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Grid2">
    <w:name w:val="Table Grid2"/>
    <w:basedOn w:val="TableNormal"/>
    <w:uiPriority w:val="39"/>
    <w:rsid w:val="00ED183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rsid w:val="000D27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4-Accent5">
    <w:name w:val="Grid Table 4 Accent 5"/>
    <w:basedOn w:val="TableNormal"/>
    <w:uiPriority w:val="49"/>
    <w:rsid w:val="00820683"/>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oleObject" Target="embeddings/oleObject4.bin"/><Relationship Id="rId42" Type="http://schemas.openxmlformats.org/officeDocument/2006/relationships/image" Target="media/image22.emf"/><Relationship Id="rId47" Type="http://schemas.openxmlformats.org/officeDocument/2006/relationships/oleObject" Target="embeddings/oleObject17.bin"/><Relationship Id="rId63" Type="http://schemas.openxmlformats.org/officeDocument/2006/relationships/image" Target="media/image32.emf"/><Relationship Id="rId68" Type="http://schemas.openxmlformats.org/officeDocument/2006/relationships/image" Target="media/image35.png"/><Relationship Id="rId84" Type="http://schemas.openxmlformats.org/officeDocument/2006/relationships/oleObject" Target="embeddings/oleObject35.bin"/><Relationship Id="rId89" Type="http://schemas.openxmlformats.org/officeDocument/2006/relationships/image" Target="media/image46.png"/><Relationship Id="rId16" Type="http://schemas.openxmlformats.org/officeDocument/2006/relationships/image" Target="media/image9.emf"/><Relationship Id="rId11" Type="http://schemas.openxmlformats.org/officeDocument/2006/relationships/image" Target="media/image4.png"/><Relationship Id="rId32" Type="http://schemas.openxmlformats.org/officeDocument/2006/relationships/image" Target="media/image17.emf"/><Relationship Id="rId37" Type="http://schemas.openxmlformats.org/officeDocument/2006/relationships/oleObject" Target="embeddings/oleObject12.bin"/><Relationship Id="rId53" Type="http://schemas.openxmlformats.org/officeDocument/2006/relationships/oleObject" Target="embeddings/oleObject20.bin"/><Relationship Id="rId58" Type="http://schemas.openxmlformats.org/officeDocument/2006/relationships/image" Target="media/image30.emf"/><Relationship Id="rId74" Type="http://schemas.openxmlformats.org/officeDocument/2006/relationships/image" Target="media/image38.png"/><Relationship Id="rId79" Type="http://schemas.openxmlformats.org/officeDocument/2006/relationships/oleObject" Target="embeddings/oleObject33.bin"/><Relationship Id="rId5" Type="http://schemas.openxmlformats.org/officeDocument/2006/relationships/footnotes" Target="footnotes.xml"/><Relationship Id="rId90" Type="http://schemas.openxmlformats.org/officeDocument/2006/relationships/oleObject" Target="embeddings/oleObject38.bin"/><Relationship Id="rId95" Type="http://schemas.openxmlformats.org/officeDocument/2006/relationships/image" Target="media/image50.png"/><Relationship Id="rId22" Type="http://schemas.openxmlformats.org/officeDocument/2006/relationships/image" Target="media/image12.emf"/><Relationship Id="rId27" Type="http://schemas.openxmlformats.org/officeDocument/2006/relationships/oleObject" Target="embeddings/oleObject7.bin"/><Relationship Id="rId43" Type="http://schemas.openxmlformats.org/officeDocument/2006/relationships/oleObject" Target="embeddings/oleObject15.bin"/><Relationship Id="rId48" Type="http://schemas.openxmlformats.org/officeDocument/2006/relationships/image" Target="media/image25.emf"/><Relationship Id="rId64" Type="http://schemas.openxmlformats.org/officeDocument/2006/relationships/oleObject" Target="embeddings/oleObject26.bin"/><Relationship Id="rId69" Type="http://schemas.openxmlformats.org/officeDocument/2006/relationships/oleObject" Target="embeddings/oleObject28.bin"/><Relationship Id="rId80" Type="http://schemas.openxmlformats.org/officeDocument/2006/relationships/image" Target="media/image41.png"/><Relationship Id="rId85" Type="http://schemas.openxmlformats.org/officeDocument/2006/relationships/image" Target="media/image44.png"/><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oleObject" Target="embeddings/oleObject23.bin"/><Relationship Id="rId67" Type="http://schemas.openxmlformats.org/officeDocument/2006/relationships/oleObject" Target="embeddings/oleObject27.bin"/><Relationship Id="rId20" Type="http://schemas.openxmlformats.org/officeDocument/2006/relationships/image" Target="media/image11.emf"/><Relationship Id="rId41" Type="http://schemas.openxmlformats.org/officeDocument/2006/relationships/oleObject" Target="embeddings/oleObject14.bin"/><Relationship Id="rId54" Type="http://schemas.openxmlformats.org/officeDocument/2006/relationships/image" Target="media/image28.emf"/><Relationship Id="rId62" Type="http://schemas.openxmlformats.org/officeDocument/2006/relationships/oleObject" Target="embeddings/oleObject25.bin"/><Relationship Id="rId70" Type="http://schemas.openxmlformats.org/officeDocument/2006/relationships/image" Target="media/image36.png"/><Relationship Id="rId75" Type="http://schemas.openxmlformats.org/officeDocument/2006/relationships/oleObject" Target="embeddings/oleObject31.bin"/><Relationship Id="rId83" Type="http://schemas.openxmlformats.org/officeDocument/2006/relationships/image" Target="media/image43.png"/><Relationship Id="rId88" Type="http://schemas.openxmlformats.org/officeDocument/2006/relationships/oleObject" Target="embeddings/oleObject37.bin"/><Relationship Id="rId91" Type="http://schemas.openxmlformats.org/officeDocument/2006/relationships/image" Target="media/image47.png"/><Relationship Id="rId96"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oleObject" Target="embeddings/oleObject5.bin"/><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oleObject" Target="embeddings/oleObject18.bin"/><Relationship Id="rId57" Type="http://schemas.openxmlformats.org/officeDocument/2006/relationships/oleObject" Target="embeddings/oleObject22.bin"/><Relationship Id="rId10" Type="http://schemas.openxmlformats.org/officeDocument/2006/relationships/image" Target="media/image3.png"/><Relationship Id="rId31" Type="http://schemas.openxmlformats.org/officeDocument/2006/relationships/oleObject" Target="embeddings/oleObject9.bin"/><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oleObject" Target="embeddings/oleObject24.bin"/><Relationship Id="rId65" Type="http://schemas.openxmlformats.org/officeDocument/2006/relationships/image" Target="media/image33.png"/><Relationship Id="rId73" Type="http://schemas.openxmlformats.org/officeDocument/2006/relationships/oleObject" Target="embeddings/oleObject30.bin"/><Relationship Id="rId78" Type="http://schemas.openxmlformats.org/officeDocument/2006/relationships/image" Target="media/image40.png"/><Relationship Id="rId81" Type="http://schemas.openxmlformats.org/officeDocument/2006/relationships/oleObject" Target="embeddings/oleObject34.bin"/><Relationship Id="rId86" Type="http://schemas.openxmlformats.org/officeDocument/2006/relationships/oleObject" Target="embeddings/oleObject36.bin"/><Relationship Id="rId94" Type="http://schemas.openxmlformats.org/officeDocument/2006/relationships/image" Target="media/image49.png"/><Relationship Id="rId99" Type="http://schemas.openxmlformats.org/officeDocument/2006/relationships/image" Target="media/image53.pn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oleObject" Target="embeddings/oleObject13.bin"/><Relationship Id="rId34" Type="http://schemas.openxmlformats.org/officeDocument/2006/relationships/image" Target="media/image18.emf"/><Relationship Id="rId50" Type="http://schemas.openxmlformats.org/officeDocument/2006/relationships/image" Target="media/image26.emf"/><Relationship Id="rId55" Type="http://schemas.openxmlformats.org/officeDocument/2006/relationships/oleObject" Target="embeddings/oleObject21.bin"/><Relationship Id="rId76" Type="http://schemas.openxmlformats.org/officeDocument/2006/relationships/image" Target="media/image39.png"/><Relationship Id="rId97" Type="http://schemas.openxmlformats.org/officeDocument/2006/relationships/image" Target="media/image52.emf"/><Relationship Id="rId7" Type="http://schemas.openxmlformats.org/officeDocument/2006/relationships/image" Target="media/image1.png"/><Relationship Id="rId71" Type="http://schemas.openxmlformats.org/officeDocument/2006/relationships/oleObject" Target="embeddings/oleObject29.bin"/><Relationship Id="rId92" Type="http://schemas.openxmlformats.org/officeDocument/2006/relationships/oleObject" Target="embeddings/oleObject39.bin"/><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3.emf"/><Relationship Id="rId40" Type="http://schemas.openxmlformats.org/officeDocument/2006/relationships/image" Target="media/image21.emf"/><Relationship Id="rId45" Type="http://schemas.openxmlformats.org/officeDocument/2006/relationships/oleObject" Target="embeddings/oleObject16.bin"/><Relationship Id="rId66" Type="http://schemas.openxmlformats.org/officeDocument/2006/relationships/image" Target="media/image34.png"/><Relationship Id="rId87" Type="http://schemas.openxmlformats.org/officeDocument/2006/relationships/image" Target="media/image45.png"/><Relationship Id="rId61" Type="http://schemas.openxmlformats.org/officeDocument/2006/relationships/image" Target="media/image31.emf"/><Relationship Id="rId82" Type="http://schemas.openxmlformats.org/officeDocument/2006/relationships/image" Target="media/image42.png"/><Relationship Id="rId19" Type="http://schemas.openxmlformats.org/officeDocument/2006/relationships/oleObject" Target="embeddings/oleObject3.bin"/><Relationship Id="rId14" Type="http://schemas.openxmlformats.org/officeDocument/2006/relationships/image" Target="media/image7.png"/><Relationship Id="rId30" Type="http://schemas.openxmlformats.org/officeDocument/2006/relationships/image" Target="media/image16.emf"/><Relationship Id="rId35" Type="http://schemas.openxmlformats.org/officeDocument/2006/relationships/oleObject" Target="embeddings/oleObject11.bin"/><Relationship Id="rId56" Type="http://schemas.openxmlformats.org/officeDocument/2006/relationships/image" Target="media/image29.emf"/><Relationship Id="rId77" Type="http://schemas.openxmlformats.org/officeDocument/2006/relationships/oleObject" Target="embeddings/oleObject32.bin"/><Relationship Id="rId100"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oleObject" Target="embeddings/oleObject19.bin"/><Relationship Id="rId72" Type="http://schemas.openxmlformats.org/officeDocument/2006/relationships/image" Target="media/image37.png"/><Relationship Id="rId93" Type="http://schemas.openxmlformats.org/officeDocument/2006/relationships/image" Target="media/image48.png"/><Relationship Id="rId98" Type="http://schemas.openxmlformats.org/officeDocument/2006/relationships/hyperlink" Target="https://github.com/bobbypaton/GoodVibes"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29E27-3648-4325-A61D-D56188A10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9435</Words>
  <Characters>53784</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Pegah</dc:creator>
  <dc:description/>
  <cp:lastModifiedBy>Pegah</cp:lastModifiedBy>
  <cp:revision>2</cp:revision>
  <dcterms:created xsi:type="dcterms:W3CDTF">2023-07-25T12:18:00Z</dcterms:created>
  <dcterms:modified xsi:type="dcterms:W3CDTF">2023-07-25T12:18:00Z</dcterms:modified>
  <dc:language>en-US</dc:language>
</cp:coreProperties>
</file>