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BBE01" w14:textId="77777777" w:rsidR="00673081" w:rsidRDefault="00673081">
      <w:pPr>
        <w:rPr>
          <w:b/>
          <w:bCs/>
        </w:rPr>
      </w:pPr>
      <w:r w:rsidRPr="00A51603">
        <w:rPr>
          <w:b/>
          <w:bCs/>
        </w:rPr>
        <w:t xml:space="preserve">Containing the Uncontainable: Kinaesthetic Analogies and an Early Christian Box </w:t>
      </w:r>
    </w:p>
    <w:p w14:paraId="3E97A0CA" w14:textId="10B12A52" w:rsidR="00B37101" w:rsidRPr="00A51603" w:rsidRDefault="00B37101">
      <w:pPr>
        <w:rPr>
          <w:b/>
          <w:bCs/>
        </w:rPr>
      </w:pPr>
      <w:r>
        <w:rPr>
          <w:b/>
          <w:bCs/>
        </w:rPr>
        <w:t>Niamh Bhalla</w:t>
      </w:r>
    </w:p>
    <w:p w14:paraId="6106CD1C" w14:textId="77777777" w:rsidR="00A51603" w:rsidRDefault="00673081" w:rsidP="00A51603">
      <w:pPr>
        <w:ind w:firstLine="720"/>
      </w:pPr>
      <w:r>
        <w:t>Where concepts strain the limits of human understanding, analogy is often employed, and analogy need not be limited to words: objects too can participate in making sense of the world through likening one entity to another. One such object forms the focus of this article—a small, portable ivory box in the form of a casket, from the fifth century, its surfaces carved in relief with scenes of the suffering, death, and resurrection of Christ (Fig. 1). The box was once comprised of four panels that are now separate and held at the British Museum (Fig. 2).</w:t>
      </w:r>
      <w:r w:rsidRPr="00A51603">
        <w:rPr>
          <w:vertAlign w:val="superscript"/>
        </w:rPr>
        <w:t>1</w:t>
      </w:r>
      <w:r>
        <w:t xml:space="preserve"> Early Christians began increasingly to “think through” objects like this box as they endeavored to define the nature of Christ, and thus the relationship between matter and the divine, from the mid-fourth century onward.</w:t>
      </w:r>
      <w:r w:rsidRPr="00A51603">
        <w:rPr>
          <w:vertAlign w:val="superscript"/>
        </w:rPr>
        <w:t>2</w:t>
      </w:r>
      <w:r>
        <w:t xml:space="preserve"> The box’s decorative program directly addressed the very issue of the incarnation of God in the material world in the person of Jesus. Furthermore, it may itself have formed a container or dwelling place for the uncontainable: it was, I argue, a vessel that carried the Eucharist—Christ present in consecrated bread. Here it illuminates how objects can engage in physical analogies to make sense of concepts that exceed the boundaries of words. </w:t>
      </w:r>
    </w:p>
    <w:p w14:paraId="025AB1FB" w14:textId="77777777" w:rsidR="00A51603" w:rsidRDefault="00673081" w:rsidP="00A51603">
      <w:pPr>
        <w:ind w:firstLine="720"/>
      </w:pPr>
      <w:r>
        <w:t>Portable objects often create meaning through collaboration with the body that handles them.</w:t>
      </w:r>
      <w:r w:rsidRPr="00A51603">
        <w:rPr>
          <w:vertAlign w:val="superscript"/>
        </w:rPr>
        <w:t>3</w:t>
      </w:r>
      <w:r>
        <w:t xml:space="preserve"> In the case of the box, kinaesthetic means were used to convey the mystery of the Incarnation: through its handling and manipulation, analogies were created between the box and Christ’s tomb, and between its ivory and Christ’s resurrected body, with the effect of closing the ontological gap between the representation and the represented, what Finbarr B. Flood has referred to as art’s “power to instantiate life rather than represent it.”</w:t>
      </w:r>
      <w:r w:rsidRPr="00A51603">
        <w:rPr>
          <w:vertAlign w:val="superscript"/>
        </w:rPr>
        <w:t>4</w:t>
      </w:r>
      <w:r>
        <w:t xml:space="preserve"> For early Christians, God was immanent in the organic materials of the world, and so this ivory box could become a participant in, and communicator of, profound theological truths concerning the nature of God’s son, Jesus Christ.</w:t>
      </w:r>
      <w:r w:rsidRPr="00A51603">
        <w:rPr>
          <w:vertAlign w:val="superscript"/>
        </w:rPr>
        <w:t>5</w:t>
      </w:r>
      <w:r>
        <w:t xml:space="preserve"> The idea of kinaesthetic analogy and its application to this box are intended to provide insights that can be applied to held objects in other contexts.</w:t>
      </w:r>
      <w:r w:rsidRPr="00A51603">
        <w:rPr>
          <w:vertAlign w:val="superscript"/>
        </w:rPr>
        <w:t>6</w:t>
      </w:r>
      <w:r>
        <w:t xml:space="preserve"> It offers an additional hermeneutic tool for the interpretation of objects that mediate the conceptual and the abstract, or even the transcendent, by means of physical and material engagements, from spherical astrolabes and Japanese wabi-sabi tea wares to Etruscan ash urns and Russian matryoshka dolls. </w:t>
      </w:r>
    </w:p>
    <w:p w14:paraId="66A23745" w14:textId="77777777" w:rsidR="00A51603" w:rsidRDefault="00673081" w:rsidP="00A51603">
      <w:pPr>
        <w:ind w:firstLine="720"/>
      </w:pPr>
      <w:r>
        <w:t xml:space="preserve">Collectively known now as the </w:t>
      </w:r>
      <w:r w:rsidRPr="00A51603">
        <w:rPr>
          <w:i/>
          <w:iCs/>
        </w:rPr>
        <w:t>Maskell Passion Ivories</w:t>
      </w:r>
      <w:r>
        <w:t>, each of the four remaining panels of the box measures approximately 3 x 3⅞ in. (7.5 x 9.8 cm), with a depth that extends up to approximately ¾ in. (2 cm) in places. The similar size and facture of the panels indicate that they once belonged to the same object. Carved from elephantine ivory cut along the longitudinal axis of the tusk, each panel has a continuous pattern of lamellae—the series of thin layers in which the dentine was laid down—running across it. Seven scenes from the Passion cycle play out across the panels, constituting a sophisticated and unprecedented interpretation of the suffering, death, and resurrection of Christ. Derived from the Greek verb π</w:t>
      </w:r>
      <w:r>
        <w:rPr>
          <w:rFonts w:ascii="Arial" w:hAnsi="Arial" w:cs="Arial"/>
        </w:rPr>
        <w:t>ά</w:t>
      </w:r>
      <w:r>
        <w:t>σχω/</w:t>
      </w:r>
      <w:r w:rsidRPr="00A51603">
        <w:rPr>
          <w:i/>
          <w:iCs/>
        </w:rPr>
        <w:t>paschō</w:t>
      </w:r>
      <w:r>
        <w:t xml:space="preserve"> (to suffer) and its Latin derivative, the noun </w:t>
      </w:r>
      <w:r w:rsidRPr="00A51603">
        <w:rPr>
          <w:i/>
          <w:iCs/>
        </w:rPr>
        <w:t>passio</w:t>
      </w:r>
      <w:r>
        <w:t>, the Passion cycle refers to the events that led up to and culminated in Christ’s sacrificial death on the cross.</w:t>
      </w:r>
      <w:r w:rsidRPr="00A51603">
        <w:rPr>
          <w:vertAlign w:val="superscript"/>
        </w:rPr>
        <w:t>7</w:t>
      </w:r>
      <w:r>
        <w:t xml:space="preserve"> </w:t>
      </w:r>
    </w:p>
    <w:p w14:paraId="438D3A0E" w14:textId="1EE51C1D" w:rsidR="00A51603" w:rsidRDefault="00673081" w:rsidP="00A51603">
      <w:pPr>
        <w:ind w:firstLine="720"/>
      </w:pPr>
      <w:r>
        <w:t>The cycle begins with Pontius Pilate, governor of the Roman province of Judaea, washing his hands with the help of a servant on a raised platform ( Fig. 3 ). The symbolic gesture, found only in Matthew’s Gospel, signified his refusal to accept responsibility for Christ’s Crucifixion, despite authorizing it at the request of the Jewish leaders in Jerusalem.</w:t>
      </w:r>
      <w:r w:rsidRPr="00A51603">
        <w:rPr>
          <w:vertAlign w:val="superscript"/>
        </w:rPr>
        <w:t>8</w:t>
      </w:r>
      <w:r>
        <w:t xml:space="preserve"> Jesus then carries the cross to his death, aided by a man named Simon of Cyrene who was enlisted to help.</w:t>
      </w:r>
      <w:r w:rsidRPr="00A51603">
        <w:rPr>
          <w:vertAlign w:val="superscript"/>
        </w:rPr>
        <w:t>9</w:t>
      </w:r>
      <w:r>
        <w:t xml:space="preserve"> The final scene on the first plaque shows the fearful apostle Peter denying that he knows Christ for a third </w:t>
      </w:r>
      <w:r>
        <w:lastRenderedPageBreak/>
        <w:t>and final time when questioned by a servant while warming himself by a brazier in the high priest’s courtyard, thus fulfilling Christ’s prediction that Peter would deny him three times before the rooster crowed.</w:t>
      </w:r>
      <w:r w:rsidRPr="00A51603">
        <w:rPr>
          <w:vertAlign w:val="superscript"/>
        </w:rPr>
        <w:t>10</w:t>
      </w:r>
      <w:r>
        <w:t xml:space="preserve"> The servant points accusingly at Peter, and the rooster occupies the upper-right corner. The next plaque continues the narrative with a pendant pair of deaths: the suicide of the apostle Judas, who betrayed Jesus to the Jewish leaders on the left, and the Crucifixion of Christ on the right ( Fig. 4 ).</w:t>
      </w:r>
      <w:r w:rsidRPr="00A51603">
        <w:rPr>
          <w:vertAlign w:val="superscript"/>
        </w:rPr>
        <w:t>11</w:t>
      </w:r>
      <w:r>
        <w:t xml:space="preserve"> The scenes on the final two plaques are singular rather than composite in format, in contrast to those that precede them. On the third panel, female fol</w:t>
      </w:r>
      <w:r w:rsidR="00A51603">
        <w:t>l</w:t>
      </w:r>
      <w:r>
        <w:t>owers of Jesus wait outside the tomb they found empty following his resurrection after death, while Roman guards slumber nearby ( Fig. 5 ).</w:t>
      </w:r>
      <w:r w:rsidRPr="00A51603">
        <w:rPr>
          <w:vertAlign w:val="superscript"/>
        </w:rPr>
        <w:t>12</w:t>
      </w:r>
      <w:r>
        <w:t xml:space="preserve"> This </w:t>
      </w:r>
      <w:proofErr w:type="spellStart"/>
      <w:r>
        <w:t>is</w:t>
      </w:r>
      <w:proofErr w:type="spellEnd"/>
      <w:r>
        <w:t xml:space="preserve"> followed by the incredulity of Thomas on the last panel, where the disciple, who refused to believe that Jesus had been raised from the dead, reaches out to probe the wound in the side of the resurrected Christ—curiously not visible here—in order to convince himself that Christ, surrounded by three other apostles, truly was alive ( Fig. 6 ).</w:t>
      </w:r>
      <w:r w:rsidRPr="00A51603">
        <w:rPr>
          <w:vertAlign w:val="superscript"/>
        </w:rPr>
        <w:t>13</w:t>
      </w:r>
    </w:p>
    <w:p w14:paraId="3E0B6E02" w14:textId="68A6B7A8" w:rsidR="00C952B0" w:rsidRDefault="00673081" w:rsidP="006B065E">
      <w:pPr>
        <w:ind w:firstLine="720"/>
      </w:pPr>
      <w:r>
        <w:t>The base and lid of the casket are now missing, but traces of their existence may be observed: an incision along the bottom of each panel allowed for its insertion onto a base, and the locations of the original latch point and hinges for the lid can be discerned on the panels depicting the Crucifixion and the incredulity of Thomas, respectively. Th e original appearance of the box can thus be reconstructed, which complicates the chronological reading of the scenes given above because it appears that the Crucifixion formed the front panel of the box (see Fig. 1 ). This was followed on the right side by the women at the tomb (see Fig. 5 ) and by the incredulity of Thomas on the back (see Fig. 6 ), meaning that the scenes that come first in the narrative—Pilate washing his hands and Peter’s denial—were found on the left side, rather than on the front. A similar disregard for sequential order becomes evident in the first two panels (see Figs. 3, 4 ), because the ordering of their scenes deviates from their sequence in scripture. It will become apparent that such displacements prioritized an interpretative, experiential sequence of meaning over the biblical ordering.</w:t>
      </w:r>
      <w:r w:rsidRPr="00F024C4">
        <w:rPr>
          <w:vertAlign w:val="superscript"/>
        </w:rPr>
        <w:t>14</w:t>
      </w:r>
      <w:r>
        <w:t xml:space="preserve"> </w:t>
      </w:r>
    </w:p>
    <w:p w14:paraId="1803EE90" w14:textId="404FBA85" w:rsidR="00053216" w:rsidRDefault="00673081" w:rsidP="00F024C4">
      <w:pPr>
        <w:ind w:firstLine="720"/>
      </w:pPr>
      <w:r>
        <w:t>The absence of the lid is important because its presence may have informed the meaning of the scenes.</w:t>
      </w:r>
      <w:r w:rsidRPr="00F024C4">
        <w:rPr>
          <w:vertAlign w:val="superscript"/>
        </w:rPr>
        <w:t>15</w:t>
      </w:r>
      <w:r>
        <w:t xml:space="preserve"> It is possible that the Ascension—Christ being taken up into the heavens in a cloud after his resurrection—was represented on the lid, given that it concluded the events surrounding his death.</w:t>
      </w:r>
      <w:r w:rsidRPr="00053216">
        <w:rPr>
          <w:vertAlign w:val="superscript"/>
        </w:rPr>
        <w:t>16</w:t>
      </w:r>
      <w:r>
        <w:t xml:space="preserve"> It appears, for example, as the culmination of Christ’s victory over death on the Servanne sarcophagus, ca. 370–80 ce, now in fragments, one of the earliest instances of a Passion cycle in Christian art.</w:t>
      </w:r>
      <w:r w:rsidRPr="00053216">
        <w:rPr>
          <w:vertAlign w:val="superscript"/>
        </w:rPr>
        <w:t>17</w:t>
      </w:r>
      <w:r>
        <w:t xml:space="preserve"> Alternatively, the surface of the lid may have depicted decorative or symbolic elements.</w:t>
      </w:r>
      <w:r w:rsidRPr="00053216">
        <w:rPr>
          <w:vertAlign w:val="superscript"/>
        </w:rPr>
        <w:t>18</w:t>
      </w:r>
      <w:r>
        <w:t xml:space="preserve"> What can be said from what remains of the box is that its program focused on the person of Christ, particularly his death and resurrection, and that this was hugely topical at this time, when the church was refining its understanding of Christ’s nature and thus the relationship between matter and the divine. </w:t>
      </w:r>
    </w:p>
    <w:p w14:paraId="1362C683" w14:textId="57D7A681" w:rsidR="007B1163" w:rsidRDefault="00673081" w:rsidP="00F024C4">
      <w:pPr>
        <w:ind w:firstLine="720"/>
      </w:pPr>
      <w:r>
        <w:t>From the mid-fourth century, the church underwent what has variously been termed a corporeal or material turn, whereby “the human body and its sensorium became a locus for religious epistemology.”</w:t>
      </w:r>
      <w:r w:rsidRPr="007B1163">
        <w:rPr>
          <w:vertAlign w:val="superscript"/>
        </w:rPr>
        <w:t>19</w:t>
      </w:r>
      <w:r>
        <w:t xml:space="preserve"> Following the reign of Emperor Constantine the Great (r. 306–37 </w:t>
      </w:r>
      <w:r w:rsidR="007B1163">
        <w:t>CE</w:t>
      </w:r>
      <w:r>
        <w:t>), the newly imperial church found itself more at home in the temporal world and grappling more than ever with the theological issues associated with a God who had made himself known in the person of Jesus Christ.</w:t>
      </w:r>
      <w:r w:rsidRPr="007B1163">
        <w:rPr>
          <w:vertAlign w:val="superscript"/>
        </w:rPr>
        <w:t>20</w:t>
      </w:r>
      <w:r>
        <w:t xml:space="preserve"> The belief that matter had somehow been sanctified through the incarnation of Christ led to a “sacramental view of the world,” wherein the divine might be experienced through the senses.</w:t>
      </w:r>
      <w:r w:rsidRPr="007B1163">
        <w:rPr>
          <w:vertAlign w:val="superscript"/>
        </w:rPr>
        <w:t>21</w:t>
      </w:r>
      <w:r>
        <w:t xml:space="preserve"> The physical world and the human body thus became legitimate conduits of knowing and experiencing the divine. This remarkable ivory casket became an actor in its unique historical moment: as I will show, through handling and </w:t>
      </w:r>
      <w:r>
        <w:lastRenderedPageBreak/>
        <w:t xml:space="preserve">manipulation, its kinaesthetic analogies expressed the Christologies codified at church councils of the fourth and fifth centuries and the emerging changes to material piety. As a box, it was perfectly suited to expressing the abiding paradox of the Christian God who was at once immanent and transcendent. </w:t>
      </w:r>
    </w:p>
    <w:p w14:paraId="6F3CA282" w14:textId="0A1FB62E" w:rsidR="00EF32CE" w:rsidRDefault="00673081" w:rsidP="00F024C4">
      <w:pPr>
        <w:ind w:firstLine="720"/>
        <w:rPr>
          <w:vertAlign w:val="superscript"/>
        </w:rPr>
      </w:pPr>
      <w:r>
        <w:t>A box holds the potential to be opened and closed and to contain something.</w:t>
      </w:r>
      <w:r w:rsidRPr="004D6444">
        <w:rPr>
          <w:vertAlign w:val="superscript"/>
        </w:rPr>
        <w:t>22</w:t>
      </w:r>
      <w:r>
        <w:t xml:space="preserve"> As such, it is a form uniquely suited to conveying ideas of concealment and revelation. The materiality of this particular box, which participated in the containment of the sacred in matter, was utilized in ways that tangibly expressed this paradox of containing the uncontainable— a God that was at once knowable and unknowable, touchable and yet unseen.</w:t>
      </w:r>
      <w:r w:rsidRPr="004D6444">
        <w:rPr>
          <w:vertAlign w:val="superscript"/>
        </w:rPr>
        <w:t>23</w:t>
      </w:r>
      <w:r>
        <w:t xml:space="preserve"> The foundational precepts of opening, handling, and containment were engaged with in self-referential ways that formed part of the theological message that played itself out on and beyond the panels of the box. An analogical hermeneutic was employed throughout, and it was the touch and movement of the beholder that activated the connections between the box’s contents, </w:t>
      </w:r>
      <w:r w:rsidR="00EF32CE">
        <w:t>structure, material, and the scenes occupying its surfaces, forging theological surfeit where pictorial signification proved insufficient. The following discussion shows how the box was intentionally aligned through self-referential motifs to Christ’s tomb with its open door, represented on the third panel (see Fig. 5), so that the act of undoing the box became a reenactment of the sacred moment of the Resurrection on a reduced scale. The bulky representational style and high relief of the carving further invited beholders to touch, or imagine touching, Christ’s resurrected body as he proffered himself to Thomas in the final scene (see Fig. 6). Sustained engagement with the ivory of the box contributed additional physical analogies as it warmed to the hand, simulating in a different manner Christ’s rising from the dead.</w:t>
      </w:r>
      <w:r w:rsidR="00EF32CE" w:rsidRPr="008E5798">
        <w:rPr>
          <w:vertAlign w:val="superscript"/>
        </w:rPr>
        <w:t>24</w:t>
      </w:r>
      <w:r w:rsidR="00EF32CE">
        <w:t xml:space="preserve"> These kinaesthetic analogies, attained through movement and sustained physical engagement, meant that the box became a material articulation of the incarnational argument which was so important at this juncture of history, whereby its contents—possibly portions of the bread of the Eucharist—were framed as the first fruits of Christ’s resurrection.</w:t>
      </w:r>
      <w:r w:rsidR="00EF32CE" w:rsidRPr="008E5798">
        <w:rPr>
          <w:vertAlign w:val="superscript"/>
        </w:rPr>
        <w:t>25</w:t>
      </w:r>
    </w:p>
    <w:p w14:paraId="7AB9C0D7" w14:textId="767CC866" w:rsidR="008E5798" w:rsidRDefault="00673081" w:rsidP="008E5798">
      <w:pPr>
        <w:ind w:firstLine="720"/>
      </w:pPr>
      <w:r>
        <w:t>Scholarly interest in the materialist epistemological turn of the early church, with its affirmation of a God who had become matter and the synecdochical participation of matter in the divine, has been invigorated by the rise of sensory archaeology and material religion within the humanities, and by the “sensory turn” and new materialism within art history as a discipline.</w:t>
      </w:r>
      <w:r w:rsidRPr="00930245">
        <w:rPr>
          <w:vertAlign w:val="superscript"/>
        </w:rPr>
        <w:t>26</w:t>
      </w:r>
      <w:r>
        <w:t xml:space="preserve"> Central to these neomaterialist turns are increasingly productive explorations of individual objects and their “entanglements” with human handlers, leading to nuanced understandings of how they were experienced as social actors in their own time and place.</w:t>
      </w:r>
      <w:r w:rsidRPr="00930245">
        <w:rPr>
          <w:vertAlign w:val="superscript"/>
        </w:rPr>
        <w:t>27</w:t>
      </w:r>
      <w:r>
        <w:t xml:space="preserve"> Such studies of the connections between humans and things all tend toward an increased emphasis on the performative agency of objects in this way, and many seek to displace humans, to a greater or lesser extent, from the center of meaning making: the underlying imperative is to begin to reverse the damage done to the material world by the reification of our subjectivity and individualism since the modern era.</w:t>
      </w:r>
      <w:r w:rsidRPr="00930245">
        <w:rPr>
          <w:vertAlign w:val="superscript"/>
        </w:rPr>
        <w:t>28</w:t>
      </w:r>
      <w:r>
        <w:t xml:space="preserve"> The fourth and fifth centuries also saw a fundamental reappraisal of humankind’s connection to the material world on the part of early Christians, but for different reasons. The doctrine of the Incarnation and the enlivening of the material world that resulted from it, which this box spoke to through a fundamental collaboration of beholder and object, are essential to understanding Christian material culture in the centuries that followed.</w:t>
      </w:r>
      <w:r w:rsidRPr="00930245">
        <w:rPr>
          <w:vertAlign w:val="superscript"/>
        </w:rPr>
        <w:t>29</w:t>
      </w:r>
      <w:r>
        <w:t xml:space="preserve"> </w:t>
      </w:r>
    </w:p>
    <w:p w14:paraId="6775B160" w14:textId="77777777" w:rsidR="00766D69" w:rsidRDefault="00673081" w:rsidP="008E5798">
      <w:pPr>
        <w:ind w:firstLine="720"/>
      </w:pPr>
      <w:r>
        <w:t xml:space="preserve">Touch is central to materialist scholarship that focuses on the essential partnership between humans and things, and, indeed, ancient and medieval works of art were often meant to be handled before the production of “art” for its own sake, which was birthed in the </w:t>
      </w:r>
      <w:r>
        <w:lastRenderedPageBreak/>
        <w:t>Reformation and came into its ocularcentric own during the Enlightenment.</w:t>
      </w:r>
      <w:r w:rsidRPr="00421FAA">
        <w:rPr>
          <w:vertAlign w:val="superscript"/>
        </w:rPr>
        <w:t>30</w:t>
      </w:r>
      <w:r>
        <w:t xml:space="preserve"> The revisionist material turn and the productive collision of these many thought movements in recent practice thus provide fertile ground for understanding how individual objects were tangible contributors to their own historical moments through the way they were handled. There are still many lessons to be learned for our practices as art historians from objects themselves, which provide visceral access to the past—an access that nonetheless often proves oblique and difficult to harness in scholarship. Through direct engagement with this box, along with the use of more traditional art historical approaches, I have sought to learn what it taught its handlers through touch and movement. The idea of kinaesthetic analogy offers a hermeneutic model that can be applied in other contexts to held objects, which are, as Claudia Brittenham eloquently points out in relation to containers, “utterly unsympathetic to the optic discourses governing so much contemporary high art.”</w:t>
      </w:r>
      <w:r w:rsidRPr="00766D69">
        <w:rPr>
          <w:vertAlign w:val="superscript"/>
        </w:rPr>
        <w:t>31</w:t>
      </w:r>
      <w:r>
        <w:t xml:space="preserve"> This article thus contrib</w:t>
      </w:r>
      <w:r>
        <w:t>utes to the ongoing push within art history to separate our epistemological structures from the Enlightenment/Cartesian baggage of modernity in which the self was abstracted from “material and social entanglements.”</w:t>
      </w:r>
      <w:r w:rsidRPr="00766D69">
        <w:rPr>
          <w:vertAlign w:val="superscript"/>
        </w:rPr>
        <w:t>32</w:t>
      </w:r>
      <w:r>
        <w:t xml:space="preserve"> </w:t>
      </w:r>
    </w:p>
    <w:p w14:paraId="4E157787" w14:textId="77777777" w:rsidR="00917ACC" w:rsidRDefault="00673081" w:rsidP="008E5798">
      <w:pPr>
        <w:ind w:firstLine="720"/>
      </w:pPr>
      <w:r>
        <w:t xml:space="preserve">To this end, the remainder of the article has been divided into sections corresponding to how a fifth-century handler would have potentially engaged with the object and how we would also, were the object still together in box form. I open with a consideration of how the object was moved, opened, and touched by the beholder, creating kinaesthetic analogies; the thread of the article traces the essential collaboration of human and object. The final section considers what the box may have contained and how this, no less than its material and visual properties, also formed part of this network of meaning making. </w:t>
      </w:r>
    </w:p>
    <w:p w14:paraId="2C78A582" w14:textId="77777777" w:rsidR="00462D7B" w:rsidRDefault="00673081" w:rsidP="008E5798">
      <w:pPr>
        <w:ind w:firstLine="720"/>
      </w:pPr>
      <w:r>
        <w:t>But first a note on the date of the object. The dating of the casket comes down to stylistic and qualitative similarities that its panels share with ivory diptychs created for the senatorial classes in Rome at the turn of the fifth century, although some scholars place the production of the panels in northern Italy.</w:t>
      </w:r>
      <w:r w:rsidRPr="00917ACC">
        <w:rPr>
          <w:vertAlign w:val="superscript"/>
        </w:rPr>
        <w:t>33</w:t>
      </w:r>
      <w:r>
        <w:t xml:space="preserve"> The plaques are more usually thought to have been made by a “workshop” in Rome around 420–30 </w:t>
      </w:r>
      <w:r w:rsidR="00917ACC">
        <w:t>CE</w:t>
      </w:r>
      <w:r>
        <w:t xml:space="preserve">, however, on the basis of stylistic comparison with a group of Roman ivories from about 400 </w:t>
      </w:r>
      <w:r w:rsidR="00917ACC">
        <w:t>CE</w:t>
      </w:r>
      <w:r>
        <w:t xml:space="preserve">, including a diptych panel, now in Munich, representing the Ascension, a diptych panel representing the women at the tomb in Milan ( Fig. 7 ), and the </w:t>
      </w:r>
      <w:proofErr w:type="spellStart"/>
      <w:r>
        <w:t>Rufius</w:t>
      </w:r>
      <w:proofErr w:type="spellEnd"/>
      <w:r>
        <w:t xml:space="preserve"> </w:t>
      </w:r>
      <w:proofErr w:type="spellStart"/>
      <w:r>
        <w:t>Probianus</w:t>
      </w:r>
      <w:proofErr w:type="spellEnd"/>
      <w:r>
        <w:t xml:space="preserve"> diptych, among others.</w:t>
      </w:r>
      <w:r w:rsidRPr="00917ACC">
        <w:rPr>
          <w:vertAlign w:val="superscript"/>
        </w:rPr>
        <w:t>34</w:t>
      </w:r>
      <w:r>
        <w:t xml:space="preserve"> A shared palmette border found on the frames of some of these ivories led Ormonde Maddock Dalton to date the plaques to the early fifth century. This postulated workshop was placed in Rome because Probianus is inscribed as vicar of the city of Rome (</w:t>
      </w:r>
      <w:proofErr w:type="spellStart"/>
      <w:r w:rsidRPr="00591FF0">
        <w:rPr>
          <w:i/>
          <w:iCs/>
        </w:rPr>
        <w:t>vicarius</w:t>
      </w:r>
      <w:proofErr w:type="spellEnd"/>
      <w:r w:rsidRPr="00591FF0">
        <w:rPr>
          <w:i/>
          <w:iCs/>
        </w:rPr>
        <w:t xml:space="preserve"> </w:t>
      </w:r>
      <w:proofErr w:type="spellStart"/>
      <w:r w:rsidRPr="00591FF0">
        <w:rPr>
          <w:i/>
          <w:iCs/>
        </w:rPr>
        <w:t>urbis</w:t>
      </w:r>
      <w:proofErr w:type="spellEnd"/>
      <w:r w:rsidRPr="00591FF0">
        <w:rPr>
          <w:i/>
          <w:iCs/>
        </w:rPr>
        <w:t xml:space="preserve"> </w:t>
      </w:r>
      <w:proofErr w:type="spellStart"/>
      <w:r w:rsidRPr="00591FF0">
        <w:rPr>
          <w:i/>
          <w:iCs/>
        </w:rPr>
        <w:t>Romae</w:t>
      </w:r>
      <w:proofErr w:type="spellEnd"/>
      <w:r>
        <w:t>).</w:t>
      </w:r>
      <w:r w:rsidRPr="00591FF0">
        <w:rPr>
          <w:vertAlign w:val="superscript"/>
        </w:rPr>
        <w:t>35</w:t>
      </w:r>
      <w:r>
        <w:t xml:space="preserve"> The casket’s Passion plaques were placed later, owing to the inclusion of the Crucifixion, rare as a subject in early Christian art until this point, and because of stylistic similarities and themes that they share with the doors of Santa Sabina in Rome, created during the years of Pope Celestine I (422–32 </w:t>
      </w:r>
      <w:r w:rsidR="001B490F">
        <w:t>CE</w:t>
      </w:r>
      <w:r>
        <w:t xml:space="preserve">) or Sixtus III (432–40 </w:t>
      </w:r>
      <w:r w:rsidR="001B490F">
        <w:t>CE</w:t>
      </w:r>
      <w:r>
        <w:t>).</w:t>
      </w:r>
      <w:r w:rsidRPr="001B490F">
        <w:rPr>
          <w:vertAlign w:val="superscript"/>
        </w:rPr>
        <w:t>36</w:t>
      </w:r>
      <w:r>
        <w:t xml:space="preserve"> Ivan </w:t>
      </w:r>
      <w:proofErr w:type="spellStart"/>
      <w:r>
        <w:t>Foletti</w:t>
      </w:r>
      <w:proofErr w:type="spellEnd"/>
      <w:r>
        <w:t xml:space="preserve"> has recently made the case for dating the plaques to the 440s, the first decade of the reign of Pope Leo I (d. 461 </w:t>
      </w:r>
      <w:r w:rsidR="001B490F">
        <w:t>CE</w:t>
      </w:r>
      <w:r>
        <w:t>), given their close alignment to his sermons and this seems feasible.</w:t>
      </w:r>
      <w:r w:rsidRPr="001B490F">
        <w:rPr>
          <w:vertAlign w:val="superscript"/>
        </w:rPr>
        <w:t>37</w:t>
      </w:r>
      <w:r>
        <w:t xml:space="preserve"> </w:t>
      </w:r>
      <w:proofErr w:type="spellStart"/>
      <w:r>
        <w:t>Foletti</w:t>
      </w:r>
      <w:proofErr w:type="spellEnd"/>
      <w:r>
        <w:t xml:space="preserve"> argues that the panels were a visual expression of the liturgical rites for Easter and their settings in Rome in the fifth century. This hypothesis is also viable since there is no reason why scenes pertaining to the death and resurrection of Christ would not have reminded the beholder of the paschal rites in Rome. Greater weight needs to be given to the surviving object itself, however, and how its beholder would have engaged with it and its contents. </w:t>
      </w:r>
    </w:p>
    <w:p w14:paraId="56143898" w14:textId="77777777" w:rsidR="00462D7B" w:rsidRPr="00462D7B" w:rsidRDefault="00673081" w:rsidP="00462D7B">
      <w:pPr>
        <w:rPr>
          <w:b/>
          <w:bCs/>
        </w:rPr>
      </w:pPr>
      <w:r w:rsidRPr="00462D7B">
        <w:rPr>
          <w:b/>
          <w:bCs/>
        </w:rPr>
        <w:t xml:space="preserve">Moving </w:t>
      </w:r>
    </w:p>
    <w:p w14:paraId="1ED62771" w14:textId="47100166" w:rsidR="00D24F5D" w:rsidRPr="006B065E" w:rsidRDefault="00673081" w:rsidP="006B065E">
      <w:pPr>
        <w:ind w:firstLine="720"/>
      </w:pPr>
      <w:r>
        <w:t xml:space="preserve">Portable objects necessarily draw meaning from their spatial, ideological, and religious contexts and from the movement of the body that holds and manipulates them, all of which are </w:t>
      </w:r>
      <w:r>
        <w:lastRenderedPageBreak/>
        <w:t>subject to change. They also speak back and exert agency on their environment and handler. Portable objects are thus not self-contained units of meaning, and an awareness of this is often palpable in their decorative programs, through the visual and physical cues intended to guide the handler into realizing their meaning.</w:t>
      </w:r>
      <w:r w:rsidRPr="00B27C3E">
        <w:rPr>
          <w:vertAlign w:val="superscript"/>
        </w:rPr>
        <w:t>38</w:t>
      </w:r>
      <w:r>
        <w:t xml:space="preserve"> While the body of the beholder, the box, and the wider context for both formed the complete unit for the generation of meaning and affect, all that survives are parts of the box. Despite the apparent narrative nature of its scenes as they pertain to the scriptural accounts, the box privileges interpretative, emblematic motifs and displays deliberate ruptures of the diachronic flow of representation, some of which were intended to prioritize collaboration with the body and mind of the beholder to generate meaning. The narrative progression of the scenes and the size of the box do suggest movement in the hands of an individual beholder so that the program unfolding around the four sides of the box could be “read.” However, striking tableaux and poignant motifs seem intended to arrest movement in order to dwell on important theological points. </w:t>
      </w:r>
    </w:p>
    <w:p w14:paraId="7CCB9E86" w14:textId="77777777" w:rsidR="00B772D7" w:rsidRDefault="00673081" w:rsidP="00D24F5D">
      <w:pPr>
        <w:ind w:firstLine="720"/>
      </w:pPr>
      <w:r>
        <w:t>The first plaque opens with a sense of momentum as Christ strides away from Pilate to his death (see Fig. 3 ). The ordering of the events, with Peter’s denial coming after Pilate and Christ carrying his cross, disrupts the chronological sequence of events as they occur in scripture.</w:t>
      </w:r>
      <w:r w:rsidRPr="00D24F5D">
        <w:rPr>
          <w:vertAlign w:val="superscript"/>
        </w:rPr>
        <w:t>39</w:t>
      </w:r>
      <w:r>
        <w:t xml:space="preserve"> Christ’s dynamic movement toward the right encourages the beholder to consider Peter’s betrayal, however, and also to turn the box to view the next plaque (see Fig. 4), where the curve of the oak tree over Judas leads the viewer from Judas to Christ, as does the motion of the man and woman—possibly Mary, the mother of Jesus, and his beloved disciple, John—who proceed in that direction.</w:t>
      </w:r>
      <w:r w:rsidRPr="00934604">
        <w:rPr>
          <w:vertAlign w:val="superscript"/>
        </w:rPr>
        <w:t>40</w:t>
      </w:r>
      <w:r>
        <w:t xml:space="preserve"> Judas’s weighty, clothed body hanging bereft of life from an oak tree is contrasted with Christ on the cross on the right. The scenes anachronistically share the same narrative space, but they are connected to juxtapose the two deaths. </w:t>
      </w:r>
    </w:p>
    <w:p w14:paraId="0956AC21" w14:textId="77777777" w:rsidR="00B772D7" w:rsidRDefault="00673081" w:rsidP="00D24F5D">
      <w:pPr>
        <w:ind w:firstLine="720"/>
      </w:pPr>
      <w:r>
        <w:t>Christ wears a narrow loincloth (</w:t>
      </w:r>
      <w:r w:rsidRPr="00934604">
        <w:rPr>
          <w:i/>
          <w:iCs/>
        </w:rPr>
        <w:t>subligaculum</w:t>
      </w:r>
      <w:r>
        <w:t>) and is very different to the corpse of Judas and the suffering Christ of later Crucifixions: he is fully alive with outstretched arms and eyes wide-open, alluding to his ultimate victory over death.</w:t>
      </w:r>
      <w:r w:rsidRPr="00B772D7">
        <w:rPr>
          <w:vertAlign w:val="superscript"/>
        </w:rPr>
        <w:t>41</w:t>
      </w:r>
      <w:r>
        <w:t xml:space="preserve"> Narrative representations of Christ’s suffering, based on a synthesis and interpretation of the events as they appear in the four Gospels, only emerged following the legitimization of Christianity by Emperor Constantine in the early fourth century, when art assumed a new public and didactic role. By the mid-fourth century, episodes from the Passion were included in narrative cycles of biblical imagery, but a distinct Passion cycle emerged only gradually: the Servanne sarcophagus is the earliest extant work to have included a full suite of imagery in eight scenes, from Christ’s agony in the Garden of Gethsemane on the eve of his death to his ascension back to heaven, although many of the scenes are now damaged.</w:t>
      </w:r>
      <w:r w:rsidRPr="00B772D7">
        <w:rPr>
          <w:vertAlign w:val="superscript"/>
        </w:rPr>
        <w:t>42</w:t>
      </w:r>
      <w:r>
        <w:t xml:space="preserve"> The sarcophagus omits the Crucifixion, however. Early image cycles concerning Christ’s death emphasized its victorious nature and redemptive purpose and thus often stopped short of representing the death itself. Such early Christian reticence concerning the representation of Christ’s death owed to the complicated theological issues that it raised, such as whether his divine nature had suffered.</w:t>
      </w:r>
      <w:r w:rsidRPr="00B772D7">
        <w:rPr>
          <w:vertAlign w:val="superscript"/>
        </w:rPr>
        <w:t>43</w:t>
      </w:r>
      <w:r>
        <w:t xml:space="preserve"> The Maskell Passion is the earliest surviving cycle devoted exclusively to the death and resurrection of Christ that includes the Crucifixion, and there is an obvious attempt to portray it as victorious. </w:t>
      </w:r>
    </w:p>
    <w:p w14:paraId="7B3F4E9A" w14:textId="77777777" w:rsidR="00710F5D" w:rsidRDefault="00673081" w:rsidP="00D24F5D">
      <w:pPr>
        <w:ind w:firstLine="720"/>
      </w:pPr>
      <w:r>
        <w:t>Within the branches of the tree on which Judas hangs, a section of which has been restored, is a nest with a mother bird feeding her young. Both the bird and the tree were associated with death in Roman funerary art, and here the nest forms a poignant indication of the new life that would result for all believers from Christ’s saving death and resurrection.</w:t>
      </w:r>
      <w:r w:rsidRPr="00710F5D">
        <w:rPr>
          <w:vertAlign w:val="superscript"/>
        </w:rPr>
        <w:t>44</w:t>
      </w:r>
      <w:r>
        <w:t xml:space="preserve"> On the ground below the feet of Judas, the rewards for his treachery—the thirty pieces of silver for which he betrayed Christ—overflow wastefully from a purse, forming a striking contrast with the </w:t>
      </w:r>
      <w:r>
        <w:lastRenderedPageBreak/>
        <w:t xml:space="preserve">neat containment of sacred materials within the casket. Although Christ’s death is the most important node in the scene, its off-center placement reinforces the idea of an unfolding narrative that continues on the following panel. The static and self-contained tableaux that follow on the third and fourth panels serve to arrest this momentum for sustained contemplation. The Passion and death of Christ are dealt with according to a rapid and meaningful necessity, punctuated by significant and forceful motifs, but the stasis of the last two scenes conveys the permanency of Christ’s victory. </w:t>
      </w:r>
    </w:p>
    <w:p w14:paraId="33892E08" w14:textId="77777777" w:rsidR="002D67FD" w:rsidRDefault="00673081" w:rsidP="00D24F5D">
      <w:pPr>
        <w:ind w:firstLine="720"/>
      </w:pPr>
      <w:r>
        <w:t xml:space="preserve">Both of the final scenes represent indirectly Christ’s rising from the dead, because it was difficult to picture the moment that his body was brought back to life, especially since it was not described in scripture. By focusing on the women who were perturbed by his missing corpse in the third scene (see Fig. 5) and the disciples who verified the reality of his resurrected body in the final scene (see Fig. 6), the narrative and spatial weighting of the object was given over to the Resurrection. Its sustained treatment here would have been striking at this date. These final panels suggest not only the manner in which the box was meant to be experienced but also speak to topical concerns regarding the containment of the sacred in matter that may have related to the purpose of the box as a whole. For these reasons, these two panels form my primary focus here. </w:t>
      </w:r>
    </w:p>
    <w:p w14:paraId="1C5F8469" w14:textId="77777777" w:rsidR="00810EBD" w:rsidRDefault="00673081" w:rsidP="00D24F5D">
      <w:pPr>
        <w:ind w:firstLine="720"/>
      </w:pPr>
      <w:r>
        <w:t xml:space="preserve">The overall impression is one of pivotal nodes within the flow of movement across all of the panels, minor details that stand out to punctuate the casket and determine its meaning. Patricia Cox Miller draws on Roland Barthes’s concept of the </w:t>
      </w:r>
      <w:r w:rsidRPr="002D67FD">
        <w:rPr>
          <w:i/>
          <w:iCs/>
        </w:rPr>
        <w:t>punctum</w:t>
      </w:r>
      <w:r>
        <w:t xml:space="preserve"> to describe this tendency, which can be observed in late ancient art and poetry more generally: fragments that drew “the viewer or reader into an imaginative construal of the whole.”</w:t>
      </w:r>
      <w:r w:rsidRPr="002D67FD">
        <w:rPr>
          <w:vertAlign w:val="superscript"/>
        </w:rPr>
        <w:t>45</w:t>
      </w:r>
      <w:r>
        <w:t xml:space="preserve"> Here too, rather than a straightforward linear narrative, the arresting motif became, in the manner of Barthes’s punctum in the photograph, “that accident which pricks me (but also bruises me, is poignant to me).”</w:t>
      </w:r>
      <w:r w:rsidRPr="002D67FD">
        <w:rPr>
          <w:vertAlign w:val="superscript"/>
        </w:rPr>
        <w:t>46</w:t>
      </w:r>
      <w:r>
        <w:t xml:space="preserve"> For Barthes, the punctum had the ability to expand metonymically, a “power of expansion” to grow beyond itself, regardless of authorial intent.</w:t>
      </w:r>
      <w:r w:rsidRPr="002A200F">
        <w:rPr>
          <w:vertAlign w:val="superscript"/>
        </w:rPr>
        <w:t>47</w:t>
      </w:r>
      <w:r>
        <w:t xml:space="preserve"> Here, poignant motifs were not only visual but physical, stimulating the beholder to realize larger concepts through manipulation of the box and engagement with its medium. Most arresting in this regard was perhaps the door of the tomb on the third panel. </w:t>
      </w:r>
    </w:p>
    <w:p w14:paraId="75A1CE34" w14:textId="77777777" w:rsidR="00810EBD" w:rsidRPr="00810EBD" w:rsidRDefault="00673081" w:rsidP="00810EBD">
      <w:pPr>
        <w:rPr>
          <w:b/>
          <w:bCs/>
        </w:rPr>
      </w:pPr>
      <w:r w:rsidRPr="00810EBD">
        <w:rPr>
          <w:b/>
          <w:bCs/>
        </w:rPr>
        <w:t xml:space="preserve">Opening </w:t>
      </w:r>
    </w:p>
    <w:p w14:paraId="311F7024" w14:textId="77777777" w:rsidR="00330602" w:rsidRDefault="00673081" w:rsidP="00810EBD">
      <w:pPr>
        <w:ind w:firstLine="720"/>
      </w:pPr>
      <w:r>
        <w:t>A square tomb building dominates the center of the third panel (see Fig. 5). Surmounted by a cylindrical drum pierced by two round-headed windows and crowned by a cupola, the structure forms the focus of the scene. Two pseudo-Corinthian columns flank an open portal, the left leaf of which is fully ajar while that on the right is half open. The left door of the tomb has broken off, the exposed surface of which is uneven and lighter in color than the rest of the plaque, but this punctum would have stuck out in the hand of the beholder, prompting consideration. The doors were decorated with four figural panels, of which the upper-left section is now lost. The raising of Lazarus—Christ resurrecting his friend from death in a miracle that foreshadowed his own resurrection—occupies the upper-right panel, while the two lower panels contain two transposed women seated on stools; the woman on the right door rests her head on her hand, and the other woman seems to assume a similar pose, but her head is now missing.</w:t>
      </w:r>
      <w:r w:rsidRPr="00AE3B06">
        <w:rPr>
          <w:vertAlign w:val="superscript"/>
        </w:rPr>
        <w:t>48</w:t>
      </w:r>
      <w:r>
        <w:t xml:space="preserve"> To the right and left of the building is a sleeping soldier, each dressed in a short tunic, cloak, trousers, and pointed boots, and armed with a shield and spear, the tops of which are also lost. Above and behind each soldier, a veiled woman is seated in a minimalistic landscape in a pose similar to that of the women on the door panels. Through the open door of the tomb, an empty sarcophagus decorated with undulating lines is visible. The perspective of the tomb </w:t>
      </w:r>
      <w:r>
        <w:lastRenderedPageBreak/>
        <w:t xml:space="preserve">building is inverted, narrowing toward the front, and the figures are greatly disproportionate in relation to it, but their draperies are somewhat naturalistic in the way they cling to the body. The scene is represented in a relatively naturalistic and detailed manner to present the Resurrection as a tangible reality, but individual motifs derived from earlier Christian and non-Christian imagery would have guided the viewer to a comprehension of the abstract notion of the Resurrection. </w:t>
      </w:r>
    </w:p>
    <w:p w14:paraId="2D84EC93" w14:textId="77777777" w:rsidR="006B49A7" w:rsidRDefault="00673081" w:rsidP="00810EBD">
      <w:pPr>
        <w:ind w:firstLine="720"/>
      </w:pPr>
      <w:r>
        <w:t>Until the mid-fourth century, representations of the Resurrection had been largely absent from the repertoire of Christian art, appearing sporadically in symbolic represen</w:t>
      </w:r>
      <w:r>
        <w:t>tations after that.</w:t>
      </w:r>
      <w:r w:rsidRPr="00330602">
        <w:rPr>
          <w:vertAlign w:val="superscript"/>
        </w:rPr>
        <w:t>49</w:t>
      </w:r>
      <w:r>
        <w:t xml:space="preserve"> A standard representation of the Resurrection was slow to emerge in early Christian art, not only because the Gospel accounts do not describe the moment of Christ’s resurrection but also because they do not agree in detail.</w:t>
      </w:r>
      <w:r w:rsidRPr="00330602">
        <w:rPr>
          <w:vertAlign w:val="superscript"/>
        </w:rPr>
        <w:t>50</w:t>
      </w:r>
      <w:r>
        <w:t xml:space="preserve"> The doctrine was also mostly prominent within a theology that embraced the letters written by the apostle Paul, which only gained in popularity from the mid-second century onward.</w:t>
      </w:r>
      <w:r w:rsidRPr="00233587">
        <w:rPr>
          <w:vertAlign w:val="superscript"/>
        </w:rPr>
        <w:t>51</w:t>
      </w:r>
      <w:r>
        <w:t xml:space="preserve"> The depiction of the Resurrection that became popular by about 400 </w:t>
      </w:r>
      <w:r w:rsidR="00233587">
        <w:t>CE</w:t>
      </w:r>
      <w:r>
        <w:t xml:space="preserve"> can be seen on the Milan panel, in which two women are greeted by an angel before the empty tomb of Christ, in keeping with the narrative of Matthew 28:1–7 (see Fig. 7).</w:t>
      </w:r>
      <w:r w:rsidRPr="00233587">
        <w:rPr>
          <w:vertAlign w:val="superscript"/>
        </w:rPr>
        <w:t>52</w:t>
      </w:r>
      <w:r>
        <w:t xml:space="preserve"> The tomb building is similar in form to that on the Maskell plaque, and the panels of the open doors also include depictions of the raising of Lazarus. The Maskell scene does not wholly agree with any Gospel account or such imagery, however, but may perhaps depict a moment in the narrative of Luke 24:1–4: </w:t>
      </w:r>
    </w:p>
    <w:p w14:paraId="1687D34B" w14:textId="77777777" w:rsidR="006B49A7" w:rsidRDefault="00673081" w:rsidP="006B49A7">
      <w:pPr>
        <w:ind w:left="720"/>
      </w:pPr>
      <w:r>
        <w:t xml:space="preserve">On the first day of the week, very early in the morning, the women took the spices they had prepared and went to the tomb. They found the stone rolled away from the tomb, but when they entered, they did not find the body of the Lord Jesus. </w:t>
      </w:r>
      <w:r w:rsidRPr="006B49A7">
        <w:rPr>
          <w:i/>
          <w:iCs/>
        </w:rPr>
        <w:t>While they were wondering about this</w:t>
      </w:r>
      <w:r>
        <w:t>, suddenly men in clothes that gleamed like lightening stood beside them.</w:t>
      </w:r>
      <w:r w:rsidRPr="006B49A7">
        <w:rPr>
          <w:vertAlign w:val="superscript"/>
        </w:rPr>
        <w:t>53</w:t>
      </w:r>
      <w:r>
        <w:t xml:space="preserve"> </w:t>
      </w:r>
    </w:p>
    <w:p w14:paraId="2EAEF7D3" w14:textId="77777777" w:rsidR="00675D9E" w:rsidRDefault="00673081" w:rsidP="006B49A7">
      <w:r>
        <w:t xml:space="preserve">The scene on the Maskell plaque was thus based on the events following Christ’s death as they occur in scripture, and it belonged to the wider pictorial tradition of representing the Resurrection emerging at this time. However, preexisting motifs from pagan and early Christian funerary art were used to construct the scene. </w:t>
      </w:r>
    </w:p>
    <w:p w14:paraId="531206BB" w14:textId="4BA73BFE" w:rsidR="0091523D" w:rsidRDefault="00673081" w:rsidP="00675D9E">
      <w:pPr>
        <w:ind w:firstLine="720"/>
      </w:pPr>
      <w:r>
        <w:t>This key Christian event was communicated using multivalent motifs chosen from the increasingly standardized repertory of Roman biographical and mythological sarcophagi of the second and third centuries as well as early Christian motifs that were themselves based on earlier pagan art. The two sleeping soldiers flanking a central motif are comparable in for</w:t>
      </w:r>
      <w:r>
        <w:t>mat to earlier symbolic representations of the Crucifixion and Resurrection that emerged in sepulchral art of the fourth century, inspired by the depiction of Roman military triumphs. The motif of the two soldiers, who guarded the tomb, seated beneath a cross surmounted by a wreath enclosing the Chi-Rho monogram emerged on sarcophagi—such as the fourth</w:t>
      </w:r>
      <w:r w:rsidR="00DE58B5">
        <w:t>-</w:t>
      </w:r>
      <w:r>
        <w:t>century Passion sarcophagus now in the Vatican Museums (Fig. 8).</w:t>
      </w:r>
      <w:r w:rsidRPr="0091523D">
        <w:rPr>
          <w:vertAlign w:val="superscript"/>
        </w:rPr>
        <w:t>54</w:t>
      </w:r>
      <w:r>
        <w:t xml:space="preserve"> However, the soldier on the right of the ivory plaque is also depicted in the well-known pose used in pagan art for </w:t>
      </w:r>
      <w:r w:rsidR="0091523D">
        <w:t>in deep slumber, such as Endymion, Rhea Silvia, and Ariadne (Fig. 9).</w:t>
      </w:r>
      <w:r w:rsidR="0091523D" w:rsidRPr="0091523D">
        <w:rPr>
          <w:vertAlign w:val="superscript"/>
        </w:rPr>
        <w:t>55</w:t>
      </w:r>
      <w:r w:rsidR="0091523D">
        <w:t xml:space="preserve"> These forms were employed not only for their familiar visual vocabulary but also because they provided ready-made meaning for viewers conversant with the pictorial formulae of Greco-Roman art.</w:t>
      </w:r>
      <w:r w:rsidR="0091523D" w:rsidRPr="0091523D">
        <w:rPr>
          <w:vertAlign w:val="superscript"/>
        </w:rPr>
        <w:t>56</w:t>
      </w:r>
      <w:r w:rsidR="0091523D">
        <w:t xml:space="preserve"> Recognizable visual vocabulary was infused with new meaning, however: here the helplessness of the soldiers magnifies the power and victory of the resurrected Christ, who has burst forth from the doors of the tomb, most especially because sleeping was associated with the frailties of human flesh in patristic theology, with Pope Leo I asserting that “hunger, thirst, weariness, sleep are patently human.”</w:t>
      </w:r>
      <w:r w:rsidR="0091523D" w:rsidRPr="00935F0F">
        <w:rPr>
          <w:vertAlign w:val="superscript"/>
        </w:rPr>
        <w:t>57</w:t>
      </w:r>
    </w:p>
    <w:p w14:paraId="0BC375D4" w14:textId="77777777" w:rsidR="0091523D" w:rsidRDefault="0091523D" w:rsidP="0091523D"/>
    <w:p w14:paraId="22C3A276" w14:textId="77777777" w:rsidR="00D1464D" w:rsidRDefault="00673081" w:rsidP="0091523D">
      <w:pPr>
        <w:ind w:firstLine="720"/>
      </w:pPr>
      <w:r>
        <w:t>Grieving women similar to those on the Maskell plaque were used as stock figures in Greek and Roman funerary art in a variety of contexts to represent human grief, for example in representations of the myths of Orestes and Meleager.</w:t>
      </w:r>
      <w:r w:rsidRPr="00935F0F">
        <w:rPr>
          <w:vertAlign w:val="superscript"/>
        </w:rPr>
        <w:t>58</w:t>
      </w:r>
      <w:r>
        <w:t xml:space="preserve"> Grieving parents on children’s sarcophagi from the second and third centuries </w:t>
      </w:r>
      <w:r w:rsidR="00E13B34">
        <w:t>CE</w:t>
      </w:r>
      <w:r>
        <w:t xml:space="preserve"> are also comparable in form, such as those on a sarcophagus in the British Museum who sit in three-quarter profile at either end of the funerary bed with their heads veiled in grief and resting in their hands (Fig. 10).</w:t>
      </w:r>
      <w:r w:rsidRPr="00E13B34">
        <w:rPr>
          <w:vertAlign w:val="superscript"/>
        </w:rPr>
        <w:t>59</w:t>
      </w:r>
      <w:r>
        <w:t xml:space="preserve"> Grief was represented on the plaque in a manner understood by the Roman world. </w:t>
      </w:r>
    </w:p>
    <w:p w14:paraId="3CD13278" w14:textId="49141703" w:rsidR="00935F0F" w:rsidRDefault="00673081" w:rsidP="0091523D">
      <w:pPr>
        <w:ind w:firstLine="720"/>
      </w:pPr>
      <w:r>
        <w:t xml:space="preserve">The cave that Jesus’s body was placed in after his death in the scriptural account and the stone used to seal it were replaced on the plaque by a structure influenced by Roman funerary architecture, which served also as a reference to, though not a literal representation of, the rotunda built by Constantine around the tomb of Christ in Jerusalem after the defeat of his eastern counterpart Licinius in 324 </w:t>
      </w:r>
      <w:r w:rsidR="00E13B34">
        <w:t>CE</w:t>
      </w:r>
      <w:r>
        <w:t>.</w:t>
      </w:r>
      <w:r w:rsidRPr="00E13B34">
        <w:rPr>
          <w:vertAlign w:val="superscript"/>
        </w:rPr>
        <w:t>60</w:t>
      </w:r>
      <w:r>
        <w:t xml:space="preserve"> The tomb of Christ was depicted on the plaque in the most ostentatious style available to convey his sovereignty, while also serving as a reference to the buildings of Jerusalem to affirm the reality of Christ’s resurrection. </w:t>
      </w:r>
    </w:p>
    <w:p w14:paraId="2D7449B6" w14:textId="31E1136B" w:rsidR="00F1484A" w:rsidRDefault="00673081" w:rsidP="00DA7CAC">
      <w:pPr>
        <w:ind w:firstLine="720"/>
      </w:pPr>
      <w:r>
        <w:t>The prominent portal, which is the only indication of activity in an otherwise motionless scene, was a common motif in Greco-Roman funerary art. The door of death appears as a symbol in literature from Homer, Virgil, and Ovid to the biblical authors, and closed false doors were found on Etruscan sarcophagi, Hellenistic ash urns, Anatolian grave stelae, and Roman funerary altars, reliefs, and sarcophagi.</w:t>
      </w:r>
      <w:r w:rsidRPr="006B5720">
        <w:rPr>
          <w:vertAlign w:val="superscript"/>
        </w:rPr>
        <w:t>61</w:t>
      </w:r>
      <w:r>
        <w:t xml:space="preserve"> The closed door was a popular motif on graveside monuments from Anatolia from the sixth to fourth centuries bce, for example.</w:t>
      </w:r>
      <w:r w:rsidRPr="006B5720">
        <w:rPr>
          <w:vertAlign w:val="superscript"/>
        </w:rPr>
        <w:t>62</w:t>
      </w:r>
      <w:r>
        <w:t xml:space="preserve"> It functioned as a false door into the tomb and as a symbol of the gates of Hades, past which there was no return.</w:t>
      </w:r>
      <w:r w:rsidRPr="006B5720">
        <w:rPr>
          <w:vertAlign w:val="superscript"/>
        </w:rPr>
        <w:t>63</w:t>
      </w:r>
      <w:r>
        <w:t xml:space="preserve"> In the Roman imperial period, however, open and half-open doors emerged.</w:t>
      </w:r>
      <w:r w:rsidRPr="00E211F1">
        <w:rPr>
          <w:vertAlign w:val="superscript"/>
        </w:rPr>
        <w:t>64</w:t>
      </w:r>
      <w:r>
        <w:t xml:space="preserve"> Figures began to surface from beyond the door of the grave, such as Hercules with the three-headed Cerberus, on a sarcophagus in Rome, ca. 180 </w:t>
      </w:r>
      <w:r w:rsidR="00E211F1">
        <w:t>CE</w:t>
      </w:r>
      <w:r>
        <w:t xml:space="preserve"> (Fig. 11).</w:t>
      </w:r>
      <w:r w:rsidRPr="00E211F1">
        <w:rPr>
          <w:vertAlign w:val="superscript"/>
        </w:rPr>
        <w:t>65</w:t>
      </w:r>
      <w:r>
        <w:t xml:space="preserve"> Hercules also appears on a sarcophagus from about 150 </w:t>
      </w:r>
      <w:r w:rsidR="00E211F1">
        <w:t>CE</w:t>
      </w:r>
      <w:r>
        <w:t xml:space="preserve"> with Alcestis, having brought her back from Hades to her husband Admetus.</w:t>
      </w:r>
      <w:r w:rsidRPr="00E211F1">
        <w:rPr>
          <w:vertAlign w:val="superscript"/>
        </w:rPr>
        <w:t>66</w:t>
      </w:r>
      <w:r>
        <w:t xml:space="preserve"> The meaning of the half-open door with an emergent figure is not entirely clear; it seems redolent with hope, but it is not clear if this hope extends to all or merely to Hercules and other heroes.</w:t>
      </w:r>
      <w:r w:rsidRPr="00E211F1">
        <w:rPr>
          <w:vertAlign w:val="superscript"/>
        </w:rPr>
        <w:t>67</w:t>
      </w:r>
      <w:r>
        <w:t xml:space="preserve"> The architectural theme of </w:t>
      </w:r>
      <w:r w:rsidR="00F1484A">
        <w:t>the door was introduced on the Maskell plaque to replace the stone of the cave that was rolled away at Christ’s resurrection because the door was an understood eschatological motif that could be modified to communicate a new message: the door into the tomb, at first closed with no hope of return and then penetrable to only a select few, could be blown open by the power of Christ.</w:t>
      </w:r>
      <w:r>
        <w:t xml:space="preserve"> </w:t>
      </w:r>
    </w:p>
    <w:p w14:paraId="311742AF" w14:textId="77777777" w:rsidR="003E34C4" w:rsidRDefault="00673081" w:rsidP="00F1484A">
      <w:pPr>
        <w:ind w:firstLine="720"/>
      </w:pPr>
      <w:r>
        <w:t xml:space="preserve">At times, the decoration of doors in Roman funerary art became more overtly symbolic, such as on seasonal sarcophagi which became popular in the third century </w:t>
      </w:r>
      <w:r w:rsidR="00277854">
        <w:t>CE</w:t>
      </w:r>
      <w:r>
        <w:t>—for example, the columnar sarcophagus front in the Palazzo dei Conservatori in the Capitoline Museums decorated with depictions of the four seasonal putti on its door panels (Fig. 12).</w:t>
      </w:r>
      <w:r w:rsidRPr="00277854">
        <w:rPr>
          <w:vertAlign w:val="superscript"/>
        </w:rPr>
        <w:t>68</w:t>
      </w:r>
      <w:r>
        <w:t xml:space="preserve"> The seasons appear frequently in Roman literature and funerary art, comprising different meanings, from simple figures who brought seasonal gifts to the grave of the departed to more profound considerations of the perpetual cycle of death, renewal, time, and new life. The Roman poet Horace (65–8 </w:t>
      </w:r>
      <w:r w:rsidR="00277854">
        <w:t>BCE</w:t>
      </w:r>
      <w:r>
        <w:t xml:space="preserve">) speaks of the eternal rotation of the four seasons and the futility of hoping for a return from Hades, whereas the poet Ovid (43 </w:t>
      </w:r>
      <w:r w:rsidR="00277854">
        <w:t>BCE</w:t>
      </w:r>
      <w:r>
        <w:t xml:space="preserve">–17/18 </w:t>
      </w:r>
      <w:r w:rsidR="00277854">
        <w:t>CE</w:t>
      </w:r>
      <w:r>
        <w:t>) compares them to the four ages of man and time as the great devourer.</w:t>
      </w:r>
      <w:r w:rsidRPr="003E34C4">
        <w:rPr>
          <w:vertAlign w:val="superscript"/>
        </w:rPr>
        <w:t>69</w:t>
      </w:r>
      <w:r>
        <w:t xml:space="preserve"> The inclusion of pictorial schemes on the panels of the established eschatological motif of the plaque’s door provided additional symbolic import.</w:t>
      </w:r>
      <w:r w:rsidRPr="003E34C4">
        <w:rPr>
          <w:vertAlign w:val="superscript"/>
        </w:rPr>
        <w:t>70</w:t>
      </w:r>
      <w:r>
        <w:t xml:space="preserve"> In this case, the open door indicated that Christ had returned from beyond the grave, but replacing the stone of the scriptural account with a door had the additional advantage of </w:t>
      </w:r>
      <w:r>
        <w:lastRenderedPageBreak/>
        <w:t>providing tableaux for further interpretative iconographies that could frame the beholder’s perception of the tomb.</w:t>
      </w:r>
      <w:r w:rsidRPr="003E34C4">
        <w:rPr>
          <w:vertAlign w:val="superscript"/>
        </w:rPr>
        <w:t>71</w:t>
      </w:r>
      <w:r>
        <w:t xml:space="preserve"> </w:t>
      </w:r>
    </w:p>
    <w:p w14:paraId="3613F4E6" w14:textId="77777777" w:rsidR="00D352CD" w:rsidRDefault="00673081" w:rsidP="00F1484A">
      <w:pPr>
        <w:ind w:firstLine="720"/>
      </w:pPr>
      <w:r>
        <w:t>The raising of Lazarus found on the door had, from an early date, been considered a typological forerunner of the Resurrection and a complete demonstration of the perfect unity of Christ’s divine and human natures: Christ’s weeping at the death of his friend displayed his humanity, while his power to raise Lazarus from the dead revealed his divinity. It disclosed the divine and human natures of Christ, present and operative simultaneously. Pope Leo I, whose pronouncements concerning the inextricably unified person of Christ formed the most authoritative articulations of fifth-century Christology in the West, said, “Let your own feelings explain to you why He shed tears over a dead friend: let His Divine power be realised, when that same friend, after mouldering in the grave four days, is brought to life and raised only by the command of his voice.”</w:t>
      </w:r>
      <w:r w:rsidRPr="00C74F51">
        <w:rPr>
          <w:vertAlign w:val="superscript"/>
        </w:rPr>
        <w:t>72</w:t>
      </w:r>
      <w:r>
        <w:t xml:space="preserve"> The women on the lower door panels are Mary and Martha, the sisters of Lazarus, who grieved their brother until Christ arrived and raised him to life. In this way, they provide types for the two women on the plaque who were grieving until the arrival of Christ, who, like Lazarus, had been raised from the dead. Self-reflexivity is evident here between the tomb and the box that depicts it: the women on the doors not only mirror but frame the women on the plaque, creating an interpretative parallel between the tomb of Christ and the box and its contents, with the lid of the box corresponding to the tomb door.</w:t>
      </w:r>
      <w:r w:rsidRPr="00D352CD">
        <w:rPr>
          <w:vertAlign w:val="superscript"/>
        </w:rPr>
        <w:t>73</w:t>
      </w:r>
      <w:r>
        <w:t xml:space="preserve"> </w:t>
      </w:r>
    </w:p>
    <w:p w14:paraId="47B0C37F" w14:textId="32698061" w:rsidR="005E7E95" w:rsidRDefault="00673081" w:rsidP="003F7168">
      <w:r>
        <w:t xml:space="preserve">The concept of revelation provided the fulcrum where the knowability of God and his ultimate transcendence intersected, a concept that boxes were inherently suited to </w:t>
      </w:r>
      <w:r w:rsidR="003F7168">
        <w:t>articulate in being made to contain, conceal, and reveal. Ideas of closure and disclosure were exploited fully on the panel, in particular the analogy made between the opening of the tomb door on the panel on the right and the act of undoing the box. The diminutive size of the tomb in relation to the figures that surround it engages in a play of scale, whereby the tomb structure becomes less like a building capable of hosting the bodies that surround it and more akin to the casket that hosts it. The box and the tomb became aligned through the diminutive scale of the represented structure and their reflexive iconographies, so that in opening the box, the beholder engaged in physically reenacting the sacred narrative on a reduced scale.</w:t>
      </w:r>
      <w:r w:rsidR="003F7168" w:rsidRPr="005E7E95">
        <w:rPr>
          <w:vertAlign w:val="superscript"/>
        </w:rPr>
        <w:t>74</w:t>
      </w:r>
      <w:r w:rsidR="003F7168">
        <w:t xml:space="preserve"> This panel thus comprised a </w:t>
      </w:r>
      <w:r w:rsidR="003F7168" w:rsidRPr="005E7E95">
        <w:rPr>
          <w:i/>
          <w:iCs/>
        </w:rPr>
        <w:t xml:space="preserve">mise </w:t>
      </w:r>
      <w:proofErr w:type="spellStart"/>
      <w:r w:rsidR="003F7168" w:rsidRPr="005E7E95">
        <w:rPr>
          <w:i/>
          <w:iCs/>
        </w:rPr>
        <w:t>en</w:t>
      </w:r>
      <w:proofErr w:type="spellEnd"/>
      <w:r w:rsidR="003F7168" w:rsidRPr="005E7E95">
        <w:rPr>
          <w:i/>
          <w:iCs/>
        </w:rPr>
        <w:t xml:space="preserve"> abyme</w:t>
      </w:r>
      <w:r w:rsidR="003F7168">
        <w:t xml:space="preserve"> that framed the beholder’s approach to the box and its contents.</w:t>
      </w:r>
      <w:r w:rsidR="003F7168" w:rsidRPr="005E7E95">
        <w:rPr>
          <w:vertAlign w:val="superscript"/>
        </w:rPr>
        <w:t>75</w:t>
      </w:r>
      <w:r w:rsidR="003F7168">
        <w:t xml:space="preserve"> Furthermore, the beholder’s action became a kinaesthetic analogy for the opening of the tomb and thus Christ’s resurrection from the dead. </w:t>
      </w:r>
    </w:p>
    <w:p w14:paraId="1CC32D30" w14:textId="77777777" w:rsidR="003F7168" w:rsidRDefault="00673081" w:rsidP="003F7168">
      <w:pPr>
        <w:ind w:firstLine="720"/>
      </w:pPr>
      <w:r>
        <w:t xml:space="preserve">The Resurrection was impossible to express directly; it was articulated only in scenes of what happened after the fact. Here, the self-reflexive opening of the box became an analogical reenactment of the Resurrection at that moment in time. The box thus spoke to the containment of God in matter through the Incarnation, and the ultimate inability of the tomb to contain Christ due to his divinity. This mimetic act on a reduced scale became a physical reenactment of the human and divine natures present and operative at once, affirming the Christology that had developed in the fourth century and anticipating its final ratification at the Christological church councils of the fifth. </w:t>
      </w:r>
    </w:p>
    <w:p w14:paraId="092F02D1" w14:textId="77777777" w:rsidR="00B5316D" w:rsidRDefault="00673081" w:rsidP="003F7168">
      <w:pPr>
        <w:ind w:firstLine="720"/>
      </w:pPr>
      <w:r>
        <w:t>The fifth century was definitive in terms of Christology, with lasting pronouncements made on the ontology of Christ.</w:t>
      </w:r>
      <w:r w:rsidRPr="003F7168">
        <w:rPr>
          <w:vertAlign w:val="superscript"/>
        </w:rPr>
        <w:t>76</w:t>
      </w:r>
      <w:r>
        <w:t xml:space="preserve"> The paradox of God as human became increasingly important between the First Ecumenical Council of Nicaea (325 </w:t>
      </w:r>
      <w:r w:rsidR="003F7168">
        <w:t>CE</w:t>
      </w:r>
      <w:r>
        <w:t xml:space="preserve">) and the Council of Chalcedon (451 </w:t>
      </w:r>
      <w:r w:rsidR="003F7168">
        <w:t>CE</w:t>
      </w:r>
      <w:r>
        <w:t xml:space="preserve">), particularly during the conflict with Nestorius, Patriarch of Constantinople (428–31 </w:t>
      </w:r>
      <w:r w:rsidR="003F7168">
        <w:t>CE</w:t>
      </w:r>
      <w:r>
        <w:t xml:space="preserve">), whose views were eventually condemned as heretical at the Council of Ephesus (431 </w:t>
      </w:r>
      <w:r w:rsidR="003F7168">
        <w:t>CE</w:t>
      </w:r>
      <w:r>
        <w:t>).</w:t>
      </w:r>
      <w:r w:rsidRPr="003F7168">
        <w:rPr>
          <w:vertAlign w:val="superscript"/>
        </w:rPr>
        <w:t>77</w:t>
      </w:r>
      <w:r>
        <w:t xml:space="preserve"> His assertion of a loose prosopic union of Christ’s divine and human natures, in which they remained distinct, stood in opposition to the full hypostatic union affirmed at Chalcedon, </w:t>
      </w:r>
      <w:r>
        <w:lastRenderedPageBreak/>
        <w:t xml:space="preserve">whereby Christ had one complete existence that was at once fully human and fully divine. The controversy reached a crescendo in the debates concerning the Virgin as Theotokos (God-bearer, or </w:t>
      </w:r>
      <w:r w:rsidRPr="00B5316D">
        <w:rPr>
          <w:i/>
          <w:iCs/>
        </w:rPr>
        <w:t>Mater Dei/Dei Genitrix</w:t>
      </w:r>
      <w:r>
        <w:t xml:space="preserve"> in the West) at Ephesus. The Theotokos became the epicenter of debates concerning the containment of the sacred in matter because she first facilitated the physical dwelling of God’s presence in her womb—where the hypostatic union of flesh and divinity occurred. </w:t>
      </w:r>
    </w:p>
    <w:p w14:paraId="55B93EE1" w14:textId="77777777" w:rsidR="00C00446" w:rsidRDefault="00673081" w:rsidP="003F7168">
      <w:pPr>
        <w:ind w:firstLine="720"/>
      </w:pPr>
      <w:r>
        <w:t>The phrase used in the title of this article, “containing the uncontainable,” was inspired by the phrase “the container of the uncontainable” (</w:t>
      </w:r>
      <w:r>
        <w:rPr>
          <w:rFonts w:ascii="Arial" w:hAnsi="Arial" w:cs="Arial"/>
        </w:rPr>
        <w:t>ἡ</w:t>
      </w:r>
      <w:r>
        <w:t xml:space="preserve"> Χώρα το</w:t>
      </w:r>
      <w:r>
        <w:rPr>
          <w:rFonts w:ascii="Arial" w:hAnsi="Arial" w:cs="Arial"/>
        </w:rPr>
        <w:t>ῦ</w:t>
      </w:r>
      <w:r>
        <w:t xml:space="preserve"> </w:t>
      </w:r>
      <w:r>
        <w:rPr>
          <w:rFonts w:ascii="Arial" w:hAnsi="Arial" w:cs="Arial"/>
        </w:rPr>
        <w:t>Ἀ</w:t>
      </w:r>
      <w:r>
        <w:t xml:space="preserve">χωρήτου, </w:t>
      </w:r>
      <w:r w:rsidRPr="00603604">
        <w:rPr>
          <w:i/>
          <w:iCs/>
        </w:rPr>
        <w:t>hē Chōra tou Achōrētou</w:t>
      </w:r>
      <w:r>
        <w:t xml:space="preserve">), which dates back to at least the fifth century when it was used by Patriarch Cyril of Alexandria (ca. 375–444 </w:t>
      </w:r>
      <w:r w:rsidR="00603604">
        <w:t>CE</w:t>
      </w:r>
      <w:r>
        <w:t>)—one of the main figures who opposed Nestorius—as an epithet for the Virgin at the Council of Ephesus.</w:t>
      </w:r>
      <w:r w:rsidRPr="00603604">
        <w:rPr>
          <w:vertAlign w:val="superscript"/>
        </w:rPr>
        <w:t>78</w:t>
      </w:r>
      <w:r>
        <w:t xml:space="preserve"> The Greek words can also be translated as “the dwelling place of the uncontainable,” and they directly related to the intricacies of the incarnational debate in this way. Although the epithet referred to the Virgin, it derived from centuries-old debates concerning the uncontainable (</w:t>
      </w:r>
      <w:r>
        <w:rPr>
          <w:rFonts w:ascii="Arial" w:hAnsi="Arial" w:cs="Arial"/>
        </w:rPr>
        <w:t>ἀ</w:t>
      </w:r>
      <w:r>
        <w:t>χώρητος/</w:t>
      </w:r>
      <w:r w:rsidRPr="00603604">
        <w:rPr>
          <w:i/>
          <w:iCs/>
        </w:rPr>
        <w:t>achōretos</w:t>
      </w:r>
      <w:r>
        <w:t>) nature of God.</w:t>
      </w:r>
      <w:r w:rsidRPr="00603604">
        <w:rPr>
          <w:vertAlign w:val="superscript"/>
        </w:rPr>
        <w:t>79</w:t>
      </w:r>
      <w:r>
        <w:t xml:space="preserve"> The epithet gained in currency in the fifth century due to the ongoing Christological debate, and it epitomizes the discussion of the paradoxical nature of Christ as a </w:t>
      </w:r>
      <w:proofErr w:type="gramStart"/>
      <w:r>
        <w:t>God-man</w:t>
      </w:r>
      <w:proofErr w:type="gramEnd"/>
      <w:r>
        <w:t xml:space="preserve"> at this juncture of human history. God had made himself known in matter, and so a sacramental appraisal of the material world became prominent, filtering out into the worldview of elite and ordinary Christians alike. The casket did not articulate the finer theological points of these Christological church councils but became a product of, and an actor in, the spiritual milieu of its time and place: it articulated and participated in the containment of the uncontainable, becoming a dwelling place for the sacred. </w:t>
      </w:r>
    </w:p>
    <w:p w14:paraId="7F06B6FA" w14:textId="77777777" w:rsidR="00C80230" w:rsidRDefault="00673081" w:rsidP="003F7168">
      <w:pPr>
        <w:ind w:firstLine="720"/>
      </w:pPr>
      <w:r>
        <w:t>The Maskell box can be compared to other ivory caskets from the period that may also have acted as vessels for the sacred. The religious iconographies hosted on the Maskell plaques and on other surviving late-antique boxes in ivory, such as the fourth-century Brescia and fifth-century Pola caskets, indicate that their contents were sacred. It is generally thought that the Brescia and Pola caskets functioned as reliquaries, at least at some point in their existence.</w:t>
      </w:r>
      <w:r w:rsidRPr="00C00446">
        <w:rPr>
          <w:vertAlign w:val="superscript"/>
        </w:rPr>
        <w:t>80</w:t>
      </w:r>
      <w:r>
        <w:t xml:space="preserve"> The Maskell casket was relatively small in comparison to these other boxes. The Pola casket, made from wood, ivory, and silver, perhaps in the early or mid-fifth century, measures 7½ x 7⅞ x 6¼ in. (19 x 20 x 16 cm) (Fig. 13). This casket, found beneath the altar in the apse of the early Christian church of St. Hermagoras in the village of Samagher near Pola in Istria, was certainly used as a reliquary, but it is unknown whether it was created for this purpose. The Brescia casket, made from ivory panels affixed to a wooden substructure, is thought to have been created by a northern Italian workshop in the 380s. This casket, now in the Museo di Santa Giulia at San Salvatore in Brescia, is even larger at 12⅝ x 8⅝ x 9⅞ in. (22 x 32 x 25 cm) (Fig. 14). The smaller size of the Maskell box could indicate that it was a personal devotional item for a wealthy patron. However, the theological sophistication of its iconographic program suggests it was created to hold something of special import, like these two larger caskets, such as relics or portions of the consecrated host.</w:t>
      </w:r>
      <w:r w:rsidRPr="0001006D">
        <w:rPr>
          <w:vertAlign w:val="superscript"/>
        </w:rPr>
        <w:t>81</w:t>
      </w:r>
      <w:r>
        <w:t xml:space="preserve"> The original contents of these unique commissions have long since disappeared, but each displays a self-conscious framing of the holy objects they were intended to hold through the scenes on their surfaces.</w:t>
      </w:r>
      <w:r w:rsidRPr="00C80230">
        <w:rPr>
          <w:vertAlign w:val="superscript"/>
        </w:rPr>
        <w:t>82</w:t>
      </w:r>
      <w:r>
        <w:t xml:space="preserve"> Most interestingly, each played on ideas of concealment, revelation, and containment of the sacred in different ways, as befitting boxes carrying sacred materials. </w:t>
      </w:r>
    </w:p>
    <w:p w14:paraId="1A793A0F" w14:textId="2E6DE9E2" w:rsidR="00D832D3" w:rsidRDefault="00673081" w:rsidP="004508F3">
      <w:pPr>
        <w:ind w:firstLine="720"/>
      </w:pPr>
      <w:r>
        <w:t xml:space="preserve">Jaś Elsner has shown that the Pola casket focused attention on the concealment of its contents through the recurring motif of the closed doorway, which “drew attention to its function as a sealed container of sacred things, to the promise of their revelation through the </w:t>
      </w:r>
      <w:r>
        <w:lastRenderedPageBreak/>
        <w:t>opening of doors or lid.”</w:t>
      </w:r>
      <w:r w:rsidRPr="00C80230">
        <w:rPr>
          <w:vertAlign w:val="superscript"/>
        </w:rPr>
        <w:t>83</w:t>
      </w:r>
      <w:r>
        <w:t xml:space="preserve"> The hetoimasia, the empty throne prepared for the Second Coming of Christ, forms the main scene on the front of this casket; it stands apart from the main scenes on the other three sides, each of which shows a church building with columns and arcades, with an arched niche occupying the center of each scene.</w:t>
      </w:r>
      <w:r w:rsidRPr="00014190">
        <w:rPr>
          <w:vertAlign w:val="superscript"/>
        </w:rPr>
        <w:t>84</w:t>
      </w:r>
      <w:r>
        <w:t xml:space="preserve"> On the right and left faces a curtain is drawn back, revealing on the left an enticing lattice grille to potentially peer through. On the back, ideas of “closure, opening and the penetrative gaze” are suggested by means of worshippers approaching the closed doors (see Fig. 13).</w:t>
      </w:r>
      <w:r w:rsidRPr="00D832D3">
        <w:rPr>
          <w:vertAlign w:val="superscript"/>
        </w:rPr>
        <w:t>85</w:t>
      </w:r>
      <w:r>
        <w:t xml:space="preserve"> Elsner points to the theophanic resonance of doors in scripture (such as Revelation 3:20); it is clear that, from the </w:t>
      </w:r>
      <w:r w:rsidR="004508F3">
        <w:t>earliest stage, the motif of the door was deemed desirable and meaningful in relation to these boxes to create tension between the concealment of their holy contents and the desire of the beholder to open them and connect to the sacred.</w:t>
      </w:r>
    </w:p>
    <w:p w14:paraId="41F8AE75" w14:textId="77777777" w:rsidR="00181D8D" w:rsidRDefault="00673081" w:rsidP="004508F3">
      <w:pPr>
        <w:ind w:firstLine="720"/>
      </w:pPr>
      <w:r>
        <w:t>The Brescia casket also emphasizes ideas of concealment and revelation, particularly in the central scene on its front panel which shows Christ teaching in the synagogue at Nazareth (Luke 4:16–21).</w:t>
      </w:r>
      <w:r w:rsidRPr="00DE60A0">
        <w:rPr>
          <w:vertAlign w:val="superscript"/>
        </w:rPr>
        <w:t>86</w:t>
      </w:r>
      <w:r>
        <w:t xml:space="preserve"> He unfurls a roll of scripture within an architectural structure, teaching the six figures seated to either side of him. Catherine Brown Tkacz, in her detailed examination of the casket, posits a novel and deeply typological arrangement, whereby scenes from the Old and New Testaments both foreshadowed and completed the Passion of Christ as it appears in five scenes across two registers on the lid. These five scenes from the Passion, from the Garden of Gethsemane to the judgment before Pilate, do not include the Crucifixion and Resurrection; rather, the cycle is completed by means of Old Testament types below. On the upper panels on the front of the casket, the Old Testament prophet Jonah is swallowed and regurgitated by the “great fish,” a biblical narrative that was considered a typological prefiguration of the death and resurrection of Christ, even by Christ himself (Matthew 12:39–41).</w:t>
      </w:r>
      <w:r w:rsidRPr="00692DBF">
        <w:rPr>
          <w:vertAlign w:val="superscript"/>
        </w:rPr>
        <w:t>87</w:t>
      </w:r>
      <w:r>
        <w:t xml:space="preserve"> The key to this typological interpretation is included underneath these representations of Jonah, where Christ opens the scriptures both physically and figuratively in the depiction of his unfurling the roll of scripture at Nazareth when he claimed to be the </w:t>
      </w:r>
      <w:proofErr w:type="spellStart"/>
      <w:r>
        <w:t>fulfillment</w:t>
      </w:r>
      <w:proofErr w:type="spellEnd"/>
      <w:r>
        <w:t xml:space="preserve"> of a prophecy from Isaiah 61:1–3. The Old Testament is thus shown to be unveiled in the New, confirming that Jonah should be interpreted as a Christological type. Tkacz points to a citation from Augustine (354–430 </w:t>
      </w:r>
      <w:r w:rsidR="00D104A0">
        <w:t>CE</w:t>
      </w:r>
      <w:r>
        <w:t>), the famous theologian and bishop of Hippo Regius in Numidia, North Africa, to confirm this explanation of the scene, in which he says: “For the Old Testament is the veiling [velatio] of the New Testament, and the New Testament is the unveiling [revelatio] of the Old Testament.”</w:t>
      </w:r>
      <w:r w:rsidRPr="00D104A0">
        <w:rPr>
          <w:vertAlign w:val="superscript"/>
        </w:rPr>
        <w:t>88</w:t>
      </w:r>
      <w:r>
        <w:t xml:space="preserve"> This idea of revealing the unseen can also be associated with the curtains that are drawn back to reveal Christ within the synagogue, which Tkacz relates to Augustine’s veil. However, the revelation of Christ on the front of the casket and the ideas of concealment and revelation—and of deposition/entombment and resurrection/regurgitation in the story of Jonah—should also be related to the larger purpose of the box and its containment of holy fragments that participated in the life of the risen Christ, which could be deposited in and removed from the box. </w:t>
      </w:r>
    </w:p>
    <w:p w14:paraId="7D7B130D" w14:textId="77777777" w:rsidR="00E6555A" w:rsidRDefault="00673081" w:rsidP="004508F3">
      <w:pPr>
        <w:ind w:firstLine="720"/>
      </w:pPr>
      <w:r>
        <w:t xml:space="preserve">Overall, the Maskell box became like a little tomb: the opening and closing of the box to deposit and remove its contents became moments of </w:t>
      </w:r>
      <w:r w:rsidRPr="00181D8D">
        <w:rPr>
          <w:i/>
          <w:iCs/>
        </w:rPr>
        <w:t>imitatio</w:t>
      </w:r>
      <w:r>
        <w:t xml:space="preserve"> (imitation) of the burial and resurrection of Christ, with the beholder’s manipulation of the box functioning as a kinaesthetic analogy, akin to what Elsner refers to as “mimetic staging.”</w:t>
      </w:r>
      <w:r w:rsidRPr="00181D8D">
        <w:rPr>
          <w:vertAlign w:val="superscript"/>
        </w:rPr>
        <w:t>89</w:t>
      </w:r>
      <w:r>
        <w:t xml:space="preserve"> This mimetic act would have been deepened further if the Ascension was represented on the lid, with the gesture of opening the box simulating at once the opening of the tomb and, as the lid was hoisted up, the ascent of Christ into heaven. Overall, the third scene brought to the surface the objecthood of the box as a container intended for sacred materials that belonged to a larger, transcendent whole. It did so to foreground questions of the containment of God in matter, probed fully in the final scene. </w:t>
      </w:r>
    </w:p>
    <w:p w14:paraId="3630767C" w14:textId="77777777" w:rsidR="00E6555A" w:rsidRPr="00E6555A" w:rsidRDefault="00673081" w:rsidP="00E6555A">
      <w:pPr>
        <w:rPr>
          <w:b/>
          <w:bCs/>
        </w:rPr>
      </w:pPr>
      <w:r w:rsidRPr="00E6555A">
        <w:rPr>
          <w:b/>
          <w:bCs/>
        </w:rPr>
        <w:lastRenderedPageBreak/>
        <w:t xml:space="preserve">Touching </w:t>
      </w:r>
    </w:p>
    <w:p w14:paraId="17FDB074" w14:textId="77777777" w:rsidR="0091709C" w:rsidRDefault="00673081" w:rsidP="00E6555A">
      <w:pPr>
        <w:ind w:firstLine="720"/>
      </w:pPr>
      <w:r>
        <w:t>Christ’s offer to Thomas to probe his wound and believe in his bodily resurrection formed the culmination of the program on the back of the casket (see Fig. 6). When Christ appeared to the disciples in the locked room of a house after his resurrection, Thomas was absent; afterward he declared that he would not believe unless he put his hand into the wound where a lance had pierced Christ’s side on the cross. When Christ appeared again, coming through the locked doors once more, he invited Thomas to place his hand into his side, prompting Thomas to be the first to openly declare Christ’s divinity in scripture.</w:t>
      </w:r>
      <w:r w:rsidRPr="001C567D">
        <w:rPr>
          <w:vertAlign w:val="superscript"/>
        </w:rPr>
        <w:t>90</w:t>
      </w:r>
      <w:r>
        <w:t xml:space="preserve"> The scene was rare at this date, surviving only on a small number of other objects.</w:t>
      </w:r>
      <w:r w:rsidRPr="0091709C">
        <w:rPr>
          <w:vertAlign w:val="superscript"/>
        </w:rPr>
        <w:t>91</w:t>
      </w:r>
      <w:r>
        <w:t xml:space="preserve"> </w:t>
      </w:r>
    </w:p>
    <w:p w14:paraId="0D381185" w14:textId="77777777" w:rsidR="00DD3C23" w:rsidRDefault="00673081" w:rsidP="00E6555A">
      <w:pPr>
        <w:ind w:firstLine="720"/>
      </w:pPr>
      <w:r>
        <w:t xml:space="preserve">The box as a whole necessitated physical contact between the beholder and the high-relief iconographies that formed its surfaces. Thomas’s gesture toward Christ’s absent wound formed a further punctum within this scene, focusing the beholder on the relationship between touch and belief and extending Christ’s offer to the beholder. Thomas’s gesture on the back of the box connects visually and conceptually to a corresponding punctum in the same place on the front: the soldier spearing Christ’s side (see Fig. 4). Both men are located to Christ’s left and step forward into the space of the viewer while raising their right hands in parallel but contrasting actions: the soldier inflicts the wound through indirect contact with Christ’s body, proving the reality of his death, while Thomas reaches out to prove the reality of his resurrection through this same wound. These juxtaposed interactions with Christ’s body anticipated the beholder’s consideration of their own response to Christ, as they touched tangible representations of his dying and resurrected body. </w:t>
      </w:r>
    </w:p>
    <w:p w14:paraId="44EF9805" w14:textId="77777777" w:rsidR="000514A9" w:rsidRDefault="00673081" w:rsidP="00E6555A">
      <w:pPr>
        <w:ind w:firstLine="720"/>
      </w:pPr>
      <w:r>
        <w:t>Touch was considered the lowest of the five senses in the sensory hierarchy of Greco</w:t>
      </w:r>
      <w:r w:rsidR="00DD3C23">
        <w:t>-</w:t>
      </w:r>
      <w:r>
        <w:t>Roman antiquity because it was so pervasive in lived reality: it was understood as common to all of the other senses and as not locatable precisely in one organ.</w:t>
      </w:r>
      <w:r w:rsidRPr="008C2789">
        <w:rPr>
          <w:vertAlign w:val="superscript"/>
        </w:rPr>
        <w:t>92</w:t>
      </w:r>
      <w:r>
        <w:t xml:space="preserve"> Aristotle most famously made the case for touch being the common denominator of all animate beings, without which there could be no life.</w:t>
      </w:r>
      <w:r w:rsidRPr="008C2789">
        <w:rPr>
          <w:vertAlign w:val="superscript"/>
        </w:rPr>
        <w:t>93</w:t>
      </w:r>
      <w:r>
        <w:t xml:space="preserve"> He also asserted a superior link between touch and knowing, saying of man: “[I]n the other senses he is behind many kinds of animal, but in touch he is much more discriminating than the other animals. This is why he is of all living creatures the most intelligent.”</w:t>
      </w:r>
      <w:r w:rsidRPr="008C2789">
        <w:rPr>
          <w:vertAlign w:val="superscript"/>
        </w:rPr>
        <w:t>94</w:t>
      </w:r>
      <w:r>
        <w:t xml:space="preserve"> Among early Christians, the Greco-Roman perception of touch was informed by a biblical understanding of Christ, who touched and was touched when he healed and saved.</w:t>
      </w:r>
      <w:r w:rsidRPr="008C2789">
        <w:rPr>
          <w:vertAlign w:val="superscript"/>
        </w:rPr>
        <w:t>95</w:t>
      </w:r>
      <w:r>
        <w:t xml:space="preserve"> The faith was subsequently apprehended, activated, and expressed through physical engagements, such as tasting the eucharistic elements, bowing and raising hands in prayer, and the laying on of hands in healing and anointing, while significant moments in life, belief, and death were observed with corporeal rituals, such as being immersed in water and anointed with oil. Connections between touch, discrimination, and belief continued into early patristic theology, alongside suspicions regarding sensory engagement on the part of church fathers, such as the theologian Jerome (ca. 347–420 </w:t>
      </w:r>
      <w:r w:rsidR="000514A9">
        <w:t>CE</w:t>
      </w:r>
      <w:r>
        <w:t>) who famously maintained that “through the five senses, as through open windows, vice has access to the soul.”</w:t>
      </w:r>
      <w:r w:rsidRPr="000514A9">
        <w:rPr>
          <w:vertAlign w:val="superscript"/>
        </w:rPr>
        <w:t>96</w:t>
      </w:r>
      <w:r>
        <w:t xml:space="preserve"> </w:t>
      </w:r>
    </w:p>
    <w:p w14:paraId="7BC45811" w14:textId="77777777" w:rsidR="004F3A0F" w:rsidRDefault="00673081" w:rsidP="00E6555A">
      <w:pPr>
        <w:ind w:firstLine="720"/>
      </w:pPr>
      <w:r>
        <w:t xml:space="preserve">The prolific and influential theologian Origen of Alexandria (ca. 185–ca. 254 </w:t>
      </w:r>
      <w:r w:rsidR="000514A9">
        <w:t>CE</w:t>
      </w:r>
      <w:r>
        <w:t xml:space="preserve">), however, was ultimately condemned at the Second Council of Constantinople in 553 </w:t>
      </w:r>
      <w:r w:rsidR="000514A9">
        <w:t>CE</w:t>
      </w:r>
      <w:r>
        <w:t xml:space="preserve"> for his conviction that one did not need a body to engage with and know God.</w:t>
      </w:r>
      <w:r w:rsidRPr="000514A9">
        <w:rPr>
          <w:vertAlign w:val="superscript"/>
        </w:rPr>
        <w:t>97</w:t>
      </w:r>
      <w:r>
        <w:t xml:space="preserve"> By the mid</w:t>
      </w:r>
      <w:r w:rsidR="00C3273A">
        <w:t>-</w:t>
      </w:r>
      <w:r>
        <w:t>fourth century, the thought of Origen and his followers had been superseded by the belief that God had made himself known in the physical world and therefore the holy could be tangibly experienced through matter also.</w:t>
      </w:r>
      <w:r w:rsidRPr="00C3273A">
        <w:rPr>
          <w:vertAlign w:val="superscript"/>
        </w:rPr>
        <w:t>98</w:t>
      </w:r>
      <w:r>
        <w:t xml:space="preserve"> Touch increased in importance as the veneration of relics proliferated, and a Christian epistemology that conflated touch and sight grew also with the intensification of pilgrimage to the Holy Land following the interventions of Constantine and his mother there.</w:t>
      </w:r>
      <w:r w:rsidRPr="004F3A0F">
        <w:rPr>
          <w:vertAlign w:val="superscript"/>
        </w:rPr>
        <w:t>99</w:t>
      </w:r>
      <w:r>
        <w:t xml:space="preserve"> </w:t>
      </w:r>
      <w:r>
        <w:lastRenderedPageBreak/>
        <w:t xml:space="preserve">The influential writer and poet Paulinus of Nola (ca. 353–431 </w:t>
      </w:r>
      <w:r w:rsidR="004F3A0F">
        <w:t>CE</w:t>
      </w:r>
      <w:r>
        <w:t>) notes that it was not enough for pilgrims to see the holy places; they desired to physically touch the places where Christ had lived and ministered.</w:t>
      </w:r>
      <w:r w:rsidRPr="004F3A0F">
        <w:rPr>
          <w:vertAlign w:val="superscript"/>
        </w:rPr>
        <w:t>100</w:t>
      </w:r>
      <w:r>
        <w:t xml:space="preserve"> No biblical narrative spoke more to this religious epistemology and the connection between touch and knowing than the incredulity of Thomas.</w:t>
      </w:r>
      <w:r w:rsidRPr="004F3A0F">
        <w:rPr>
          <w:vertAlign w:val="superscript"/>
        </w:rPr>
        <w:t>101</w:t>
      </w:r>
      <w:r>
        <w:t xml:space="preserve"> It seems no coincidence that it took up an entire panel of the box, and the strikingly corpulent representational style, in combination with the choice of medium, seems to have conspired in inviting the viewer to touch and believe also. </w:t>
      </w:r>
    </w:p>
    <w:p w14:paraId="39402A52" w14:textId="77777777" w:rsidR="001A3DEA" w:rsidRDefault="00673081" w:rsidP="00E6555A">
      <w:pPr>
        <w:ind w:firstLine="720"/>
      </w:pPr>
      <w:r>
        <w:t>The biblical narrative does not reveal whether Thomas did touch Christ, and so the indeterminacy of the iconography is crucial here; the scene was left for the viewer to complete. Indeed, the high-relief panels demanded that the beholder touch the body of Christ. The plaques extend up to ¾ in. (2 cm) in depth in places, and they are deeply undercut. The depth of the cut and the corpulence of the figures that protrude from each panel made salient contact with the hands of the beholder inevitable. The natural curvature of the ivory grain was expertly manipulated by the carver on protruding limbs to give the impression of real bodies underneath the draperies.</w:t>
      </w:r>
      <w:r w:rsidRPr="00621515">
        <w:rPr>
          <w:vertAlign w:val="superscript"/>
        </w:rPr>
        <w:t>102</w:t>
      </w:r>
      <w:r>
        <w:t xml:space="preserve"> Undercutting and their sheer volume cause the figures to cast shadows that would have moved as the panels were manipulated in the beholder’s hands, enlivening the scenes and bringing them into the real time and space of the viewer, reinforcing the reality of Christ’s humanity and his resurrected body. Not only was the beholder not invited into the vista of another world, but the perception of these scenes as mere illustrations was precluded. Instead, the figures extended into the space of the viewer, their feet and limbs overlapping their thin frames, such as the feet of the disciples in the incredulity of Thomas. They exceed the surface to varying degrees, which would have made the box unwieldy in the hands. Full and arresting union with the bodies represented was thus inevitable, while the insistent and irregular materiality of the box would have continuously reminded the beholder of the reality of the sacred scenes represented. </w:t>
      </w:r>
    </w:p>
    <w:p w14:paraId="6C9E0C2C" w14:textId="77777777" w:rsidR="00B253AE" w:rsidRDefault="00673081" w:rsidP="00E6555A">
      <w:pPr>
        <w:ind w:firstLine="720"/>
      </w:pPr>
      <w:r>
        <w:t>Spatial disjuncture was thus exploited as these scenes protruded into the space and hands of the beholder rather than receding into the picture plane, necessitating touch and prompting reflection on the nature of Christ’s resurrected body. The nature of Christ’s post</w:t>
      </w:r>
      <w:r w:rsidR="001A3DEA">
        <w:t>-</w:t>
      </w:r>
      <w:r>
        <w:t>resurrection body was hugely topical in relation to the Christological debates of the period. Augustine was particularly interested in the nature of Christ’s resurrected body and asserted that, though incorruptible, it preserved its wounds for the sake of relieving Thomas’s unbelief.</w:t>
      </w:r>
      <w:r w:rsidRPr="001A3DEA">
        <w:rPr>
          <w:vertAlign w:val="superscript"/>
        </w:rPr>
        <w:t>103</w:t>
      </w:r>
      <w:r>
        <w:t xml:space="preserve"> Thomas’s desire to touch was increasingly valued as an example for the faithful over time, rather than being perceived in a negative light. </w:t>
      </w:r>
      <w:proofErr w:type="gramStart"/>
      <w:r>
        <w:t>Leo</w:t>
      </w:r>
      <w:proofErr w:type="gramEnd"/>
      <w:r>
        <w:t xml:space="preserve"> I maintained that Thomas expressed doubt for the benefit of the faithful, asserting that his touch provided the ultimate affirmation of the fully unified human and divine natures of Christ.</w:t>
      </w:r>
      <w:r w:rsidRPr="00B253AE">
        <w:rPr>
          <w:vertAlign w:val="superscript"/>
        </w:rPr>
        <w:t>104</w:t>
      </w:r>
      <w:r>
        <w:t xml:space="preserve"> </w:t>
      </w:r>
    </w:p>
    <w:p w14:paraId="059C787E" w14:textId="77777777" w:rsidR="009E352B" w:rsidRDefault="00673081" w:rsidP="00E6555A">
      <w:pPr>
        <w:ind w:firstLine="720"/>
      </w:pPr>
      <w:r>
        <w:t xml:space="preserve">Since its first articulation in the letters of the apostle Paul, the Resurrection had been discussed metaphorically because it stretched the bounds of rational thought: it was nearly impossible to express in language, other than to articulate what it was like by comparison. Paul first used an organic metaphor in 1 Corinthians 15 to explain the resurrected body by describing the deceased body as a seed that would germinate to give way to a new type of flesh. This was expanded upon by Origen, whose thought was ultimately rejected due to his reticence to affirm physical continuity between the original particles of the believer’s body and the resurrected body. With the corporeal turn of the fourth century, thinkers such as Victricius, bishop of Rouen (393–407 </w:t>
      </w:r>
      <w:r w:rsidR="0036415A">
        <w:t>CE</w:t>
      </w:r>
      <w:r>
        <w:t>), Augustine, and Jerome turned instead to “metaphors of re-assemblage” in language that was less organic and more structural.</w:t>
      </w:r>
      <w:r w:rsidRPr="0036415A">
        <w:rPr>
          <w:vertAlign w:val="superscript"/>
        </w:rPr>
        <w:t>105</w:t>
      </w:r>
      <w:r>
        <w:t xml:space="preserve"> Caroline Walker Bynum describes this as a disavowal of the “oozing, disgusting” reality of death through terminology that emphasized a </w:t>
      </w:r>
      <w:r>
        <w:lastRenderedPageBreak/>
        <w:t>flesh that would not decay.</w:t>
      </w:r>
      <w:r w:rsidRPr="009E352B">
        <w:rPr>
          <w:vertAlign w:val="superscript"/>
        </w:rPr>
        <w:t>106</w:t>
      </w:r>
      <w:r>
        <w:t xml:space="preserve"> In his correspondence, especially his diatribe against Bishop John of Jerusalem (ca. 387–417 </w:t>
      </w:r>
      <w:r w:rsidR="009E352B">
        <w:t>CE</w:t>
      </w:r>
      <w:r>
        <w:t xml:space="preserve">) in 397 </w:t>
      </w:r>
      <w:r w:rsidR="009E352B">
        <w:t>CE</w:t>
      </w:r>
      <w:r>
        <w:t>, Jerome repeatedly stressed the actual reassemblage of the body, in the same manner that Christ was raised in an incorruptible flesh.</w:t>
      </w:r>
      <w:r w:rsidRPr="009E352B">
        <w:rPr>
          <w:vertAlign w:val="superscript"/>
        </w:rPr>
        <w:t>107</w:t>
      </w:r>
      <w:r>
        <w:t xml:space="preserve"> The representation of Christ’s resurrected body in ivory seems appropriate to convey analogously the nature of resurrected flesh. Here the once-living, organic material of ivory seems indestructible, previously radiating pearly white and impervious to decay. </w:t>
      </w:r>
    </w:p>
    <w:p w14:paraId="1B74D53D" w14:textId="77777777" w:rsidR="00CA647E" w:rsidRDefault="00673081" w:rsidP="00E6555A">
      <w:pPr>
        <w:ind w:firstLine="720"/>
      </w:pPr>
      <w:r>
        <w:t>Sustained physical engagement with the medium of the box contributed additional layers of significance, however. The process of material discernment in relation to the ivory of the box formed a further kinaesthetic analogy that spoke to contemporary theological issues. Here the material had agency in its own right. Ivory as an organic medium that warms to the touch, with similarities in behavior to human skin, lent itself to a haptic mode of engagement.</w:t>
      </w:r>
      <w:r w:rsidRPr="008700C5">
        <w:rPr>
          <w:vertAlign w:val="superscript"/>
        </w:rPr>
        <w:t>108</w:t>
      </w:r>
      <w:r>
        <w:t xml:space="preserve"> These properties were understood since classical antiquity and were most famously embodied in the myth of the sculptor Pygmalion in Ovid’s </w:t>
      </w:r>
      <w:r w:rsidRPr="008700C5">
        <w:rPr>
          <w:i/>
          <w:iCs/>
        </w:rPr>
        <w:t>Metamorphoses</w:t>
      </w:r>
      <w:r>
        <w:t>.</w:t>
      </w:r>
      <w:r w:rsidRPr="008700C5">
        <w:rPr>
          <w:vertAlign w:val="superscript"/>
        </w:rPr>
        <w:t>109</w:t>
      </w:r>
      <w:r>
        <w:t xml:space="preserve"> Dissatisfied with the Cypriot women around him, Pygmalion sculpted a beautiful woman from ivory and fell in love with his creation. In answer to his prayers, the goddess Venus gave the statue life. The unique properties of ivory led Ovid to choose it over marble for Pygmalion’s creation of a living woman from artistic matter. As Pygmalion probed the ivory, it transformed into flesh under his fingers: “She seemed warm to his touch. Again he kissed her, and with his hands also he touched her breast. The ivory grew soft to his touch and, its hardness vanishing, gave and yielded beneath his fingers.”</w:t>
      </w:r>
      <w:r w:rsidRPr="00C3140F">
        <w:rPr>
          <w:vertAlign w:val="superscript"/>
        </w:rPr>
        <w:t>110</w:t>
      </w:r>
      <w:r>
        <w:t xml:space="preserve"> The choice of material in the myth stems from how the medium itself behaves. The chill of ivory jolts the human hand on first contact but then warms to the touch. Here it spoke uniquely to the doctrine of the Resurrection: cold, dead, organic matter started to warm as it was handled and turned in the beholder’s hands, forming a further kinaesthetic analogy in relation to Christ’s rising from the dead. Ivory was uniquely suited to emulating the sacred event of the Resurrection. Its properties simulated his rising and conveyed the properties of resurrected flesh, understood by theologians of the fourth and fifth centuries as hard, radiant, and indestructible.</w:t>
      </w:r>
      <w:r w:rsidRPr="00CA647E">
        <w:rPr>
          <w:vertAlign w:val="superscript"/>
        </w:rPr>
        <w:t>111</w:t>
      </w:r>
      <w:r>
        <w:t xml:space="preserve"> </w:t>
      </w:r>
    </w:p>
    <w:p w14:paraId="43E2FECF" w14:textId="77777777" w:rsidR="009C1151" w:rsidRDefault="00673081" w:rsidP="00E6555A">
      <w:pPr>
        <w:ind w:firstLine="720"/>
      </w:pPr>
      <w:r>
        <w:t>Analogies must break down at a certain point, however: the box remained ivory, not flesh, and the artifice could not ultimately be surmounted, speaking to the transcendence of God. The tangibility of Christ’s resurrected body is held in tension on the box with the fact of his divinity: he had passed through the locked doors in the first place to gain entrance to the room where the disciples were, and we are never told if Thomas did indeed touch the wound.</w:t>
      </w:r>
      <w:r w:rsidRPr="00AB2087">
        <w:rPr>
          <w:vertAlign w:val="superscript"/>
        </w:rPr>
        <w:t>112</w:t>
      </w:r>
      <w:r>
        <w:t xml:space="preserve"> Here, the pedestal on which Christ stands resonates with the statue bases that “framed” three</w:t>
      </w:r>
      <w:r w:rsidR="00AB2087">
        <w:t>-</w:t>
      </w:r>
      <w:r>
        <w:t>dimensional sculptures in antiquity, setting them apart from the real world of their beholders.</w:t>
      </w:r>
      <w:r w:rsidRPr="00AB2087">
        <w:rPr>
          <w:vertAlign w:val="superscript"/>
        </w:rPr>
        <w:t>113</w:t>
      </w:r>
      <w:r>
        <w:t xml:space="preserve"> The pedestal separates Christ from the living that surround him, becoming a striking reminder not only of his divinity but also of the sculptural nature of his re-presentation here. Christ’s wound was no longer available, and its absence here formed a conspicuous reminder. Thomas had the option to touch and believe, but the box reminded the beholder of Christ’s words to Thomas in that locked room, that to touch and believe was good, but to believe without touching, or even seeing, was better as the faithful awaited his return.</w:t>
      </w:r>
      <w:r w:rsidRPr="009C1151">
        <w:rPr>
          <w:vertAlign w:val="superscript"/>
        </w:rPr>
        <w:t>114</w:t>
      </w:r>
      <w:r>
        <w:t xml:space="preserve"> The sacred interiority of the closed room which hosted Christ but could not contain him, represented on the back panel, referred the beholder back once again to the box and its sacred contents—holy fragments that facilitated access to the divine on a local level until the Second Coming of Christ but which ultimately could not contain the full transcendent reality of which they formed part. </w:t>
      </w:r>
    </w:p>
    <w:p w14:paraId="6136C98C" w14:textId="77777777" w:rsidR="009C1151" w:rsidRPr="009C1151" w:rsidRDefault="00673081" w:rsidP="009C1151">
      <w:pPr>
        <w:rPr>
          <w:b/>
          <w:bCs/>
        </w:rPr>
      </w:pPr>
      <w:r w:rsidRPr="009C1151">
        <w:rPr>
          <w:b/>
          <w:bCs/>
        </w:rPr>
        <w:t xml:space="preserve">Containing </w:t>
      </w:r>
    </w:p>
    <w:p w14:paraId="41C9BB58" w14:textId="77777777" w:rsidR="00550F3E" w:rsidRDefault="00673081" w:rsidP="009C1151">
      <w:pPr>
        <w:ind w:firstLine="720"/>
      </w:pPr>
      <w:r>
        <w:lastRenderedPageBreak/>
        <w:t>Such references to containment are found as puncta throughout the visual program of the casket, from the tomb with its successive layers of interiority to the new life of the young birds contained in the nest above Judas, which signaled the victory that would come from his betrayal and resonated with the life-giving contents of the box.</w:t>
      </w:r>
      <w:r w:rsidRPr="009C1151">
        <w:rPr>
          <w:vertAlign w:val="superscript"/>
        </w:rPr>
        <w:t>115</w:t>
      </w:r>
      <w:r>
        <w:t xml:space="preserve"> Finally, then, we arrive at the holy fragments that may have been contained within the casket. Relics and the Eucharist have been suggested, and neither can be conclusively ruled out, but I suggest that the box most probably contained portions of the consecrated host.</w:t>
      </w:r>
      <w:r w:rsidRPr="00550F3E">
        <w:rPr>
          <w:vertAlign w:val="superscript"/>
        </w:rPr>
        <w:t>116</w:t>
      </w:r>
      <w:r>
        <w:t xml:space="preserve"> Either way, it is clear from its program that the box was created to carry material fragments that facilitated access to the divine, a practice made possible by the incarnation of Christ. </w:t>
      </w:r>
    </w:p>
    <w:p w14:paraId="621359A9" w14:textId="77777777" w:rsidR="007267C3" w:rsidRDefault="00673081" w:rsidP="009C1151">
      <w:pPr>
        <w:ind w:firstLine="720"/>
      </w:pPr>
      <w:r>
        <w:t>Many late antique reliquaries were concealed beneath an altar to consecrate it, but the good condition of the plaques and the extent to which the meaning of the box seems entirely predicated on physical handling seem to suggest that it was kept in use above ground.</w:t>
      </w:r>
      <w:r w:rsidRPr="00550F3E">
        <w:rPr>
          <w:vertAlign w:val="superscript"/>
        </w:rPr>
        <w:t>117</w:t>
      </w:r>
      <w:r>
        <w:t xml:space="preserve"> It could have been created as a receptacle for secondary relics related to the Passion, given its iconographic program, but more probably it functioned as a container for portions of the Eucharist.</w:t>
      </w:r>
      <w:r w:rsidRPr="00550F3E">
        <w:rPr>
          <w:vertAlign w:val="superscript"/>
        </w:rPr>
        <w:t>118</w:t>
      </w:r>
      <w:r>
        <w:t xml:space="preserve"> Indeed, the program of the box as a visual and material articulation of the Incarnation seems perfectly suited to carrying portions of the consecrated host at this point in history: the box would thus have been opened and closed regularly so that its kinaesthetic analogies were realized often, affirming each time the fully human and divine nature of both Christ and the eucharistic matter within. </w:t>
      </w:r>
    </w:p>
    <w:p w14:paraId="3230566E" w14:textId="77777777" w:rsidR="007267C3" w:rsidRDefault="00673081" w:rsidP="009C1151">
      <w:pPr>
        <w:ind w:firstLine="720"/>
      </w:pPr>
      <w:r>
        <w:t>From the fourth century onward, a materialist understanding of the Eucharist grew in prominence, whereby the sacramental elements of bread and wine were increasingly understood to have been transformed into the body and blood of Christ.</w:t>
      </w:r>
      <w:r w:rsidRPr="007267C3">
        <w:rPr>
          <w:vertAlign w:val="superscript"/>
        </w:rPr>
        <w:t>119</w:t>
      </w:r>
      <w:r>
        <w:t xml:space="preserve"> Indeed, for Cyril of Alexandria, this understanding of the Eucharist was pivotal in opposing Nestorius, and it was Cyril’s Christology that prevailed.</w:t>
      </w:r>
      <w:r w:rsidRPr="007267C3">
        <w:rPr>
          <w:vertAlign w:val="superscript"/>
        </w:rPr>
        <w:t>120</w:t>
      </w:r>
      <w:r>
        <w:t xml:space="preserve"> For Cyril, the transformation of man through the Eucharist was made possible by means of the Incarnation.</w:t>
      </w:r>
      <w:r w:rsidRPr="007267C3">
        <w:rPr>
          <w:vertAlign w:val="superscript"/>
        </w:rPr>
        <w:t>121</w:t>
      </w:r>
      <w:r>
        <w:t xml:space="preserve"> The eucharistic elements were necessarily transformed and were at once human and divine, like the incarnated Christ himself, so that by consuming “the flesh that he assumed,” the faithful could be adopted into the divine life and be assured of the resurrection of their own bodies in turn.</w:t>
      </w:r>
      <w:r w:rsidRPr="007267C3">
        <w:rPr>
          <w:vertAlign w:val="superscript"/>
        </w:rPr>
        <w:t>122</w:t>
      </w:r>
      <w:r>
        <w:t xml:space="preserve"> </w:t>
      </w:r>
    </w:p>
    <w:p w14:paraId="5B4126DD" w14:textId="77777777" w:rsidR="00F36BB7" w:rsidRDefault="00673081" w:rsidP="009C1151">
      <w:pPr>
        <w:ind w:firstLine="720"/>
      </w:pPr>
      <w:r>
        <w:t>For Pope Leo I, the Incarnation was proven each time the eucharistic meal was received; the box and its contents would thus have been united in affirming the incarnation of Christ. Leo compelled the faithful: “You ought so to be partakers at the Holy Table, as to have no doubt whatever concerning the reality of Christ’s Body and Blood.”</w:t>
      </w:r>
      <w:r w:rsidRPr="00F36BB7">
        <w:rPr>
          <w:vertAlign w:val="superscript"/>
        </w:rPr>
        <w:t>123</w:t>
      </w:r>
      <w:r>
        <w:t xml:space="preserve"> Disparaging those who would deny the reality of Christ’s humanity, he affirmed that by partaking of the host, “we pass into the flesh of Him, Who became our flesh.”</w:t>
      </w:r>
      <w:r w:rsidRPr="00F36BB7">
        <w:rPr>
          <w:vertAlign w:val="superscript"/>
        </w:rPr>
        <w:t>124</w:t>
      </w:r>
      <w:r>
        <w:t xml:space="preserve"> He maintained that even Judas in his infamy could have been saved by the paschal meal, had he not hung himself before Christ’s blood was shed for all of humankind.</w:t>
      </w:r>
      <w:r w:rsidRPr="00F36BB7">
        <w:rPr>
          <w:vertAlign w:val="superscript"/>
        </w:rPr>
        <w:t>125</w:t>
      </w:r>
      <w:r>
        <w:t xml:space="preserve"> This sentiment may explain the unusual representation of Judas hung before Christ, further supporting the claim that the box was created for the host and that this striking scene was intended to emphasize that all who partook of Christ’s body—contained within—could be saved. </w:t>
      </w:r>
    </w:p>
    <w:p w14:paraId="3C9C35F9" w14:textId="77777777" w:rsidR="00AD32DA" w:rsidRDefault="00673081" w:rsidP="009C1151">
      <w:pPr>
        <w:ind w:firstLine="720"/>
      </w:pPr>
      <w:r>
        <w:t xml:space="preserve">All over the box, the stocky, corpulent, and shadow-casting body of Christ executed in ivory testified to the profound truth of the Incarnation: his body became flesh and blood, was made tangible within human experience, and became indestructible in the Resurrection, promising the same possibility to the faithful through partaking of the Eucharist within. The equation of the box to Christ’s tomb would have taken on profound resonance as the handler deposited Christ’s body in the form of the consecrated host into the tomb-like box and took it out again for use, emulating his death and resurrection and confirming the humanity and divinity </w:t>
      </w:r>
      <w:r>
        <w:lastRenderedPageBreak/>
        <w:t xml:space="preserve">of Christ and of the eucharistic particles. The box carrying the body of Christ in the form of the host became a dwelling place for the uncontainable in a manner analogous to the Virgin’s womb, which first bore his incarnated body. John Chrysostom (ca. 347–407 </w:t>
      </w:r>
      <w:r w:rsidR="00856895">
        <w:t>CE</w:t>
      </w:r>
      <w:r>
        <w:t>), Archbishop of Constantinople, emphasized that through tasting the Eucharist the believer’s mouth was transformed into “doors of a temple which holds Christ.”</w:t>
      </w:r>
      <w:r w:rsidRPr="00856895">
        <w:rPr>
          <w:vertAlign w:val="superscript"/>
        </w:rPr>
        <w:t>126</w:t>
      </w:r>
      <w:r>
        <w:t xml:space="preserve"> The bodies of those partaking of the contents of the box would thus have taken its place as containers of the uncontainable—dwelling places for the Holy Spirit—through taking Christ’s body into their own through the doors of their mouths. </w:t>
      </w:r>
    </w:p>
    <w:p w14:paraId="66727CBA" w14:textId="77777777" w:rsidR="00C70BDD" w:rsidRDefault="00673081" w:rsidP="009C1151">
      <w:pPr>
        <w:ind w:firstLine="720"/>
      </w:pPr>
      <w:r>
        <w:t>The incarnation of Christ attributed a localized holiness to the portions of bread, and the “eyes of the heart” (</w:t>
      </w:r>
      <w:r w:rsidRPr="00AD32DA">
        <w:rPr>
          <w:i/>
          <w:iCs/>
        </w:rPr>
        <w:t>oculos cordis</w:t>
      </w:r>
      <w:r>
        <w:t>) were needed to see the whole reality beyond the pieces.</w:t>
      </w:r>
      <w:r w:rsidRPr="00AD32DA">
        <w:rPr>
          <w:vertAlign w:val="superscript"/>
        </w:rPr>
        <w:t>127</w:t>
      </w:r>
      <w:r>
        <w:t xml:space="preserve"> Material fragments could now synecdochically participate in the divine. Whether the casket contained relics or eucharistic matter, all spoke to the relationship between part and whole; all were puncta themselves at the intersection of the earthly and the transcendent, possible because of the incarnation, death, and resurrection of the real body of Christ. Just as the walls of the closed room could not contain Christ’s body, this box could not contain the immanent but ultimately transcendent nature of the holy fragment. All required the ability to see the larger reality that such material traces participated in. The original and subsequent contents of the box will remain unknown, but what is clear is that the patron intended it to contain holy materials and to refer beyond itself to the idea of the containment of the sacred in matter. The box formed an invitation not only to open and reveal but to touch and believe that the sacred could now be accessed through the material world because of the Incarnation. </w:t>
      </w:r>
    </w:p>
    <w:p w14:paraId="00A17E3B" w14:textId="77777777" w:rsidR="00C70BDD" w:rsidRPr="00C70BDD" w:rsidRDefault="00673081" w:rsidP="00C70BDD">
      <w:pPr>
        <w:rPr>
          <w:b/>
          <w:bCs/>
        </w:rPr>
      </w:pPr>
      <w:r w:rsidRPr="00C70BDD">
        <w:rPr>
          <w:b/>
          <w:bCs/>
        </w:rPr>
        <w:t xml:space="preserve">Closing </w:t>
      </w:r>
    </w:p>
    <w:p w14:paraId="1105FBB7" w14:textId="77777777" w:rsidR="002929A8" w:rsidRDefault="00673081" w:rsidP="00C70BDD">
      <w:pPr>
        <w:ind w:firstLine="720"/>
      </w:pPr>
      <w:r>
        <w:t xml:space="preserve">The two final scenes are static, centralized tableaux that play on the idea of physical presence but also on the idea of divine absence. The material and visual aspects of the box conspired to remind the viewer that Christ could no longer be touched in bodily form until his Second Coming: deferred longing referred the beholder beyond the container to that which was contained within. The directive materiality of the panels and their representations stimulated longing for those material traces through which the sacred could be accessed until Christ’s return to earth. The box became in this way a material mediator between the viewer, the contained, and the theological reality </w:t>
      </w:r>
      <w:proofErr w:type="gramStart"/>
      <w:r>
        <w:t>beyond:</w:t>
      </w:r>
      <w:proofErr w:type="gramEnd"/>
      <w:r>
        <w:t xml:space="preserve"> handling and manipulation created kinaesthetic analogies, imitating and connecting realities beyond the boundaries of words. The box formed a vehicle for the </w:t>
      </w:r>
      <w:proofErr w:type="gramStart"/>
      <w:r>
        <w:t>sacred, and</w:t>
      </w:r>
      <w:proofErr w:type="gramEnd"/>
      <w:r>
        <w:t xml:space="preserve"> referred through physical analogies to the larger theological issues at stake in its contents, especially the way in which things that could be touched referred beyond themselves to things that could only be comprehended with the “eyes of the heart.” </w:t>
      </w:r>
    </w:p>
    <w:p w14:paraId="7D429D70" w14:textId="77777777" w:rsidR="002929A8" w:rsidRPr="002929A8" w:rsidRDefault="00673081" w:rsidP="002929A8">
      <w:pPr>
        <w:rPr>
          <w:b/>
          <w:bCs/>
        </w:rPr>
      </w:pPr>
      <w:r w:rsidRPr="002929A8">
        <w:rPr>
          <w:b/>
          <w:bCs/>
        </w:rPr>
        <w:t xml:space="preserve">NOTES </w:t>
      </w:r>
    </w:p>
    <w:p w14:paraId="59FFD742" w14:textId="77777777" w:rsidR="00137ACB" w:rsidRDefault="00673081" w:rsidP="002929A8">
      <w:r>
        <w:t xml:space="preserve">I am very grateful to Peter Stewart, Michael Squire, Antony Eastmond, and Jana Gajdošová for reading and critiquing early drafts of this article; it has benefited greatly from their insights and advice. I would also like to thank Elisabeth O’Connell from the British Museum for facilitating access to the panels and for her support throughout the researching and writing of this article. I am grateful also to the anonymous reviewers and the coeditors of </w:t>
      </w:r>
      <w:r w:rsidRPr="003D05A4">
        <w:rPr>
          <w:i/>
          <w:iCs/>
        </w:rPr>
        <w:t>The Art Bulletin</w:t>
      </w:r>
      <w:r>
        <w:t xml:space="preserve">; their feedback has helped to make this article a better piece of work. I am also grateful to Nick Geller for his assistance throughout the publication process. Unless otherwise indicated, translations are mine. </w:t>
      </w:r>
    </w:p>
    <w:p w14:paraId="4B282CC8" w14:textId="77777777" w:rsidR="00137ACB" w:rsidRDefault="00673081" w:rsidP="002929A8">
      <w:r>
        <w:lastRenderedPageBreak/>
        <w:t xml:space="preserve">1. The panels of the box first appear in the collection of Gabriel Fejérváry (1780–1851). They were subsequently bought by William Maskell, who sold them to the British Museum in 1856. Alfred Maskell, Ivories (London: Methuen, 1905), 89–93; Ormonde Maddock Dalton, Catalogue of the Ivory Carvings of the Christian Era with Examples of Mohammedan Art and Carvings in Bone in the Department of British and Mediaeval Antiquities and Ethnography of the British Museum (London: [British Museum], 1909), no. 7; Kurt Weitzmann, ed., Age of Spirituality: Late Antique and Early Christian Art, Third to Seventh Century, exh. cat. (New York: Metropolitan Museum of Art, 1979), no. 452; Lieselotte Kötzsche, “Die trauernden Frauen Zum Londoner Passionkästchen,” in Studies in Medieval Art and Architecture Presented to Peter Lasko, ed. David Buckton and Thomas Alexander Heslop (Stroud: Alan Sutton, 1994), 80–90; Buckton, Byzantium: Treasures of Byzantine Art and Culture from British Collections (London: British Museum Press, 1994), 58–59, no. 45; Jeffrey Spier, ed., Picturing the Bible: The Earliest Christian Art (New Haven, CT: Yale University Press, 2009), no. 57; Felicity Harley-McGowan, “The Maskell Passion Ivories and Greco-Roman Art: Notes on the Iconography of Crucifixion,” in Envisioning Christ on the Cross: Ireland and the Early Medieval West, ed. Juliet Mullins, Jenifer Ní Ghrádaigh, and Richard Hawtree (Dublin: Four Courts Press, 2013), 13–33; and Ivan Foletti, “The British Museum Casket with Scenes of the Passion: The Easter Liturgy and the Apse of St. John Lateran in Rome,” in The Fifth Century in Rome: Art, Liturgy, Patronage, ed. Foletti and Manuela Gianandrea (Rome: Viella, 2017), 139–60. </w:t>
      </w:r>
    </w:p>
    <w:p w14:paraId="5141E9F3" w14:textId="77777777" w:rsidR="00E73987" w:rsidRDefault="00673081" w:rsidP="002929A8">
      <w:r>
        <w:t xml:space="preserve">2. On this material turn, see Peter Brown, “Asceticism: Pagan and Christian,” in The Cambridge Ancient History, vol. 13, ed. Averil Cameron and Peter Garnsey (Cambridge: Cambridge University Press, 1997), 625; Georgia Frank, “The Pilgrim’s Gaze in the Age Before Icons,” in Visuality Before and Beyond the Renaissance: Seeing as Others Saw, ed. Robert Nelson (Cambridge: Cambridge University Press, 2000), 98–115; Susan Ashbrook Harvey, Scenting Salvation: Ancient Christianity and the Olfactory Imagination (Berkeley: University of California Press, 2006); and Patricia Cox Miller, The Corporeal Imagination: Signifying the Holy in Late Ancient Christianity (Philadelphia: University of Pennsylvania Press, 2016). </w:t>
      </w:r>
    </w:p>
    <w:p w14:paraId="3D983BE5" w14:textId="77777777" w:rsidR="002D1A82" w:rsidRDefault="00673081" w:rsidP="002929A8">
      <w:r>
        <w:t xml:space="preserve">3. See Georg Ulrich Grossmann and Petra Krutisch, eds., The Challenge of the Object=Die </w:t>
      </w:r>
      <w:proofErr w:type="spellStart"/>
      <w:r>
        <w:t>Herausforderung</w:t>
      </w:r>
      <w:proofErr w:type="spellEnd"/>
      <w:r>
        <w:t xml:space="preserve"> des</w:t>
      </w:r>
      <w:r w:rsidR="00E73987">
        <w:t xml:space="preserve"> </w:t>
      </w:r>
      <w:proofErr w:type="spellStart"/>
      <w:r w:rsidR="00E73987">
        <w:t>Objekts</w:t>
      </w:r>
      <w:proofErr w:type="spellEnd"/>
      <w:r>
        <w:t xml:space="preserve"> (Proceedings of the 33rd Congress of the International Committee of the History of Art, Nuremberg, 15th–20th </w:t>
      </w:r>
      <w:proofErr w:type="gramStart"/>
      <w:r>
        <w:t>July,</w:t>
      </w:r>
      <w:proofErr w:type="gramEnd"/>
      <w:r>
        <w:t xml:space="preserve"> 2012) (Nuremburg: Germanisches National Museum, 2013). On objects as actors, see Herbert Kessler, “Object as Subject in Medieval Art,” The Haskins Society Journal 23 (2011): 205–28; and Glenn Peers, ed., Byzantine Things in the World, exh. cat. (Houston: Menil Collection, 2013), 970. </w:t>
      </w:r>
    </w:p>
    <w:p w14:paraId="3F26C7E8" w14:textId="77777777" w:rsidR="002D1A82" w:rsidRDefault="00673081" w:rsidP="002929A8">
      <w:r>
        <w:t xml:space="preserve">4. Finbarr B. Flood, “Animal, Vegetal, and Mineral: Ambiguity and Efficacy in the Nishapur Wall Paintings,” Representations 133 (2016): 44–45. See n. 86 therein for further literature. </w:t>
      </w:r>
    </w:p>
    <w:p w14:paraId="3F881AB2" w14:textId="77777777" w:rsidR="00567C61" w:rsidRDefault="00673081" w:rsidP="002929A8">
      <w:r>
        <w:t xml:space="preserve">5. Glenn Peers has explored how divinity infused physical matter in “Object Relations: Theorizing the Late Antique Viewer,” in The Oxford Handbook of Late Antiquity, ed. Scott Fitzgerald Johnson (New York: Oxford University Press, 2012), 970–93. </w:t>
      </w:r>
    </w:p>
    <w:p w14:paraId="1AF24D14" w14:textId="77777777" w:rsidR="00567C61" w:rsidRDefault="00673081" w:rsidP="002929A8">
      <w:r>
        <w:t xml:space="preserve">6. The concept develops upon ideas of mimesis in early Christian art put forward in Gary Vikan, “Pilgrims in Magi’s Clothing: The Impact of Mimesis on Early Byzantine Pilgrimage Art,” in The Blessings of Pilgrimage, ed. Robert Ousterhout (Urbana: University of Illinois Press, 1990), 97–107; and Jaś Elsner, “Relic, Icon, and Architecture: The Material Articulation of the Holy in East Christian Art,” in Saints and Sacred Matter: The Cult of Relics in Byzantium and Beyond, ed. Cynthia Hahn and Holger Klein (Washington, DC: Dumbarton Oaks Research Library and Collection, 2015), 13–40, esp. 28. </w:t>
      </w:r>
    </w:p>
    <w:p w14:paraId="452C297E" w14:textId="77777777" w:rsidR="00567C61" w:rsidRDefault="00673081" w:rsidP="002929A8">
      <w:r>
        <w:lastRenderedPageBreak/>
        <w:t>7. The Passion cycle evolved from a synthesis of the Gospel accounts: Matthew 26:30–27:66; Mark 14:26– 15:47; Luke 22:39–23:56; and John 18:1–19:42. See Felicity Harley, “The Narration of Christ’s Passion in Early Christian Art,” in Byzantine Narrative: Papers in Honour of Roger Scott, ed. John Burke, Ursula Betka, Penelope Buckley, et al. (Melbourne: Australian Association for Byzantine Studies, 2006), 221–32; and Felicity Harley</w:t>
      </w:r>
      <w:r>
        <w:t xml:space="preserve">McGowan, “Picturing the Passion,” in The Routledge Handbook of Early Christian Art, ed. Mark Ellison and Robin Jensen (Abingdon and New York: Taylor and Francis, 2018), 290–307. </w:t>
      </w:r>
    </w:p>
    <w:p w14:paraId="2DC008CD" w14:textId="77777777" w:rsidR="00567C61" w:rsidRDefault="00673081" w:rsidP="002929A8">
      <w:r>
        <w:t xml:space="preserve">8. Jesus comes before Pilate in Matthew 27:11–26; Mark 15:1–15; Luke 23:1–25; and John 18:28–40. The symbolic handwashing occurs only in Matthew 27:24. </w:t>
      </w:r>
    </w:p>
    <w:p w14:paraId="366BA84C" w14:textId="77777777" w:rsidR="00FB1F2B" w:rsidRDefault="00673081" w:rsidP="002929A8">
      <w:r>
        <w:t xml:space="preserve">9. Simon carries the cross in Matthew 27:32; Mark 15:21; and Luke 23:26. However, in John 17 Jesus carries it, as he does here. </w:t>
      </w:r>
    </w:p>
    <w:p w14:paraId="177DF5FD" w14:textId="77777777" w:rsidR="00FB1F2B" w:rsidRDefault="00673081" w:rsidP="002929A8">
      <w:r>
        <w:t xml:space="preserve">10. Matthew 26:73–75; Mark 14:70–72; Luke 22:59–60; and John 18:26–27. </w:t>
      </w:r>
    </w:p>
    <w:p w14:paraId="3DAC69F1" w14:textId="77777777" w:rsidR="00FB1F2B" w:rsidRDefault="00673081" w:rsidP="002929A8">
      <w:r>
        <w:t xml:space="preserve">11. Judas’s suicide is reported only in Matthew 27:3. </w:t>
      </w:r>
    </w:p>
    <w:p w14:paraId="4F67237F" w14:textId="77777777" w:rsidR="00FB1F2B" w:rsidRDefault="00673081" w:rsidP="002929A8">
      <w:r>
        <w:t xml:space="preserve">12. The Gospels differ on the number and identities of the women present. Matthew 28:1; Mark 16:1; Luke 24:10; and John 20:1. </w:t>
      </w:r>
    </w:p>
    <w:p w14:paraId="4CB36CD6" w14:textId="77777777" w:rsidR="00FB1F2B" w:rsidRDefault="00673081" w:rsidP="002929A8">
      <w:r>
        <w:t xml:space="preserve">13. John 20:24–29. </w:t>
      </w:r>
    </w:p>
    <w:p w14:paraId="66FE274D" w14:textId="77777777" w:rsidR="00FB1F2B" w:rsidRDefault="00673081" w:rsidP="002929A8">
      <w:r>
        <w:t xml:space="preserve">14. On the interrelation of thematic and narrative sequences of meaning in medieval art, see Wolfgang Kemp, “Medieval Pictorial Systems,” in Iconography at the Crossroads: Papers from the Colloquium Sponsored by the Index of Christian Art, Princeton University, 23–24 </w:t>
      </w:r>
      <w:proofErr w:type="gramStart"/>
      <w:r>
        <w:t>March,</w:t>
      </w:r>
      <w:proofErr w:type="gramEnd"/>
      <w:r>
        <w:t xml:space="preserve"> 1990, ed. Brendan Cassidy (Princeton, NJ: Princeton University Press, 1993), 121–37. </w:t>
      </w:r>
    </w:p>
    <w:p w14:paraId="2EF9E63B" w14:textId="77777777" w:rsidR="00FB1F2B" w:rsidRDefault="00673081" w:rsidP="002929A8">
      <w:r>
        <w:t xml:space="preserve">15. Jaś Elsner discusses how the portability of late antique caskets meant that their lids were viewed most often. Elsner, “Framing the Objects We Study: Three Boxes from Late Roman Italy,” Journal of the Warburg and Courtauld Institutes 71 (2008): 21–38, esp. 31. </w:t>
      </w:r>
    </w:p>
    <w:p w14:paraId="22FD8C3A" w14:textId="77777777" w:rsidR="00FB1F2B" w:rsidRDefault="00673081" w:rsidP="002929A8">
      <w:pPr>
        <w:rPr>
          <w:lang w:val="de-DE"/>
        </w:rPr>
      </w:pPr>
      <w:r w:rsidRPr="00673081">
        <w:rPr>
          <w:lang w:val="de-DE"/>
        </w:rPr>
        <w:t xml:space="preserve">16. Luke 24:50–53; and Acts 1:9. </w:t>
      </w:r>
    </w:p>
    <w:p w14:paraId="4021DF02" w14:textId="77777777" w:rsidR="00FB1F2B" w:rsidRDefault="00673081" w:rsidP="002929A8">
      <w:pPr>
        <w:rPr>
          <w:lang w:val="de-DE"/>
        </w:rPr>
      </w:pPr>
      <w:r w:rsidRPr="00673081">
        <w:rPr>
          <w:lang w:val="de-DE"/>
        </w:rPr>
        <w:t xml:space="preserve">17. Brigitte Christern-Briesenick, Repertorium der Christlich-Antiken Sarkophage, vol. 3, Frankreich, Algerien, Tunesien (Mainz am Rhein: Verlag Philipp von Zanbern, 2003), 29–31, no. 42. </w:t>
      </w:r>
    </w:p>
    <w:p w14:paraId="1415A45B" w14:textId="77777777" w:rsidR="00E542AE" w:rsidRDefault="00673081" w:rsidP="002929A8">
      <w:r>
        <w:t>18. Foletti, “British Museum Casket,” 147, suggests the noli me tangere, the scene in which Christ appears to Mary Magdalene following his resurrection but appeals to her not to touch him. The only Roman ivory casket from the era that has survived intact—the Pola casket—has a deco</w:t>
      </w:r>
      <w:r>
        <w:t xml:space="preserve">rative lid. See the sources cited on the Pola casket in n. 80. </w:t>
      </w:r>
    </w:p>
    <w:p w14:paraId="7AC15652" w14:textId="77777777" w:rsidR="00E542AE" w:rsidRDefault="00673081" w:rsidP="002929A8">
      <w:r>
        <w:t xml:space="preserve">19. Cox Miller, Corporeal Imagination, 4. See also the sources cited in n. 2. </w:t>
      </w:r>
    </w:p>
    <w:p w14:paraId="5EE00F3F" w14:textId="77777777" w:rsidR="00724760" w:rsidRDefault="00673081" w:rsidP="002929A8">
      <w:r>
        <w:t xml:space="preserve">20. Harvey, Scenting Salvation, 122. </w:t>
      </w:r>
    </w:p>
    <w:p w14:paraId="5469625B" w14:textId="541C5B1B" w:rsidR="00E542AE" w:rsidRDefault="00673081" w:rsidP="002929A8">
      <w:r>
        <w:t xml:space="preserve">21. Cox Miller, Corporeal Imagination, 31. Cox Miller describes this tendency to invest the “sensible world with divine presence” as already evident in the psychology of the Neoplatonist Iamblichus (ca. 242–ca. 325 </w:t>
      </w:r>
      <w:r w:rsidR="00E542AE">
        <w:t>CE</w:t>
      </w:r>
      <w:r>
        <w:t>).</w:t>
      </w:r>
    </w:p>
    <w:p w14:paraId="5CC90865" w14:textId="77777777" w:rsidR="00724760" w:rsidRDefault="00673081" w:rsidP="002929A8">
      <w:r>
        <w:t xml:space="preserve">22. For a cross-cultural study of vessels, containment, metaphor, and the relationship between user and object, see Claudia Brittenham, ed., Vessels: The Object as Container (Oxford: Oxford University Press, 2019). </w:t>
      </w:r>
    </w:p>
    <w:p w14:paraId="2A2CC660" w14:textId="77777777" w:rsidR="007C3E8A" w:rsidRDefault="00673081" w:rsidP="002929A8">
      <w:r>
        <w:lastRenderedPageBreak/>
        <w:t xml:space="preserve">23. On concealment, revelation, and early Christian sarcophagi and caskets, see Jaś Elsner, “Decorative Imperatives between Concealment and Display: The Form of Sarcophagi,” Res: Anthropology and Aesthetics 61/62 (2012): 178–95; and Elsner, “Closure and Penetration: Reflections on the Pola Casket and Its Antecedents,” Acta ad archaeologiam et artium historiam pertinentia 26 (2013): 183–227, esp. 189. </w:t>
      </w:r>
    </w:p>
    <w:p w14:paraId="6F97A518" w14:textId="77777777" w:rsidR="009041E2" w:rsidRDefault="00673081" w:rsidP="002929A8">
      <w:r>
        <w:t>24. Anthony Cutler’s work on the tactile and mate</w:t>
      </w:r>
      <w:r>
        <w:t xml:space="preserve">rial aspects of late antique and Byzantine ivories has been formative here. Cutler, The Hand of the Master: Craftsmanship, Ivory, and Society in Byzantium (9th–11th centuries) (Princeton, NJ: Princeton University Press, 1994). </w:t>
      </w:r>
    </w:p>
    <w:p w14:paraId="1563CC01" w14:textId="77777777" w:rsidR="009041E2" w:rsidRDefault="00673081" w:rsidP="002929A8">
      <w:r>
        <w:t xml:space="preserve">25. On the incarnational argument and relics, see Gillian Clark, “Victricius of Rouen: Praising the Saints (Introduction and Annotated Translation),” Journal of Early Christian Studies 7 (1999): 365–99. On this box as containing relics or the Eucharist, see Harley-McGowan, “Maskell Passion,” 16. </w:t>
      </w:r>
    </w:p>
    <w:p w14:paraId="510FB8DC" w14:textId="6333ABB5" w:rsidR="000F4027" w:rsidRDefault="00673081" w:rsidP="002929A8">
      <w:r>
        <w:t>26. This materialist work is indebted to the phenomeno</w:t>
      </w:r>
      <w:r>
        <w:t xml:space="preserve">logical thought of Edmund Husserl (1859–1938), Martin Heidegger (1889–1976), and particularly Maurice </w:t>
      </w:r>
      <w:proofErr w:type="spellStart"/>
      <w:r>
        <w:t>Merleau</w:t>
      </w:r>
      <w:proofErr w:type="spellEnd"/>
      <w:r w:rsidR="009041E2">
        <w:t xml:space="preserve"> </w:t>
      </w:r>
      <w:r>
        <w:t>Ponty (1908–1961). Merleau-Ponty, The Phenomenology of Perception (London: Routledge, 2010). On Husserl and Merleau</w:t>
      </w:r>
      <w:r>
        <w:rPr>
          <w:rFonts w:ascii="Cambria Math" w:hAnsi="Cambria Math" w:cs="Cambria Math"/>
        </w:rPr>
        <w:t>‐</w:t>
      </w:r>
      <w:r>
        <w:t xml:space="preserve">Ponty, see Dermot Moran, </w:t>
      </w:r>
      <w:r>
        <w:rPr>
          <w:rFonts w:ascii="Aptos" w:hAnsi="Aptos" w:cs="Aptos"/>
        </w:rPr>
        <w:t>“</w:t>
      </w:r>
      <w:r>
        <w:t>Husserl and Merleau</w:t>
      </w:r>
      <w:r>
        <w:rPr>
          <w:rFonts w:ascii="Cambria Math" w:hAnsi="Cambria Math" w:cs="Cambria Math"/>
        </w:rPr>
        <w:t>‐</w:t>
      </w:r>
      <w:r>
        <w:t>Ponty on Embodied Experience,</w:t>
      </w:r>
      <w:r>
        <w:rPr>
          <w:rFonts w:ascii="Aptos" w:hAnsi="Aptos" w:cs="Aptos"/>
        </w:rPr>
        <w:t>”</w:t>
      </w:r>
      <w:r>
        <w:t xml:space="preserve"> in Advancing Phenomenology: Essays in Honor of Lester Embree, ed. Philip Blosser and Thomas Nenon (Dordrecht: Springer Science, 2010), 175–95. On Heidegger, see Karsten Harries, Art Matters: A Critical Commentary on Heidegger’s ‘The Origin of the Work of Art’ (Dordrecht: Springer Netherlands, 2009). On sensory archaeology, see, for example, Mark Smith, Sensing the Past: Seeing, Hearing, Smelling, Tasting and Touching in History (Berkeley: University of California Press, 2008); and David Howes and Constance Classen, Ways of Sensing: Understanding the Senses in Society (London and New York: Routledge, 2014). On the material turn, see, for example, Jane Bennett, Vibrant Matter: A Political Ecology of Things (Durham, NC: Duke University Press, 2010); and Peter Miller, ed., Cultural Histories of the Material World (Ann Arbor: University of Michigan Press, 2013). On material religion, see Sally Promey, ed., Sensational Religion: Sensory Cultures in Material Practice (New Haven, CT: Yale University Press, 2014). On the tactile turn within art history, as it has challenged its ocular-centric beginnings in the eighteenth and nineteenth centuries, see, for exam</w:t>
      </w:r>
      <w:r>
        <w:t xml:space="preserve">ple, Francesca Bacci and David Melcher, Art and the Senses (Oxford: Oxford University Press, 2013); Peter Dent, ed., Sculpture and Touch (Farnham, UK: Ashgate, 2014); and Jan Švankmajer, Touching and Imagining: An Introduction to Tactile Art (London: I. B. Tauris, 2014). </w:t>
      </w:r>
    </w:p>
    <w:p w14:paraId="085D8F24" w14:textId="77777777" w:rsidR="000F4027" w:rsidRDefault="00673081" w:rsidP="002929A8">
      <w:r>
        <w:t>27. On embodied objects in classical antiquity and their entanglements with humans, see Milette Gaifman, Verity Platt, and Michael Squire, eds., “The Embodied Object in Classical Antiquity,” special issue, Art History 41, no. 3 (2018), which responds to Ian Hodder, Entangled: An Archaeology of the Relationships between Humans and Things (Malden, MA: Wiley-Blackwell, 2012). This important edition relates scholarship on cognitive archae</w:t>
      </w:r>
      <w:r>
        <w:t>ology, material-culture studies and Actor</w:t>
      </w:r>
      <w:r>
        <w:rPr>
          <w:rFonts w:ascii="Cambria Math" w:hAnsi="Cambria Math" w:cs="Cambria Math"/>
        </w:rPr>
        <w:t>‐</w:t>
      </w:r>
      <w:r>
        <w:t>Network</w:t>
      </w:r>
      <w:r>
        <w:rPr>
          <w:rFonts w:ascii="Cambria Math" w:hAnsi="Cambria Math" w:cs="Cambria Math"/>
        </w:rPr>
        <w:t>‐</w:t>
      </w:r>
      <w:r>
        <w:t>Theory to established phenomenological approaches to art grounded in the work of Husserl, Merleau</w:t>
      </w:r>
      <w:r>
        <w:rPr>
          <w:rFonts w:ascii="Cambria Math" w:hAnsi="Cambria Math" w:cs="Cambria Math"/>
        </w:rPr>
        <w:t>‐</w:t>
      </w:r>
      <w:r>
        <w:t xml:space="preserve">Ponty, and Heidegger. </w:t>
      </w:r>
    </w:p>
    <w:p w14:paraId="75053B7D" w14:textId="1F83E2C3" w:rsidR="000F4027" w:rsidRDefault="00673081" w:rsidP="002929A8">
      <w:r>
        <w:t xml:space="preserve">28. Such approaches reach their furthest extent in the democratization of all material things, including humans. Foundational works for the assertion of the equal importance of the nonhuman are Bruno Latour, We Have Never Been Modern, trans. Catherine Porter (Cambridge, MA: Harvard University Press, 1993); Michel Serres, Statues: The Second Book of Foundations (Paris: Francois Bourin, 1987); and Alfred Gell, Art and Agency (Oxford: Oxford University Press, 1998). The bibliography is vast and growing. For further reading, see W. J. T. Mitchell, What Do </w:t>
      </w:r>
      <w:r>
        <w:lastRenderedPageBreak/>
        <w:t xml:space="preserve">Pictures Want? (Chicago: University of Chicago Press, 2006); Tim Ingold, “Materials against Materiality,” Archaeological Dialogues 14 (2007): 1–16; Jeffrey Cohen, ed., Animal, Vegetable, Mineral: Ethics and Objects (Washington, DC: Oliphant Books, 2012); and Glenn Peers, Animism, Materiality, and Museums: How Do Byzantine Things Feel? (Leeds: Arc Humanities Press, 2020). </w:t>
      </w:r>
    </w:p>
    <w:p w14:paraId="6D0CDFBC" w14:textId="77777777" w:rsidR="00FF781C" w:rsidRDefault="00673081" w:rsidP="002929A8">
      <w:r>
        <w:t xml:space="preserve">29. On this enlivening of matter, see Peter Walker, Holy City, Holy Places? Christian Attitudes to Jerusalem and the Holy Land in the Fourth Century (Oxford: Clarendon Press, 1990), 81; Frank, “Pilgrim’s Gaze,” 103; and Cox Miller, Corporeal Imagination, 12. </w:t>
      </w:r>
    </w:p>
    <w:p w14:paraId="40150B44" w14:textId="77777777" w:rsidR="00F976A6" w:rsidRDefault="00673081" w:rsidP="002929A8">
      <w:r>
        <w:t xml:space="preserve">30. See the Routledge series The Senses in Antiquity, ed. Mark Bradley and Shane Butler, which redresses the Platonic and Enlightenment baggage of ocular-centrism in relation to classical antiquity, and the sources cited in n. 26. For good overviews and further bibliography on the centrality of touch and materiality as generators of meaning and affectivity in medieval art, see William Diebold, “Medium as Message in Carolingian Writing about Art,” 26 The Art Bulletin September 2022 Word and Image 22 , no. 3 (2006): 197–98; Aden Kumler and Christopher Lakey, “Res et significatio: The Material Sense of Things in the Middle Ages,” Gesta 51, no. 1 (2012): 1–17; Ittai Weinryb, “Living Matter: Materiality, Maker and Ornament in the Middle Ages,” Gesta 52, no. 2 (2013): 113–32; Caroline Bynum, Christian Materiality: An Essay on Religion in Late Medieval Europe (New York: Zone Books, 2011); and Éric Palazzo, ed., Les cinq sens au Moyen Âge (Paris: Éditions du Cerf, 2016). </w:t>
      </w:r>
    </w:p>
    <w:p w14:paraId="2F271248" w14:textId="08F5283B" w:rsidR="00F976A6" w:rsidRDefault="00673081" w:rsidP="002929A8">
      <w:r>
        <w:t xml:space="preserve">31. Brittenham, Vessels, 2. </w:t>
      </w:r>
    </w:p>
    <w:p w14:paraId="6E1F39F7" w14:textId="77777777" w:rsidR="00F976A6" w:rsidRDefault="00673081" w:rsidP="002929A8">
      <w:r>
        <w:t xml:space="preserve">32. Webb Keane, Christian Moderns: Freedom and Fetish in the Mission Encounter (Berkeley: University of California Press, 2007), 201. The anthropologist Keane describes the “moral narrative of modernity” as a “work of purification.” </w:t>
      </w:r>
    </w:p>
    <w:p w14:paraId="2CDAEF37" w14:textId="77777777" w:rsidR="00BE7191" w:rsidRDefault="00673081" w:rsidP="002929A8">
      <w:r>
        <w:t xml:space="preserve">33. On its dating, see Weitzmann, Age of Spirituality, no. 452; Spier, Picturing the Bible, no. 57; Bente Kiilerich, Late Fourth Century Classicism in the Plastic Arts: Studies in the So-Called Theodosian Renaissance (Odense, Denmark: Odense University Press, 1993), 158–59; and Harley-McGowan, “Picturing the Passion,” 303. </w:t>
      </w:r>
    </w:p>
    <w:p w14:paraId="3A9BD9DF" w14:textId="77777777" w:rsidR="00BE7191" w:rsidRDefault="00673081" w:rsidP="002929A8">
      <w:r w:rsidRPr="00673081">
        <w:rPr>
          <w:lang w:val="de-DE"/>
        </w:rPr>
        <w:t xml:space="preserve">34. On the Ascension plaque, see Wolfgang Fritz Volbach, Elfenbeinarbeiten der Spätantike und des frühen Mittelalters, 3rd ed. </w:t>
      </w:r>
      <w:r>
        <w:t xml:space="preserve">(Mainz: Von Zabern, 1976), no. 110, pl. 59. On the women at the tomb, see Volbach, Elfenbeinarbeiten, no. 111, pl. 60; Weitzmann, Age of Spirituality, no. 453; and Niamh Bhalla, “Christian Ivories: Containment, Manipulation and the Creation of Meaning,” in Ellison and Jensen, Routledge Handbook of Early Christian Art, 209–13. See also the panel of the Lampadii from Brescia (Volbach, Elfenbeinarbeiten, no. 54) and the Consular Diptych of Flavius Felix (Volbach, Elfenbeinarbeiten, no. 2). </w:t>
      </w:r>
    </w:p>
    <w:p w14:paraId="545BA9B8" w14:textId="77777777" w:rsidR="00BE7191" w:rsidRDefault="00673081" w:rsidP="002929A8">
      <w:r>
        <w:t xml:space="preserve">35. Volbach, Elfenbeinarbeiten, no. 62. </w:t>
      </w:r>
    </w:p>
    <w:p w14:paraId="547EF439" w14:textId="0F351F18" w:rsidR="00BE7191" w:rsidRDefault="00673081" w:rsidP="002929A8">
      <w:r>
        <w:t xml:space="preserve">36. This early fifth-century date for the Santa Sabina panels has recently been confirmed in Ivan Foletti et al., “Wiggle Matching Analysis of the Doors of Santa Sabina in Rome,” RIHA Journal (2019): 1–7. </w:t>
      </w:r>
      <w:r w:rsidRPr="00673081">
        <w:rPr>
          <w:lang w:val="it-IT"/>
        </w:rPr>
        <w:t xml:space="preserve">See also Jean-Michel Spieser, “Le programme iconographique des portes de Sainte Sabine,” Journal des Savants 2 (1991): 47–81; and Manuela Gianandrea, “Nuove strategie figurative: La decorazione pittorica tardoantica di Santa Sabina all’Aventino a Roma,” in Medioevo Natura e Figura: La raffigurazione dell’uomo e della natura nell’arte medieval, ed. </w:t>
      </w:r>
      <w:r>
        <w:t xml:space="preserve">Arturo Quintavalle (Milan: Skira, 2015), 139–52. </w:t>
      </w:r>
    </w:p>
    <w:p w14:paraId="0FA07315" w14:textId="196BB802" w:rsidR="00BE7191" w:rsidRDefault="00673081" w:rsidP="002929A8">
      <w:r>
        <w:t xml:space="preserve">37. Foletti, “British Museum Casket.” </w:t>
      </w:r>
    </w:p>
    <w:p w14:paraId="78DFC9A1" w14:textId="3C471FEC" w:rsidR="00BE7191" w:rsidRDefault="00673081" w:rsidP="002929A8">
      <w:r>
        <w:lastRenderedPageBreak/>
        <w:t xml:space="preserve">38. On the “indeterminacy” of the work of art, see Wolfgang Kemp, “The Work of Art and Its Beholder: The Methodology of the Aesthetic of Reception,” in The Subjects of Art History: Historical Objects in Contemporary Perspectives, ed. Mark Cheetham, Michael Holly, and Keith Moxey (Cambridge: Cambridge University Press, 1998), 180–96, esp. 188. 39. Peter’s denials occur in all four Gospels (Mark 14:69–70; Matthew 26:73–75; Luke 22:59–62; and John 18:13–27) before Christ comes before Pilate and the carrying of the cross (Mark 15:20–22; Luke 23:26–32; Matthew 27:31–33; and John 19:16–18). </w:t>
      </w:r>
    </w:p>
    <w:p w14:paraId="26085584" w14:textId="77777777" w:rsidR="00592A4D" w:rsidRDefault="00673081" w:rsidP="002929A8">
      <w:r>
        <w:t xml:space="preserve">40. On the manner in which the branch leads the eye to Christ, see Harley-McGowan, “Maskell Passion,” 21. </w:t>
      </w:r>
    </w:p>
    <w:p w14:paraId="3BC75C76" w14:textId="77777777" w:rsidR="00592A4D" w:rsidRDefault="00673081" w:rsidP="002929A8">
      <w:r>
        <w:t xml:space="preserve">41. Harley-McGowan, “Maskell Passion,” 24–25. Comparable early Crucifixions are found on the doors of the Church of Santa Sabina in Rome and carved into gemstones. On two </w:t>
      </w:r>
      <w:proofErr w:type="gramStart"/>
      <w:r>
        <w:t>fourth-century</w:t>
      </w:r>
      <w:proofErr w:type="gramEnd"/>
      <w:r>
        <w:t xml:space="preserve"> gem stones, now in the British Museum, see Spier, Picturing the Bible, nos. 55–56; and Harley, “Narration of Christ’s Passion.” </w:t>
      </w:r>
    </w:p>
    <w:p w14:paraId="40E829A8" w14:textId="77777777" w:rsidR="00592A4D" w:rsidRDefault="00673081" w:rsidP="002929A8">
      <w:r>
        <w:t xml:space="preserve">42. Harley-McGowan, “Picturing the Passion,” 298–99; and the source cited in n. 17. </w:t>
      </w:r>
    </w:p>
    <w:p w14:paraId="5D8211DB" w14:textId="77777777" w:rsidR="009C1009" w:rsidRDefault="00673081" w:rsidP="002929A8">
      <w:r>
        <w:t xml:space="preserve">43. Anna Kartsonis has argued persuasively that the Crucifixion raised such difficult questions, resulting in its avoidance in the earliest Christian art. Crucifixion was also perceived as a shameful method of execution in the Roman world. Anna Kartsonis, Anastasis: The Making of an Image (Princeton, NJ: Princeton University Press, 1986), 19–39. See also Harley-McGowan, “Picturing the Passion,” 291; and Robin Jensen, The Cross: History, Art, Controversy (Cambridge MA: Harvard University Press, 2017), chaps. 1–3. </w:t>
      </w:r>
    </w:p>
    <w:p w14:paraId="678A1BA2" w14:textId="77777777" w:rsidR="009C1009" w:rsidRDefault="00673081" w:rsidP="002929A8">
      <w:r>
        <w:t xml:space="preserve">44. Harley-McGowan, “Maskell Passion,” 25–27. </w:t>
      </w:r>
    </w:p>
    <w:p w14:paraId="0BDF672B" w14:textId="77777777" w:rsidR="009C1009" w:rsidRDefault="00673081" w:rsidP="002929A8">
      <w:r>
        <w:t xml:space="preserve">45. Michael Roberts first termed this an “aesthetics of discontinuity” in The Jewelled Style: Poetry and Poetics in Late Antiquity (Ithaca, NY: Cornell University Press, 1989); see also Cox Miller, Corporeal Imagination, 53. On poetry, see Philip Hardie, Classicism and Christianity in Late Antique Latin Poetry (Oakland: University of California Press, 2019), 103–34. See, for example, Optatian’s Poem 25, which invites readers to shuffle its words around to make different quatrains—“self-fragments” to be put together anew—in Michael Squire and Christopher Whitton, “Machina Sacra: Optatian and the Lettered Art of the Christogram,” Graphic Signs of Identity, Faith, and Power in Late Antiquity and the Early Middle Ages, ed. Ildar Garipzanov (Turnhout, Belgium: Brepols, 2017), 45–108. </w:t>
      </w:r>
    </w:p>
    <w:p w14:paraId="67085272" w14:textId="77777777" w:rsidR="009C1009" w:rsidRDefault="00673081" w:rsidP="002929A8">
      <w:r>
        <w:t xml:space="preserve">46. Roland Barthes, Camera Lucida: Reflections on Photography (New York: Noonday Press, 1981), 27. </w:t>
      </w:r>
    </w:p>
    <w:p w14:paraId="2211FB4A" w14:textId="77777777" w:rsidR="009C1009" w:rsidRDefault="00673081" w:rsidP="002929A8">
      <w:r>
        <w:t xml:space="preserve">47. Ibid., 44. </w:t>
      </w:r>
    </w:p>
    <w:p w14:paraId="61FBCC01" w14:textId="454FD101" w:rsidR="009C1009" w:rsidRDefault="00673081" w:rsidP="002929A8">
      <w:r>
        <w:t xml:space="preserve">48. The miracle is found in John 11:1–44. </w:t>
      </w:r>
    </w:p>
    <w:p w14:paraId="4B88F225" w14:textId="77777777" w:rsidR="009C1009" w:rsidRDefault="00673081" w:rsidP="002929A8">
      <w:r>
        <w:t xml:space="preserve">49. On the Resurrection in early patristic theology and art, see Robin Jensen, Understanding Early Christian Art (Abingdon, UK: Taylor and Francis, 2013), 156–82; Kötzsche, “Die trauernden Frauen”; Kartsonis, Anastasis, esp. 19–20; and those sources cited in n. 50. </w:t>
      </w:r>
    </w:p>
    <w:p w14:paraId="26050B86" w14:textId="109DB87E" w:rsidR="009C1009" w:rsidRDefault="00673081" w:rsidP="002929A8">
      <w:r>
        <w:t xml:space="preserve">50. Matthew 28:1–10; Mark 16: 1–8; Luke 24:1–12; and John 20:1–29. The earliest extant depiction may be that found in a Christian building in Dura Europos, a garrison town on the Persian border, ca. 240 </w:t>
      </w:r>
      <w:r w:rsidR="00C1775B">
        <w:t>CE</w:t>
      </w:r>
      <w:r>
        <w:t xml:space="preserve">. Traces of the feet of five women were originally discovered in 1932, but the theme is contested. André Grabar, “La fresque des saintes femmes au tombeau à Doura,” Cahiers Archéologiques 8 (1956), 9–26, argued for the women at the tomb, while others </w:t>
      </w:r>
      <w:r>
        <w:lastRenderedPageBreak/>
        <w:t xml:space="preserve">perceived it to represent the parable of the wise and foolish virgins, notably Gabriel Millet, “Doura et El-Bagawat: La parabole des Vierges,” Cahiers Archéologiques 8 (1956): 1–8. For further discussion, see Annabel Jane Wharton, Refiguring the Post Classical City: Dura Europos, Jerash, Jerusalem and Ravenna (Cambridge: Cambridge University Press, 1995), 53–60. </w:t>
      </w:r>
    </w:p>
    <w:p w14:paraId="6C8E6892" w14:textId="77777777" w:rsidR="00C1775B" w:rsidRDefault="00673081" w:rsidP="002929A8">
      <w:r>
        <w:t xml:space="preserve">51. Markus Vinzent, Christ’s Resurrection in Early Christianity and the Making of the New Testament (London: Taylor and Francis, 2016). </w:t>
      </w:r>
    </w:p>
    <w:p w14:paraId="1A5DC5AB" w14:textId="77777777" w:rsidR="00C1775B" w:rsidRDefault="00673081" w:rsidP="002929A8">
      <w:pPr>
        <w:rPr>
          <w:lang w:val="de-DE"/>
        </w:rPr>
      </w:pPr>
      <w:r>
        <w:t xml:space="preserve">52. It has been argued that this scene has been conflated with the later scene of Christ appearing to two women (Matthew 28:9–10), because the angel has Christ-like attributes of a scroll and halo. </w:t>
      </w:r>
      <w:r w:rsidRPr="00673081">
        <w:rPr>
          <w:lang w:val="de-DE"/>
        </w:rPr>
        <w:t>Kurt Weitzmann, “Eine vorikonoklastiche Ikone des Sinai mit der Darstellung des Chairete,” Tortulae: Studien zu altchristlichen und byzan</w:t>
      </w:r>
      <w:r w:rsidRPr="00673081">
        <w:rPr>
          <w:lang w:val="de-DE"/>
        </w:rPr>
        <w:t xml:space="preserve">tinische Monumenten, Römische Quartalschrift 30 (1966): 317–21. </w:t>
      </w:r>
    </w:p>
    <w:p w14:paraId="162CBCD0" w14:textId="77777777" w:rsidR="00C1775B" w:rsidRDefault="00673081" w:rsidP="002929A8">
      <w:r>
        <w:t xml:space="preserve">53. New International Version (emphasis added). </w:t>
      </w:r>
    </w:p>
    <w:p w14:paraId="2FA81FF4" w14:textId="77777777" w:rsidR="00C1775B" w:rsidRDefault="00673081" w:rsidP="002929A8">
      <w:r>
        <w:t xml:space="preserve">54. Guntram Koch, Frühchristliche Sarkophage (Munich: Beck, 2000), 207, 284, 292, no. 40, pl. 57; and Spier, Picturing the Bible, no. 46. For full discussion of the Greco-Roman origins of the motifs on the third panel, see Kötzsche, “Die trauernden Frauen.” </w:t>
      </w:r>
    </w:p>
    <w:p w14:paraId="43744895" w14:textId="2389FAB8" w:rsidR="0058436B" w:rsidRDefault="00673081" w:rsidP="002929A8">
      <w:r>
        <w:t xml:space="preserve">55. On the Endymion sarcophagus, 150–60 </w:t>
      </w:r>
      <w:r w:rsidR="0058436B">
        <w:t>CE</w:t>
      </w:r>
      <w:r>
        <w:t xml:space="preserve">, see Anna Marguerite McCann, Roman Sarcophagi in the Metropolitan Museum of Art (New York: Metropolitan Museum of Art, 1978), 33, fig. 28. On the Rhea Silvia sarcophagus in the Palazzo Mattei, see McCann, Roman Sarcophagi, 75, fig. 82. On the Ariadne sarcophagus from Clivedon, England, see Paul Zanker and Bjorn Ewald, Mit Mythen leben: Die Bilderwelt der römischen Sarkophage (Munich: Hirmer, 2004), 46, fig. 31. </w:t>
      </w:r>
    </w:p>
    <w:p w14:paraId="3EE32981" w14:textId="77777777" w:rsidR="0058436B" w:rsidRDefault="00673081" w:rsidP="002929A8">
      <w:r>
        <w:t xml:space="preserve">56. See Ruth Leader-Newby, “Personifications and Paideia in Late Antique Mosaics from the Greek East,” in Personification in the Greek World: From Antiquity to Byzantium, ed. Judith Herrin and Emma Stafford (Aldershot, UK: Ashgate, 2005), 231–46, esp. 236; Jaś Elsner, “Mutable, Flexible, Fluid: Papyrus Drawings for Textiles and Replication in Roman Art,” The Art Bulletin 102, no. 3 (2020): 7–27. </w:t>
      </w:r>
    </w:p>
    <w:p w14:paraId="320DFE87" w14:textId="77777777" w:rsidR="0058436B" w:rsidRDefault="00673081" w:rsidP="002929A8">
      <w:r>
        <w:t xml:space="preserve">57. “Esurire, sitire, lassescere, atque dormire evidenter humanum est.” Quoted in Norman Tanner, Decrees of the Ecumenical Councils, vol. 1, Nicaea I to Lateran V (London: Sheed and Ward, 1990), 79–80. </w:t>
      </w:r>
    </w:p>
    <w:p w14:paraId="67AEC4AF" w14:textId="4BEDF9CD" w:rsidR="0058436B" w:rsidRDefault="00673081" w:rsidP="002929A8">
      <w:r w:rsidRPr="0058436B">
        <w:rPr>
          <w:lang w:val="de-DE"/>
        </w:rPr>
        <w:t xml:space="preserve">58. Discussed in detail in Kötzsche, “Die trauernden Frauen,” 83. </w:t>
      </w:r>
      <w:r>
        <w:t xml:space="preserve">For fragments of an Orestes sarcophagus, 150–65 </w:t>
      </w:r>
      <w:r w:rsidR="007F77E5">
        <w:t>CE</w:t>
      </w:r>
      <w:r>
        <w:t xml:space="preserve">, in the Metropolitan Museum of Art, New York, see McCann, Roman Sarcophagi, fig. 56. On the Meleager sarcophagus in the Doria Pamphili, Rome, ca. 180 </w:t>
      </w:r>
      <w:r w:rsidR="0058436B">
        <w:t>CE</w:t>
      </w:r>
      <w:r>
        <w:t xml:space="preserve">, see Diana Kleiner, Roman Sculpture (New Haven, CT: Yale University Press, 1992), 307, pl. 275. </w:t>
      </w:r>
    </w:p>
    <w:p w14:paraId="09294403" w14:textId="77777777" w:rsidR="007F77E5" w:rsidRDefault="00673081" w:rsidP="002929A8">
      <w:r>
        <w:t xml:space="preserve">59. Janet Huskinson, Roman Children’s Sarcophagi: Their Decoration and Its Social Significance (Oxford: Clarendon Press, 1996), 13, pl. 3.3. </w:t>
      </w:r>
    </w:p>
    <w:p w14:paraId="0ABB0C84" w14:textId="77777777" w:rsidR="002D6D7E" w:rsidRDefault="00673081" w:rsidP="002929A8">
      <w:r>
        <w:t>60. This type of structure was first described as a refer</w:t>
      </w:r>
      <w:r>
        <w:t xml:space="preserve">ence to the Church of the Holy Sepulchre in Nikodim Kondakov, Ikonografija Bogomateri (St. Petersburg: Tipographija Imperatorskoi akademii nauk, 1914), 208. See also John Wilkinson, Egeria’s Travels to the Holy Land. Jerusalem (Warminster, UK: Aris and Phillips, 1981), 42. For the cave and stone, see Matthew 27:57–60; and Mark 15:42–47. </w:t>
      </w:r>
    </w:p>
    <w:p w14:paraId="01465F81" w14:textId="44DBE819" w:rsidR="002D6D7E" w:rsidRDefault="00673081" w:rsidP="002929A8">
      <w:r>
        <w:t xml:space="preserve">61. In Virgil’s Aeneid, </w:t>
      </w:r>
      <w:proofErr w:type="gramStart"/>
      <w:r>
        <w:t>Book</w:t>
      </w:r>
      <w:proofErr w:type="gramEnd"/>
      <w:r>
        <w:t xml:space="preserve"> 6, 109 (Loeb Classical Library, hereafter LCL, 63:540–41), Aeneas asks the Sibyl at Cumae to “show the way and open the hallowed portals” (doceas iter et sacra </w:t>
      </w:r>
      <w:r>
        <w:lastRenderedPageBreak/>
        <w:t>ostia pandas) to his father’s presence. Ovid’s Metamorphoses, Book 1, 662 (LCL 42:49), also refers to “the door of death” (ianua leti). See also Job 38:17. On the door in funerary sculpture, see Britt Haarløv, The Half-Open Door: A Common Symbolic Motif 27 containing the uncontainable within Roman Sepulchral Sculpture (Odense, Denmark: Odense University Press, 1977), 60–63; Glenys Davies, “The Door Motif in Roman Funerary Sculpture,” in Papers in Italian Archaeology I: The Lancaster Seminar, ed. Hugo Blake, Timothy Potter, and David Whitehouse (Oxford: British Archaeological Reports, 1978), 203–26, esp. 204–6; and Marion Lawrence, “Season Sarcophagi of Architectural Type,” American Journal of Archaeology 62, no. 3 (1958), 276. On the motif within Anatolian funerary art, see Tomasz Wujewski, Anatolian Sepulchral Stelae in Roman Times (Poznań, Poland: UAM, 1991). On the rep</w:t>
      </w:r>
      <w:r>
        <w:t xml:space="preserve">resentation of doors on sarcophagi echoing the entrance to the tomb itself, see Barbara Borg, Crisis and Ambition: Tombs and Burial Customs in </w:t>
      </w:r>
      <w:proofErr w:type="gramStart"/>
      <w:r>
        <w:t>Third-Century CE Rome</w:t>
      </w:r>
      <w:proofErr w:type="gramEnd"/>
      <w:r>
        <w:t xml:space="preserve"> (Oxford: Oxford University Press, 2013), 198–99. </w:t>
      </w:r>
    </w:p>
    <w:p w14:paraId="0080C25F" w14:textId="77777777" w:rsidR="002D6D7E" w:rsidRDefault="00673081" w:rsidP="002929A8">
      <w:r>
        <w:t xml:space="preserve">62. Christopher Roosevelt, “Symbolic Door Stelae and Graveside Monuments in Western Anatolia,” American Journal of Archaeology 110, no. 1 (2006): 65–91. </w:t>
      </w:r>
    </w:p>
    <w:p w14:paraId="726987D6" w14:textId="77777777" w:rsidR="00563187" w:rsidRDefault="00673081" w:rsidP="002929A8">
      <w:r>
        <w:t xml:space="preserve">63. Haarløv, Half-Open Door, 13. </w:t>
      </w:r>
    </w:p>
    <w:p w14:paraId="5663F321" w14:textId="3C004BD2" w:rsidR="002D6D7E" w:rsidRDefault="00673081" w:rsidP="002929A8">
      <w:r>
        <w:t xml:space="preserve">64. See Verity Platt, “Framing the </w:t>
      </w:r>
      <w:proofErr w:type="gramStart"/>
      <w:r>
        <w:t>Dead on</w:t>
      </w:r>
      <w:proofErr w:type="gramEnd"/>
      <w:r>
        <w:t xml:space="preserve"> Roman Sarcophagi,” in The Frame in Classical Art: A Cultural History, ed. Platt and Michael Squire (Cambridge: Cambridge University Press, 2017), 363–67; and Platt, “Framing the Dead on Roman Sarcophagi,” RES: Anthropology and Aesthetics 61/62 (2012): 213–27. Platt discusses doorway sarcophagi in relation to scenes of divine epiphany in her Facing the Gods: Epiphany and Representation in Graeco-Roman Art, Literature and Religion (Cambridge: Cambridge University Press, 2011), 344–49. </w:t>
      </w:r>
    </w:p>
    <w:p w14:paraId="66DDB84E" w14:textId="62F46F6F" w:rsidR="002D6D7E" w:rsidRDefault="00673081" w:rsidP="002929A8">
      <w:r>
        <w:t xml:space="preserve">65. On Museo Nuovo Capitolino, inv. 1394, see Haarløv, Half-Open Door, 139; and Platt, “Framing the Dead,” 364–65. </w:t>
      </w:r>
    </w:p>
    <w:p w14:paraId="752C93AA" w14:textId="77777777" w:rsidR="00563187" w:rsidRDefault="00673081" w:rsidP="002929A8">
      <w:r>
        <w:t xml:space="preserve">66. Wujewski, Anatolian Sepulchral Stelae, 34. </w:t>
      </w:r>
    </w:p>
    <w:p w14:paraId="1D60927E" w14:textId="1CE0BFD8" w:rsidR="00563187" w:rsidRDefault="00673081" w:rsidP="002929A8">
      <w:r>
        <w:t xml:space="preserve">67. See Elsner, “Closure and Penetration,” 197. </w:t>
      </w:r>
    </w:p>
    <w:p w14:paraId="3F66A00E" w14:textId="77777777" w:rsidR="00563187" w:rsidRDefault="00673081" w:rsidP="002929A8">
      <w:r>
        <w:t xml:space="preserve">68. Haarløv, Half-Open Door, 139. </w:t>
      </w:r>
    </w:p>
    <w:p w14:paraId="7524D334" w14:textId="77777777" w:rsidR="00563187" w:rsidRDefault="00673081" w:rsidP="002929A8">
      <w:r>
        <w:t xml:space="preserve">69. See Horace, Carmina, </w:t>
      </w:r>
      <w:proofErr w:type="gramStart"/>
      <w:r>
        <w:t>Book</w:t>
      </w:r>
      <w:proofErr w:type="gramEnd"/>
      <w:r>
        <w:t xml:space="preserve"> 4, Ode 7 (LCL 33:240– 41); and Ovid, Metamorphoses, Book 15, 199–234 (LCL 43:378–81). See also Lawrence, “Season Sarcophagi,” 277. </w:t>
      </w:r>
    </w:p>
    <w:p w14:paraId="1186138F" w14:textId="5FA918AF" w:rsidR="00563187" w:rsidRDefault="00673081" w:rsidP="002929A8">
      <w:r>
        <w:t>70. On the seasons as framing devices on Roman sar</w:t>
      </w:r>
      <w:r>
        <w:t xml:space="preserve">cophagi, see Jaś Elsner, “Making Myth Visual: The Horae of Philostratus and the Dance of the Text,” Römische Mitteilungen 207 (2000): 253–76; and Platt, “Framing the Dead” (2017), 368–69. </w:t>
      </w:r>
    </w:p>
    <w:p w14:paraId="0EE558FF" w14:textId="77777777" w:rsidR="005971FD" w:rsidRDefault="00673081" w:rsidP="002929A8">
      <w:r>
        <w:t xml:space="preserve">71. On literal and conceptual framing in Greco-Roman art, and for further bibliography, see Verity Platt, “Introduction,” in Platt and Squire, The Frame, 102–6. </w:t>
      </w:r>
    </w:p>
    <w:p w14:paraId="369B6C9D" w14:textId="03A29BC1" w:rsidR="005971FD" w:rsidRDefault="00673081" w:rsidP="002929A8">
      <w:r>
        <w:t xml:space="preserve">72. “Nostra tibi innotescat affection, cum mortuo amico fletus impenditur, divina potentia sentiatur, cum idem post quatriduanam jam foetidus sepultura, solo vocis imperio vivificatus erigitur.” Leo I, Sermo 46, in Léon le Grand, Sermons, ed. René Dolle (Paris: Cerf, 1961–73), vol. 2, 155–57, trans. Nicene and Post-Nicene Fathers (hereafter NPNF), vol. 12. For Leo’s Christology, see his letter to Emperor Flavian about Eustyches on June 13, 449. Tanner, Decrees of the Ecumenical Councils, vol. 1, 77–82. </w:t>
      </w:r>
    </w:p>
    <w:p w14:paraId="3352E464" w14:textId="77777777" w:rsidR="005971FD" w:rsidRDefault="00673081" w:rsidP="002929A8">
      <w:r>
        <w:t xml:space="preserve">73. On self-reflexivity and Roman sarcophagi, see Elsner, “Decorative Imperatives,” 180–88. </w:t>
      </w:r>
    </w:p>
    <w:p w14:paraId="2DC7E30A" w14:textId="77777777" w:rsidR="005971FD" w:rsidRDefault="00673081" w:rsidP="002929A8">
      <w:r>
        <w:lastRenderedPageBreak/>
        <w:t xml:space="preserve">74. On mimesis and early Christian pilgrimage art, see Vikan, “Pilgrims,” 101. </w:t>
      </w:r>
    </w:p>
    <w:p w14:paraId="2D6BD2CB" w14:textId="77777777" w:rsidR="005971FD" w:rsidRDefault="00673081" w:rsidP="002929A8">
      <w:r>
        <w:t xml:space="preserve">75. On mise en abyme in relation to the experience of medieval art, see David Ganz, “Touching Books, Touching Art: Tactile Dimensions of Sacred Books in the Medieval West,” Postscripts: The Journal of Sacred Texts and Contemporary Worlds 8, no. 1–2 (2012): 81–84; and Jaś Elsner, “Ornament, Figure and Mise en Abyme in Roman Sarcophagi,” in Ornament and Figure in Graeco-Roman Art, ed. Nikolaus Dietrich and Michael Squire (Berlin: De Gruyter, 2018), 353–91. </w:t>
      </w:r>
    </w:p>
    <w:p w14:paraId="3EC509EF" w14:textId="281AF669" w:rsidR="005971FD" w:rsidRDefault="00673081" w:rsidP="002929A8">
      <w:r>
        <w:t xml:space="preserve">76. See Aloys Grillmeier, Christ in Christian Tradition: From the Apostolic Age to Chalcedon (London: Mowbray, 1975), 413–17; Harold Turner, “Nestorius Reconsidered,” Studia Patristica 13 (1975): 306–21; Giuseppe Alberigo, ed., Les conciles oecuméniques, vol. 1, L’histoire (Paris: Cerf, 1994); and Susan Wessel, Leo the Great and the Spiritual Rebuilding of a Universal Rome (Leiden, the Netherlands: Brill, 2008). </w:t>
      </w:r>
    </w:p>
    <w:p w14:paraId="53E2EC2B" w14:textId="438B15B2" w:rsidR="005971FD" w:rsidRDefault="00673081" w:rsidP="002929A8">
      <w:r>
        <w:t xml:space="preserve">77. The complex theological debates at Nicaea that continued throughout the fourth and fifth centuries arose in response to the controversial teachings of Arius, a presbyter in Alexandria. See Rowan Williams, Arius: Heresy and Tradition, 2nd Edition (London: SCM, 2001); Richard Hanson, The Search for the Christian Doctrine of God: The Arian Controversy, 318–81 (Edinburgh: T &amp; T Clark, 1988); Maurice Wiles, Archetypal Heresy: Arianism through the Centuries (Oxford: Clarendon Press, 1996), 1–51; and Rebecca Lyman, “Arius and Arians,” in The Oxford Handbook of Early Christian Studies, ed. Susan Ashbrook Harvey and David Hunter (Oxford: Oxford University Press, 2008), 237–57. </w:t>
      </w:r>
    </w:p>
    <w:p w14:paraId="6F122C99" w14:textId="77777777" w:rsidR="00C0495F" w:rsidRDefault="00673081" w:rsidP="002929A8">
      <w:r>
        <w:t xml:space="preserve">78. Cyril is thought to have preached his Homily XI at Ephesus (Patrologiae cursus completus, Series graeca, ed. J.-P. Migne ([Paris, 1857–66)], hereafter PG, 77:1302D). See Frances Young, “Theotokos: Mary and the Pattern of Fall and Redemption in the Theology of Cyril of Alexandria,” in The Theology of St. Cyril of Alexandria: A Critical Appreciation, ed. Thomas Weinandy and Daniel Keating (London: T &amp; T Clark, 2003), 55–74. Although Cyril used the term precisely as it appears here, the concept was used widely by other Christian writers such as Ephrem the Syrian, Proclus, Hesychius of Jerusalem, Antipater of Bostra, Pseudo-Athanasius, Basil of Seleucia, Chrysippus of Jerusalem, and others, all of whom were responding to the problem of how an inherently uncontainable God could be contained in space and time. See Leena Mari Peltomaa, The Image of the Virgin Mary in the Akathistos Hymn (Leiden, the Netherlands, and Boston: Brill, 2001), 135–37. This phrase famously appears in the fourteenth-century decoration of the Chora monastery in Istanbul. Paul Underwood, The Kariye Djami, vol. 1 (New York: Bollingen Foundation, 1966), 40–42. </w:t>
      </w:r>
    </w:p>
    <w:p w14:paraId="419CC0EE" w14:textId="77777777" w:rsidR="005E0A07" w:rsidRDefault="00673081" w:rsidP="002929A8">
      <w:r>
        <w:t xml:space="preserve">79. Most famously articulated in the Apology of Aristides of Athens to Emperor Hadrian (117–138 </w:t>
      </w:r>
      <w:r w:rsidR="005E0A07">
        <w:t>CE</w:t>
      </w:r>
      <w:r>
        <w:t xml:space="preserve">). John Kelly, Early Christian Doctrines, rev. ed. (London: Continuum, 1989), 84; and Peltomaa, Image of the Virgin Mary in the Akathistos Hymn, 136. </w:t>
      </w:r>
    </w:p>
    <w:p w14:paraId="4454FE5C" w14:textId="77777777" w:rsidR="00BC336B" w:rsidRDefault="00673081" w:rsidP="002929A8">
      <w:r>
        <w:t xml:space="preserve">80. The Brescia casket may alternatively have hosted the Eucharist (Museo Cristiano, Brescia, inv. avorio 1). Johannes Kollwitz, Die Lipsanothek von Brescia (Berlin: De Gruyter, 1933); Richard Delbrueck, Probleme der Lipsanothek in Brescia (Bonn: P. Hanstein, 1952); Carolyn Joslin Watson, “The Program of the Brescia Casket,” Gesta 20, no. 2 (1981): 283–98; Catherine Brown Tkacz, The Key to the Brescia Casket: Typology and the Early Christian Imagination (Notre Dame, IN: University of Notre Dame Press; Paris: Institut d’Études Augustiennes, 2002); and Elsner, “Framing the Objects We Study: Three Boxes.” On the Pola casket (Venice, Museo Archeologico, inv. avorio 279/52), see Tilmann Buddensieg, “Le coffret en ivoire de Pola, Saint-Pierre et le Latran,” Cahiers Archéologiques 10 (1959): 157–89; Anna Angiolini, La capsella eburnea di Pola </w:t>
      </w:r>
      <w:r>
        <w:lastRenderedPageBreak/>
        <w:t xml:space="preserve">(Bologna: Riccardo Pàtron, 1970); David Longhi, La capsella eburnea di Samagher: Iconografia e committenza (Ravenna: Edizioni del Girasole, 2006); Martina Bagnoli et al., Treasures of Heaven: Saints, Relics, and Devotion in Medieval Europe (London: British Museum Press, 2011), no. 16; Elsner, “Relic, Icon,” 20–21; Elsner, “Closure and Penetration”; and Elsner, “Concealment and Revelation: The Pola Casket and the Visuality of Early Christian Relics,” in Conditions of Visibility, ed. Richard Neer (Oxford: Oxford University Press, 2019), 74–110. </w:t>
      </w:r>
    </w:p>
    <w:p w14:paraId="2DBE9360" w14:textId="42189691" w:rsidR="00A57C2A" w:rsidRDefault="00673081" w:rsidP="002929A8">
      <w:r>
        <w:t xml:space="preserve">81. It may have transported the host to those unable to attend church. Foletti (“British Museum Casket”) argues that it was a devotional piece. </w:t>
      </w:r>
    </w:p>
    <w:p w14:paraId="79D2AB46" w14:textId="77777777" w:rsidR="00A57C2A" w:rsidRDefault="00673081" w:rsidP="002929A8">
      <w:r>
        <w:t xml:space="preserve">82. On late antique boxes as frames for their contents, see Elsner, “Framing the Objects We Study: Three Boxes.” </w:t>
      </w:r>
    </w:p>
    <w:p w14:paraId="45773F2F" w14:textId="0ABFC419" w:rsidR="00A57C2A" w:rsidRDefault="00673081" w:rsidP="002929A8">
      <w:r>
        <w:t xml:space="preserve">83. Elsner, “Concealment and Revelation,” 93. </w:t>
      </w:r>
    </w:p>
    <w:p w14:paraId="3435F557" w14:textId="77777777" w:rsidR="00A57C2A" w:rsidRDefault="00673081" w:rsidP="002929A8">
      <w:r>
        <w:t xml:space="preserve">84. Buddensieg, “Le coffret d’ivoire,” sees the front of the Pola casket as a copy of the Lateran apse mosaic. </w:t>
      </w:r>
    </w:p>
    <w:p w14:paraId="7C27C768" w14:textId="77777777" w:rsidR="00C0495F" w:rsidRDefault="00673081" w:rsidP="002929A8">
      <w:r>
        <w:t xml:space="preserve">85. Elsner, “Concealment and Revelation,” 187–88. See also Longhi, La capsella, 55–108. </w:t>
      </w:r>
    </w:p>
    <w:p w14:paraId="456A8F60" w14:textId="351184FE" w:rsidR="00C0495F" w:rsidRDefault="00673081" w:rsidP="002929A8">
      <w:r>
        <w:t xml:space="preserve">86. See Elsner, “Relic, Icon,” 19–20. </w:t>
      </w:r>
    </w:p>
    <w:p w14:paraId="5AB6E239" w14:textId="77777777" w:rsidR="00C0495F" w:rsidRDefault="00673081" w:rsidP="002929A8">
      <w:pPr>
        <w:rPr>
          <w:lang w:val="it-IT"/>
        </w:rPr>
      </w:pPr>
      <w:r w:rsidRPr="00673081">
        <w:rPr>
          <w:lang w:val="it-IT"/>
        </w:rPr>
        <w:t xml:space="preserve">87. Jonah 1–2. </w:t>
      </w:r>
    </w:p>
    <w:p w14:paraId="4FCA45ED" w14:textId="77777777" w:rsidR="00BC336B" w:rsidRDefault="00673081" w:rsidP="002929A8">
      <w:r w:rsidRPr="00673081">
        <w:rPr>
          <w:lang w:val="it-IT"/>
        </w:rPr>
        <w:t xml:space="preserve">88. “Testamentum enim vetus velatio est novi Testamenti, et Testamentum novum revelatio est veteris Testamenti.” </w:t>
      </w:r>
      <w:r>
        <w:t xml:space="preserve">Augustine, “In solemnitate martyrum Machabaeorum” (Patrologiae cursus completus, Series latina, ed. J.-P. Migne [Paris, 1844–55], hereafter PL, 38:1377–78), quoted in Tkacz, Key to the Brescia Casket, 96–97. </w:t>
      </w:r>
    </w:p>
    <w:p w14:paraId="1FB93A35" w14:textId="77777777" w:rsidR="00BC336B" w:rsidRDefault="00673081" w:rsidP="002929A8">
      <w:r>
        <w:t xml:space="preserve">89. Elsner, “Relic, Icon,” 28. </w:t>
      </w:r>
    </w:p>
    <w:p w14:paraId="70F32D96" w14:textId="77777777" w:rsidR="00BC336B" w:rsidRDefault="00673081" w:rsidP="002929A8">
      <w:r>
        <w:t xml:space="preserve">90. John 20:24–29. </w:t>
      </w:r>
    </w:p>
    <w:p w14:paraId="0AD20759" w14:textId="77777777" w:rsidR="00705AD5" w:rsidRDefault="00673081" w:rsidP="002929A8">
      <w:pPr>
        <w:rPr>
          <w:lang w:val="it-IT"/>
        </w:rPr>
      </w:pPr>
      <w:r>
        <w:t xml:space="preserve">91. The Saint Celsus sarcophagus at Milan (370–80 </w:t>
      </w:r>
      <w:r w:rsidR="00BC336B">
        <w:t>CE</w:t>
      </w:r>
      <w:r>
        <w:t xml:space="preserve">); an early fifth-century sarcophagus fragment in Ravenna; a mid-fourth-century sarcophagus for Saints Faustinus and Jovita in Brescia in African onyx; and a mosaic panel in San Apollinare Nuovo in Ravenna. </w:t>
      </w:r>
      <w:r w:rsidRPr="00673081">
        <w:rPr>
          <w:lang w:val="it-IT"/>
        </w:rPr>
        <w:t xml:space="preserve">See Hugo Brandenburg, “La scultura a Milano nel IV e V secolo,” in Milano, una capitale da Ambrogio ai Carolingi, ed. Carlo Bertelli (Milan: Electa, 1987), 95–97, fig. 109; Giuseppe Bovini, Sarcofagi paleocristiani di Ravenna (Rome: Rom Società “Amici delle Catacombe,” 1954), 26–27, fig. 17; Clara Stella, Brixia: Scoperte e riscoperte (Milan: Skira, 2003), 106; Emanuela Penni Iacco, La basilica di S. Apollinare Nuovo di Ravenna attraverso i secoli (Bologna: Ante Quem, 2004), 61–62; and Patrick Crowley, “Doubting Thomas and the Matter of Embodiment on Early Christian Sarcophagi,” Art History 41, no. 3 (2018): 566–91. </w:t>
      </w:r>
    </w:p>
    <w:p w14:paraId="199C08C5" w14:textId="77777777" w:rsidR="00705AD5" w:rsidRDefault="00673081" w:rsidP="002929A8">
      <w:r>
        <w:t xml:space="preserve">92. On touch in Greco-Roman antiquity, and for further bibliography, see Alex Purves, “Introduction: What and 28 The Art Bulletin September 2022 Where Is Touch?” in Touch and the Ancient Senses, ed. A. Purves (New York: Routledge, 2018), 1–20. </w:t>
      </w:r>
    </w:p>
    <w:p w14:paraId="44EFC3E1" w14:textId="77777777" w:rsidR="007B089D" w:rsidRDefault="00673081" w:rsidP="002929A8">
      <w:r>
        <w:t>93. “φανερ</w:t>
      </w:r>
      <w:r>
        <w:rPr>
          <w:rFonts w:ascii="Arial" w:hAnsi="Arial" w:cs="Arial"/>
        </w:rPr>
        <w:t>ὸ</w:t>
      </w:r>
      <w:r>
        <w:t>ν το</w:t>
      </w:r>
      <w:r>
        <w:rPr>
          <w:rFonts w:ascii="Arial" w:hAnsi="Arial" w:cs="Arial"/>
        </w:rPr>
        <w:t>ί</w:t>
      </w:r>
      <w:r>
        <w:t xml:space="preserve">νυν </w:t>
      </w:r>
      <w:r>
        <w:rPr>
          <w:rFonts w:ascii="Arial" w:hAnsi="Arial" w:cs="Arial"/>
        </w:rPr>
        <w:t>ὅ</w:t>
      </w:r>
      <w:r>
        <w:t xml:space="preserve">τι </w:t>
      </w:r>
      <w:r>
        <w:rPr>
          <w:rFonts w:ascii="Arial" w:hAnsi="Arial" w:cs="Arial"/>
        </w:rPr>
        <w:t>ἀ</w:t>
      </w:r>
      <w:r>
        <w:t>ν</w:t>
      </w:r>
      <w:r>
        <w:rPr>
          <w:rFonts w:ascii="Arial" w:hAnsi="Arial" w:cs="Arial"/>
        </w:rPr>
        <w:t>ά</w:t>
      </w:r>
      <w:r>
        <w:t>γκη μ</w:t>
      </w:r>
      <w:r>
        <w:rPr>
          <w:rFonts w:ascii="Arial" w:hAnsi="Arial" w:cs="Arial"/>
        </w:rPr>
        <w:t>ό</w:t>
      </w:r>
      <w:r>
        <w:t>νης τα</w:t>
      </w:r>
      <w:r>
        <w:rPr>
          <w:rFonts w:ascii="Arial" w:hAnsi="Arial" w:cs="Arial"/>
        </w:rPr>
        <w:t>ύ</w:t>
      </w:r>
      <w:r>
        <w:t>της στερισκ</w:t>
      </w:r>
      <w:r>
        <w:rPr>
          <w:rFonts w:ascii="Arial" w:hAnsi="Arial" w:cs="Arial"/>
        </w:rPr>
        <w:t>ό</w:t>
      </w:r>
      <w:r>
        <w:t>μενα τ</w:t>
      </w:r>
      <w:r>
        <w:rPr>
          <w:rFonts w:ascii="Arial" w:hAnsi="Arial" w:cs="Arial"/>
        </w:rPr>
        <w:t>ῆ</w:t>
      </w:r>
      <w:r>
        <w:t>ς α</w:t>
      </w:r>
      <w:r>
        <w:rPr>
          <w:rFonts w:ascii="Arial" w:hAnsi="Arial" w:cs="Arial"/>
        </w:rPr>
        <w:t>ἰ</w:t>
      </w:r>
      <w:r>
        <w:t>σθ</w:t>
      </w:r>
      <w:r>
        <w:rPr>
          <w:rFonts w:ascii="Arial" w:hAnsi="Arial" w:cs="Arial"/>
        </w:rPr>
        <w:t>ή</w:t>
      </w:r>
      <w:r>
        <w:t>σεως τ</w:t>
      </w:r>
      <w:r>
        <w:rPr>
          <w:rFonts w:ascii="Arial" w:hAnsi="Arial" w:cs="Arial"/>
        </w:rPr>
        <w:t>ὰ</w:t>
      </w:r>
      <w:r>
        <w:t xml:space="preserve"> ζ</w:t>
      </w:r>
      <w:r>
        <w:rPr>
          <w:rFonts w:ascii="Arial" w:hAnsi="Arial" w:cs="Arial"/>
        </w:rPr>
        <w:t>ῷ</w:t>
      </w:r>
      <w:r>
        <w:t xml:space="preserve">α </w:t>
      </w:r>
      <w:r>
        <w:rPr>
          <w:rFonts w:ascii="Arial" w:hAnsi="Arial" w:cs="Arial"/>
        </w:rPr>
        <w:t>ἀ</w:t>
      </w:r>
      <w:r>
        <w:t>ποθν</w:t>
      </w:r>
      <w:r>
        <w:rPr>
          <w:rFonts w:ascii="Arial" w:hAnsi="Arial" w:cs="Arial"/>
        </w:rPr>
        <w:t>ή</w:t>
      </w:r>
      <w:r>
        <w:t xml:space="preserve">σκειν· (It is obvious, then, that deprived of this one sense alone, animals must die). Aristotle, On the Soul, 3.13.435b (LCL 288:200–201). See Rebecca Steiner Goldner, “Aristotle and the Priority of Touch,” in Purves, Touch, 50–63. </w:t>
      </w:r>
    </w:p>
    <w:p w14:paraId="06F2AE9C" w14:textId="77777777" w:rsidR="007B089D" w:rsidRDefault="00673081" w:rsidP="002929A8">
      <w:r>
        <w:lastRenderedPageBreak/>
        <w:t>94. “</w:t>
      </w:r>
      <w:r>
        <w:rPr>
          <w:rFonts w:ascii="Arial" w:hAnsi="Arial" w:cs="Arial"/>
        </w:rPr>
        <w:t>ἐ</w:t>
      </w:r>
      <w:r>
        <w:t>ν μ</w:t>
      </w:r>
      <w:r>
        <w:rPr>
          <w:rFonts w:ascii="Arial" w:hAnsi="Arial" w:cs="Arial"/>
        </w:rPr>
        <w:t>ὲ</w:t>
      </w:r>
      <w:r>
        <w:t>ν γ</w:t>
      </w:r>
      <w:r>
        <w:rPr>
          <w:rFonts w:ascii="Arial" w:hAnsi="Arial" w:cs="Arial"/>
        </w:rPr>
        <w:t>ὰ</w:t>
      </w:r>
      <w:r>
        <w:t>ρ τα</w:t>
      </w:r>
      <w:r>
        <w:rPr>
          <w:rFonts w:ascii="Arial" w:hAnsi="Arial" w:cs="Arial"/>
        </w:rPr>
        <w:t>ῖ</w:t>
      </w:r>
      <w:r>
        <w:t xml:space="preserve">ς </w:t>
      </w:r>
      <w:r>
        <w:rPr>
          <w:rFonts w:ascii="Arial" w:hAnsi="Arial" w:cs="Arial"/>
        </w:rPr>
        <w:t>ἄ</w:t>
      </w:r>
      <w:r>
        <w:t>λλαις λε</w:t>
      </w:r>
      <w:r>
        <w:rPr>
          <w:rFonts w:ascii="Arial" w:hAnsi="Arial" w:cs="Arial"/>
        </w:rPr>
        <w:t>ί</w:t>
      </w:r>
      <w:r>
        <w:t>πεται πολλ</w:t>
      </w:r>
      <w:r>
        <w:rPr>
          <w:rFonts w:ascii="Arial" w:hAnsi="Arial" w:cs="Arial"/>
        </w:rPr>
        <w:t>ῶ</w:t>
      </w:r>
      <w:r>
        <w:t>ν τ</w:t>
      </w:r>
      <w:r>
        <w:rPr>
          <w:rFonts w:ascii="Arial" w:hAnsi="Arial" w:cs="Arial"/>
        </w:rPr>
        <w:t>ῶ</w:t>
      </w:r>
      <w:r>
        <w:t>ν ζ</w:t>
      </w:r>
      <w:r>
        <w:rPr>
          <w:rFonts w:ascii="Arial" w:hAnsi="Arial" w:cs="Arial"/>
        </w:rPr>
        <w:t>ῴ</w:t>
      </w:r>
      <w:r>
        <w:t>ων, κατ</w:t>
      </w:r>
      <w:r>
        <w:rPr>
          <w:rFonts w:ascii="Arial" w:hAnsi="Arial" w:cs="Arial"/>
        </w:rPr>
        <w:t>ὰ</w:t>
      </w:r>
      <w:r>
        <w:t xml:space="preserve"> δ</w:t>
      </w:r>
      <w:r>
        <w:rPr>
          <w:rFonts w:ascii="Arial" w:hAnsi="Arial" w:cs="Arial"/>
        </w:rPr>
        <w:t>ὲ</w:t>
      </w:r>
      <w:r>
        <w:t xml:space="preserve"> τ</w:t>
      </w:r>
      <w:r>
        <w:rPr>
          <w:rFonts w:ascii="Arial" w:hAnsi="Arial" w:cs="Arial"/>
        </w:rPr>
        <w:t>ὴ</w:t>
      </w:r>
      <w:r>
        <w:t xml:space="preserve">ν </w:t>
      </w:r>
      <w:r>
        <w:rPr>
          <w:rFonts w:ascii="Arial" w:hAnsi="Arial" w:cs="Arial"/>
        </w:rPr>
        <w:t>ἁ</w:t>
      </w:r>
      <w:r>
        <w:t>φ</w:t>
      </w:r>
      <w:r>
        <w:rPr>
          <w:rFonts w:ascii="Arial" w:hAnsi="Arial" w:cs="Arial"/>
        </w:rPr>
        <w:t>ὴ</w:t>
      </w:r>
      <w:r>
        <w:t>ν πολλ</w:t>
      </w:r>
      <w:r>
        <w:rPr>
          <w:rFonts w:ascii="Arial" w:hAnsi="Arial" w:cs="Arial"/>
        </w:rPr>
        <w:t>ῷ</w:t>
      </w:r>
      <w:r>
        <w:t xml:space="preserve"> τ</w:t>
      </w:r>
      <w:r>
        <w:rPr>
          <w:rFonts w:ascii="Arial" w:hAnsi="Arial" w:cs="Arial"/>
        </w:rPr>
        <w:t>ῶ</w:t>
      </w:r>
      <w:r>
        <w:t xml:space="preserve">ν </w:t>
      </w:r>
      <w:r>
        <w:rPr>
          <w:rFonts w:ascii="Arial" w:hAnsi="Arial" w:cs="Arial"/>
        </w:rPr>
        <w:t>ἄ</w:t>
      </w:r>
      <w:r>
        <w:t>λλων διαφερ</w:t>
      </w:r>
      <w:r>
        <w:rPr>
          <w:rFonts w:ascii="Arial" w:hAnsi="Arial" w:cs="Arial"/>
        </w:rPr>
        <w:t>ό</w:t>
      </w:r>
      <w:r>
        <w:t xml:space="preserve">ντως </w:t>
      </w:r>
      <w:r>
        <w:rPr>
          <w:rFonts w:ascii="Arial" w:hAnsi="Arial" w:cs="Arial"/>
        </w:rPr>
        <w:t>ἀ</w:t>
      </w:r>
      <w:r>
        <w:t>κριβο</w:t>
      </w:r>
      <w:r>
        <w:rPr>
          <w:rFonts w:ascii="Arial" w:hAnsi="Arial" w:cs="Arial"/>
        </w:rPr>
        <w:t>ῖ</w:t>
      </w:r>
      <w:r>
        <w:t>. δι</w:t>
      </w:r>
      <w:r>
        <w:rPr>
          <w:rFonts w:ascii="Arial" w:hAnsi="Arial" w:cs="Arial"/>
        </w:rPr>
        <w:t>ὸ</w:t>
      </w:r>
      <w:r>
        <w:t xml:space="preserve"> κα</w:t>
      </w:r>
      <w:r>
        <w:rPr>
          <w:rFonts w:ascii="Arial" w:hAnsi="Arial" w:cs="Arial"/>
        </w:rPr>
        <w:t>ὶ</w:t>
      </w:r>
      <w:r>
        <w:t xml:space="preserve"> φρονιμ</w:t>
      </w:r>
      <w:r>
        <w:rPr>
          <w:rFonts w:ascii="Arial" w:hAnsi="Arial" w:cs="Arial"/>
        </w:rPr>
        <w:t>ώ</w:t>
      </w:r>
      <w:r>
        <w:t>τατ</w:t>
      </w:r>
      <w:r>
        <w:rPr>
          <w:rFonts w:ascii="Arial" w:hAnsi="Arial" w:cs="Arial"/>
        </w:rPr>
        <w:t>ό</w:t>
      </w:r>
      <w:r>
        <w:t xml:space="preserve">ν </w:t>
      </w:r>
      <w:r>
        <w:rPr>
          <w:rFonts w:ascii="Arial" w:hAnsi="Arial" w:cs="Arial"/>
        </w:rPr>
        <w:t>ἐ</w:t>
      </w:r>
      <w:r>
        <w:t>στι τ</w:t>
      </w:r>
      <w:r>
        <w:rPr>
          <w:rFonts w:ascii="Arial" w:hAnsi="Arial" w:cs="Arial"/>
        </w:rPr>
        <w:t>ῶ</w:t>
      </w:r>
      <w:r>
        <w:t>ν ζ</w:t>
      </w:r>
      <w:r>
        <w:rPr>
          <w:rFonts w:ascii="Arial" w:hAnsi="Arial" w:cs="Arial"/>
        </w:rPr>
        <w:t>ῴ</w:t>
      </w:r>
      <w:r>
        <w:t xml:space="preserve">ων.” Aristotle, On the Soul, 2.9.421a21–24 (LCL 288:120–21). </w:t>
      </w:r>
    </w:p>
    <w:p w14:paraId="069CAABE" w14:textId="3D3A76F7" w:rsidR="007B089D" w:rsidRDefault="00673081" w:rsidP="002929A8">
      <w:r>
        <w:t xml:space="preserve">95. See Catherine Conybeare, “Noli me tangere: The Theology of Touch,” in Purves, Touch, 167–79. </w:t>
      </w:r>
    </w:p>
    <w:p w14:paraId="353F6CB8" w14:textId="77777777" w:rsidR="00C14523" w:rsidRDefault="00673081" w:rsidP="002929A8">
      <w:r w:rsidRPr="007B089D">
        <w:rPr>
          <w:lang w:val="it-IT"/>
        </w:rPr>
        <w:t xml:space="preserve">96. “Per quinque sensus, quasi per quasdam fenestras, vitiorum ad animam introitus est.” </w:t>
      </w:r>
      <w:r>
        <w:t xml:space="preserve">Jerome, </w:t>
      </w:r>
      <w:proofErr w:type="spellStart"/>
      <w:r>
        <w:t>Adversus</w:t>
      </w:r>
      <w:proofErr w:type="spellEnd"/>
      <w:r>
        <w:t xml:space="preserve"> </w:t>
      </w:r>
      <w:proofErr w:type="spellStart"/>
      <w:r>
        <w:t>Jovinianum</w:t>
      </w:r>
      <w:proofErr w:type="spellEnd"/>
      <w:r>
        <w:t xml:space="preserve"> 2.8 (PL 23:297), trans. NPNF, vol. 6. For a more positive appraisal of the five senses, see Augustine, Sermo [92]62 (PL 38). </w:t>
      </w:r>
    </w:p>
    <w:p w14:paraId="453D0D6C" w14:textId="07F0A039" w:rsidR="007B089D" w:rsidRDefault="00673081" w:rsidP="002929A8">
      <w:r>
        <w:t xml:space="preserve">97. Origen, Contra Celsum, 7.33, ed. and trans. Marcel Borret, Origène: Contre Celse (Paris: Cerf, 1969), 88. See Elizabeth Clark, The Origenist Controversy: The Cultural Construction of an Early Christian Debate (Princeton, NJ: Princeton University Press, 1992), 86–104; Caroline Walker Bynum, The Resurrection of the Body in Western Christianity, 200–1336 (New York: Columbia University Press, 1995), 59–64; and Cox Miller, Corporeal Imagination, 27–30. </w:t>
      </w:r>
    </w:p>
    <w:p w14:paraId="633851A7" w14:textId="77777777" w:rsidR="00C14523" w:rsidRDefault="00673081" w:rsidP="002929A8">
      <w:r>
        <w:t xml:space="preserve">98. Cox Miller, Corporeal Imagination, 23. </w:t>
      </w:r>
    </w:p>
    <w:p w14:paraId="2E8B7191" w14:textId="369091DB" w:rsidR="00C14523" w:rsidRDefault="00673081" w:rsidP="002929A8">
      <w:r>
        <w:t xml:space="preserve">99. Vikan, “Pilgrims”; and Frank, “Pilgrim’s Gaze,” 107. The conflation of touch and sight had begun long before in the theories of sight as a haptic phenomenon that predominated in classical antiquity, namely intromission and extramission. See Michael Squire, ed., Sight and the Ancient Senses (London: Routledge, 2016); and Roland Betancourt, Sight, Touch and Imagination in Byzantium (Cambridge: Cambridge University Press, 2018). </w:t>
      </w:r>
    </w:p>
    <w:p w14:paraId="03AE08CE" w14:textId="77777777" w:rsidR="00C14523" w:rsidRDefault="00673081" w:rsidP="002929A8">
      <w:r>
        <w:t xml:space="preserve">100. Paulinus of Nola, Ep. 49.402, in Epistulae, ed. Wilhelm Hartel, Corpus Scriptorum Ecclesiasticorum Latinorum 29 (Vienna: Österreichischen Akademie der Wissenschaft, 1894). See Wilkinson, Egeria’s Travels, 40; and Frank, “Pilgrim’s Gaze,” 104–5. The desire to physically experience the localized holy also existed in pagan antiquity, for example, in the Hellados periegesis of Pausanias, a Greek travel writer of the second century ce. John Elsner, “Pausanias: A Greek Pilgrim in the Roman World,” Past &amp; Present 135, no. 1 (1992): 3–29. </w:t>
      </w:r>
    </w:p>
    <w:p w14:paraId="4FD34ED8" w14:textId="77777777" w:rsidR="007F0114" w:rsidRDefault="00673081" w:rsidP="002929A8">
      <w:r>
        <w:t xml:space="preserve">101. Gary Vikan, Early Byzantine Pilgrimage Art (Washington DC: Dumbarton Oaks, 2010), 63–64; William Diebold, “‘Except I shall see . . . I will not believe’ (John 20:25): Typology, Theology, and Historiography in an Ottonian Ivory Diptych,” in Objects, Images, and the Word: Art in the Service of the Liturgy, ed. Colum Hourihane (Princeton, NJ: Princeton University Press, 2003), 257–73; Glenn Most, Doubting Thomas (Cambridge, MA: Harvard University Press, 2005); Alexander Murray, Doubting Thomas in Medieval Exegesis and Art (Rome: Unione internazionale degli istituti di archeologia, 2006); Francesca Dell’Acqua, “The Five Senses and the Knowledge of God,” in Palazzo, Les cinq sens, 235–86; and Crowley, “Doubting Thomas.” </w:t>
      </w:r>
    </w:p>
    <w:p w14:paraId="68FA295E" w14:textId="77777777" w:rsidR="007F0114" w:rsidRDefault="00673081" w:rsidP="002929A8">
      <w:r>
        <w:t xml:space="preserve">102. Such meaningful exploitation of ivory grain by skilled carvers is discussed in Cutler, Hand of the Master, 35, 128–31. </w:t>
      </w:r>
    </w:p>
    <w:p w14:paraId="29696576" w14:textId="77777777" w:rsidR="007F0114" w:rsidRDefault="00673081" w:rsidP="002929A8">
      <w:r>
        <w:t xml:space="preserve">103. Augustine, Sermo 62.4 (PL 38:645). </w:t>
      </w:r>
    </w:p>
    <w:p w14:paraId="12AB6571" w14:textId="6011E41F" w:rsidR="007F0114" w:rsidRPr="007F0114" w:rsidRDefault="00673081" w:rsidP="002929A8">
      <w:pPr>
        <w:rPr>
          <w:lang w:val="it-IT"/>
        </w:rPr>
      </w:pPr>
      <w:r w:rsidRPr="007F0114">
        <w:rPr>
          <w:lang w:val="it-IT"/>
        </w:rPr>
        <w:t xml:space="preserve">104. Leo I, Sermo 71.3 (PL 54:388A–B). </w:t>
      </w:r>
    </w:p>
    <w:p w14:paraId="27AA5581" w14:textId="77777777" w:rsidR="007F0114" w:rsidRDefault="00673081" w:rsidP="002929A8">
      <w:r>
        <w:t xml:space="preserve">105. Bynum, The Resurrection, 121. </w:t>
      </w:r>
    </w:p>
    <w:p w14:paraId="07EEBA55" w14:textId="77777777" w:rsidR="007F0114" w:rsidRDefault="00673081" w:rsidP="002929A8">
      <w:r>
        <w:t xml:space="preserve">106. Ibid., 113. </w:t>
      </w:r>
    </w:p>
    <w:p w14:paraId="79FF2BA0" w14:textId="77777777" w:rsidR="007F0114" w:rsidRDefault="00673081" w:rsidP="002929A8">
      <w:r>
        <w:lastRenderedPageBreak/>
        <w:t xml:space="preserve">107. See Epistle 84:6 (PL 22:748) in Jerome, Correspondance, vol. 4, ed. Jérôme Labourt (Paris: Belles Lettres, 1949–63), 131; Jerome, Contra Joannem Hierosolymitanum 25–30 (PL 23:119); and Jerome, Correspondance, vol. 6:99. </w:t>
      </w:r>
    </w:p>
    <w:p w14:paraId="27C05605" w14:textId="77777777" w:rsidR="002A4C5A" w:rsidRDefault="00673081" w:rsidP="002929A8">
      <w:r>
        <w:t xml:space="preserve">108. On a statue of the Virgin and child in which the ivory warms to the touch to convey the mystery of the Incarnation, see Sarah Guérin, “Saisir le sens: Les ivoires gothiques et le toucher,” in Palazzo, Les cinq sens, 589–622, esp. 609–11. </w:t>
      </w:r>
    </w:p>
    <w:p w14:paraId="510973D4" w14:textId="77777777" w:rsidR="002A4C5A" w:rsidRDefault="00673081" w:rsidP="002929A8">
      <w:r>
        <w:t xml:space="preserve">109. For comparisons between ivory and human flesh in Homer, see his Iliad 4.141–45; and Odyssey 18.161–91. On ivory in antiquity, see Kenneth Lapatin, Luxus: The Sumptuous Arts of Greece and Rome (Los Angeles: J. Paul Getty Museum, 2015), 171–79. On Pygmalion and ivory, see Annie Caubet, “Pygmalion et la statue d’ivoire,” in Architecture et poésie dans le monde grec: Hommage à George Rouz, ed. Roland Étienne, Marie-Thérèse Le Dinahet, and Marguerite Yon (Lyon: Maison de l’Orient, 1989), 247–54. </w:t>
      </w:r>
    </w:p>
    <w:p w14:paraId="7F5D68EB" w14:textId="77777777" w:rsidR="002A4C5A" w:rsidRDefault="00673081" w:rsidP="002929A8">
      <w:r>
        <w:t xml:space="preserve">110. “visa tepere </w:t>
      </w:r>
      <w:proofErr w:type="gramStart"/>
      <w:r>
        <w:t>est;</w:t>
      </w:r>
      <w:proofErr w:type="gramEnd"/>
      <w:r>
        <w:t xml:space="preserve"> </w:t>
      </w:r>
    </w:p>
    <w:p w14:paraId="32F7F041" w14:textId="77777777" w:rsidR="002A4C5A" w:rsidRDefault="00673081" w:rsidP="002929A8">
      <w:proofErr w:type="spellStart"/>
      <w:r>
        <w:t>admovet</w:t>
      </w:r>
      <w:proofErr w:type="spellEnd"/>
      <w:r>
        <w:t xml:space="preserve"> os iterum, </w:t>
      </w:r>
      <w:proofErr w:type="spellStart"/>
      <w:r>
        <w:t>manibus</w:t>
      </w:r>
      <w:proofErr w:type="spellEnd"/>
      <w:r>
        <w:t xml:space="preserve"> quoque pectora temptat: </w:t>
      </w:r>
    </w:p>
    <w:p w14:paraId="697F4E04" w14:textId="77777777" w:rsidR="002A4C5A" w:rsidRDefault="00673081" w:rsidP="002929A8">
      <w:proofErr w:type="spellStart"/>
      <w:r>
        <w:t>temptatum</w:t>
      </w:r>
      <w:proofErr w:type="spellEnd"/>
      <w:r>
        <w:t xml:space="preserve"> </w:t>
      </w:r>
      <w:proofErr w:type="spellStart"/>
      <w:r>
        <w:t>mollescit</w:t>
      </w:r>
      <w:proofErr w:type="spellEnd"/>
      <w:r>
        <w:t xml:space="preserve"> </w:t>
      </w:r>
      <w:proofErr w:type="spellStart"/>
      <w:r>
        <w:t>ebur</w:t>
      </w:r>
      <w:proofErr w:type="spellEnd"/>
      <w:r>
        <w:t xml:space="preserve"> </w:t>
      </w:r>
      <w:proofErr w:type="spellStart"/>
      <w:r>
        <w:t>positoque</w:t>
      </w:r>
      <w:proofErr w:type="spellEnd"/>
      <w:r>
        <w:t xml:space="preserve"> </w:t>
      </w:r>
      <w:proofErr w:type="spellStart"/>
      <w:r>
        <w:t>rigore</w:t>
      </w:r>
      <w:proofErr w:type="spellEnd"/>
      <w:r>
        <w:t xml:space="preserve"> </w:t>
      </w:r>
    </w:p>
    <w:p w14:paraId="72BC46B9" w14:textId="77777777" w:rsidR="002A4C5A" w:rsidRDefault="00673081" w:rsidP="002929A8">
      <w:proofErr w:type="spellStart"/>
      <w:r>
        <w:t>subsidit</w:t>
      </w:r>
      <w:proofErr w:type="spellEnd"/>
      <w:r>
        <w:t xml:space="preserve"> </w:t>
      </w:r>
      <w:proofErr w:type="spellStart"/>
      <w:r>
        <w:t>digitis</w:t>
      </w:r>
      <w:proofErr w:type="spellEnd"/>
      <w:r>
        <w:t xml:space="preserve"> </w:t>
      </w:r>
      <w:proofErr w:type="spellStart"/>
      <w:r>
        <w:t>ceditque</w:t>
      </w:r>
      <w:proofErr w:type="spellEnd"/>
      <w:r>
        <w:t xml:space="preserve">” </w:t>
      </w:r>
    </w:p>
    <w:p w14:paraId="540CB6D2" w14:textId="77777777" w:rsidR="002A4C5A" w:rsidRDefault="00673081" w:rsidP="002929A8">
      <w:r>
        <w:t xml:space="preserve">Ovid, Metamorphoses, Book 10, 281–84 (LCL 43:84–85). Ovid’s treatment of ivory belonged to a much longer tradition. See Philip Hardie, Ovid’s Poetics of Illusion (Cambridge: Cambridge University Press, 2002), 144; Purves, “Introduction,” 7–9; and Michael Squire and Verity Platt, “Getting to Grips with Classical Art: Rethinking the Haptics of Graeco-Roman Visual Culture,” in Purves, Touch, 91–93. </w:t>
      </w:r>
    </w:p>
    <w:p w14:paraId="3B4875C9" w14:textId="77777777" w:rsidR="002A4C5A" w:rsidRDefault="00673081" w:rsidP="002929A8">
      <w:r>
        <w:t xml:space="preserve">111. Bynum, Christian Materiality, 53–61. </w:t>
      </w:r>
    </w:p>
    <w:p w14:paraId="65BD76E0" w14:textId="77777777" w:rsidR="002A4C5A" w:rsidRDefault="00673081" w:rsidP="002929A8">
      <w:r>
        <w:t xml:space="preserve">112. On the resurrected Christ’s intangibility and capacity to pass through walls, which was in tension with his physical incarnated form, see Origen, Homelia in Lucam 17 (PG 13:1844). For discussion, see Most, Doubting Thomas, 136–39. </w:t>
      </w:r>
    </w:p>
    <w:p w14:paraId="76A08962" w14:textId="77777777" w:rsidR="00C631FE" w:rsidRDefault="00673081" w:rsidP="002929A8">
      <w:r>
        <w:t xml:space="preserve">113. Platt and Squire, The Frame, 25–28. </w:t>
      </w:r>
    </w:p>
    <w:p w14:paraId="4F818B69" w14:textId="37CE0B9E" w:rsidR="00C631FE" w:rsidRDefault="00673081" w:rsidP="002929A8">
      <w:r>
        <w:t xml:space="preserve">114. John 20:29. On believing in God without seeing, see Augustine, In psalmum XLI, 5–8 (PL 36:466–9); In psalmum 99, 5 (PL 37:1273); and De trinitate 14, 2, 4 (PL 42:1038). For discussion, see Margaret Miles, “The Eye of the Body and the Eye of the Mind in Saint Augustine’s De trinitate and Confessions,” Journal of Religion 63, no. 2 (1983): 125–42. </w:t>
      </w:r>
    </w:p>
    <w:p w14:paraId="43E7C725" w14:textId="77777777" w:rsidR="00C631FE" w:rsidRDefault="00673081" w:rsidP="002929A8">
      <w:r>
        <w:t xml:space="preserve">115. On the motif of the tree and the nest as signaling new life, see Harley-McGowan, “Maskell Passion,” 26–27. </w:t>
      </w:r>
    </w:p>
    <w:p w14:paraId="6D095B2C" w14:textId="1AFBAB4F" w:rsidR="00C631FE" w:rsidRDefault="00673081" w:rsidP="002929A8">
      <w:r>
        <w:t xml:space="preserve">116. On the box as a container of the Eucharist, see Jaś Elsner et al., Imagining the Divine: Art and the Rise of World Religions, exh. cat. (Oxford: Ashmolean Museum, 2017), 59. </w:t>
      </w:r>
    </w:p>
    <w:p w14:paraId="16370E79" w14:textId="77777777" w:rsidR="00C631FE" w:rsidRDefault="00673081" w:rsidP="002929A8">
      <w:r>
        <w:t xml:space="preserve">117. Hahn and Klein, Saints and Sacred Matter, 134, 148, 150; and Elsner, “Closure and Penetration,” 222. </w:t>
      </w:r>
    </w:p>
    <w:p w14:paraId="14F70B0A" w14:textId="77777777" w:rsidR="00C631FE" w:rsidRDefault="00673081" w:rsidP="002929A8">
      <w:r>
        <w:t xml:space="preserve">118. Harley-McGowan, “Maskell Passion,” 16, suggests it may have contained a relic connected to the Passion. </w:t>
      </w:r>
    </w:p>
    <w:p w14:paraId="19AABB06" w14:textId="45D58E93" w:rsidR="00CC7A32" w:rsidRDefault="00673081" w:rsidP="002929A8">
      <w:r>
        <w:lastRenderedPageBreak/>
        <w:t xml:space="preserve">119. Kelly, Early Christian Doctrines, 443–44. The bibliography on early Christian theology of the Eucharist is vast; see especially Henry Chadwick, “Eucharist and Christology in the Nestorian Controversy,” Journal of Theological Studies, n.s., 2 (1951): 145–66; and Ezra Gebremedhin, Life-Giving Blessing: An Inquiry into the Eucharistic Doctrine of Cyril of Alexandria (Uppsala, Sweden: University of Uppsala, 1977). On the host as matter, see David Grumett, Material Eucharist (Oxford: Oxford University Press, 2016). For a summary and further reading, see Daniel Cardó, The Cross and the Eucharist in Early Christianity (Cambridge: Cambridge University Press, 2019). </w:t>
      </w:r>
    </w:p>
    <w:p w14:paraId="4246EE01" w14:textId="77777777" w:rsidR="00CC7A32" w:rsidRDefault="00673081" w:rsidP="002929A8">
      <w:r>
        <w:t xml:space="preserve">120. John McGuckin, Saint Cyril of Alexandria and the Christological Controversy (New York: St. Vladimir’s Seminary Press, 2004). </w:t>
      </w:r>
    </w:p>
    <w:p w14:paraId="15738E25" w14:textId="0D20E6E7" w:rsidR="00CC7A32" w:rsidRDefault="00673081" w:rsidP="002929A8">
      <w:r>
        <w:t xml:space="preserve">121. See especially Chadwick, “Eucharist and Christology”; and Charles Barber, “The Koimesis Church, Nicaea: The Limits of Representation on the Eve of Iconoclasm,” Jahrbuch der Österreichischen Byzantinistik 41 (1991): 48. </w:t>
      </w:r>
    </w:p>
    <w:p w14:paraId="57652CDA" w14:textId="77777777" w:rsidR="00CC7A32" w:rsidRDefault="00673081" w:rsidP="002929A8">
      <w:r w:rsidRPr="00CC7A32">
        <w:rPr>
          <w:lang w:val="fr-FR"/>
        </w:rPr>
        <w:t xml:space="preserve">122. Cyril of Alexandria, De </w:t>
      </w:r>
      <w:proofErr w:type="spellStart"/>
      <w:r w:rsidRPr="00CC7A32">
        <w:rPr>
          <w:lang w:val="fr-FR"/>
        </w:rPr>
        <w:t>incarnatione</w:t>
      </w:r>
      <w:proofErr w:type="spellEnd"/>
      <w:r w:rsidRPr="00CC7A32">
        <w:rPr>
          <w:lang w:val="fr-FR"/>
        </w:rPr>
        <w:t xml:space="preserve"> </w:t>
      </w:r>
      <w:proofErr w:type="spellStart"/>
      <w:r w:rsidRPr="00CC7A32">
        <w:rPr>
          <w:lang w:val="fr-FR"/>
        </w:rPr>
        <w:t>Unigeniti</w:t>
      </w:r>
      <w:proofErr w:type="spellEnd"/>
      <w:r w:rsidRPr="00CC7A32">
        <w:rPr>
          <w:lang w:val="fr-FR"/>
        </w:rPr>
        <w:t xml:space="preserve">, in Georges de Durand, </w:t>
      </w:r>
      <w:proofErr w:type="spellStart"/>
      <w:r w:rsidRPr="00CC7A32">
        <w:rPr>
          <w:lang w:val="fr-FR"/>
        </w:rPr>
        <w:t>ed</w:t>
      </w:r>
      <w:proofErr w:type="spellEnd"/>
      <w:r w:rsidRPr="00CC7A32">
        <w:rPr>
          <w:lang w:val="fr-FR"/>
        </w:rPr>
        <w:t xml:space="preserve">. </w:t>
      </w:r>
      <w:proofErr w:type="gramStart"/>
      <w:r w:rsidRPr="00CC7A32">
        <w:rPr>
          <w:lang w:val="fr-FR"/>
        </w:rPr>
        <w:t>and</w:t>
      </w:r>
      <w:proofErr w:type="gramEnd"/>
      <w:r w:rsidRPr="00CC7A32">
        <w:rPr>
          <w:lang w:val="fr-FR"/>
        </w:rPr>
        <w:t xml:space="preserve"> trans., Cyrille d’Alexandrie: Deux Dialogues Christologiques (Paris: Cerf, 1964), 279. </w:t>
      </w:r>
      <w:r>
        <w:t xml:space="preserve">For discussion, see McGuckin, Saint Cyril, 174–93, esp. 187–88. </w:t>
      </w:r>
    </w:p>
    <w:p w14:paraId="63B6601B" w14:textId="04D69677" w:rsidR="00CC7A32" w:rsidRDefault="00673081" w:rsidP="002929A8">
      <w:r w:rsidRPr="00CC7A32">
        <w:rPr>
          <w:lang w:val="fr-FR"/>
        </w:rPr>
        <w:t xml:space="preserve">123. “sic </w:t>
      </w:r>
      <w:proofErr w:type="spellStart"/>
      <w:r w:rsidRPr="00CC7A32">
        <w:rPr>
          <w:lang w:val="fr-FR"/>
        </w:rPr>
        <w:t>sacrae</w:t>
      </w:r>
      <w:proofErr w:type="spellEnd"/>
      <w:r w:rsidRPr="00CC7A32">
        <w:rPr>
          <w:lang w:val="fr-FR"/>
        </w:rPr>
        <w:t xml:space="preserve"> </w:t>
      </w:r>
      <w:proofErr w:type="spellStart"/>
      <w:r w:rsidRPr="00CC7A32">
        <w:rPr>
          <w:lang w:val="fr-FR"/>
        </w:rPr>
        <w:t>mensae</w:t>
      </w:r>
      <w:proofErr w:type="spellEnd"/>
      <w:r w:rsidRPr="00CC7A32">
        <w:rPr>
          <w:lang w:val="fr-FR"/>
        </w:rPr>
        <w:t xml:space="preserve"> </w:t>
      </w:r>
      <w:proofErr w:type="spellStart"/>
      <w:r w:rsidRPr="00CC7A32">
        <w:rPr>
          <w:lang w:val="fr-FR"/>
        </w:rPr>
        <w:t>communicare</w:t>
      </w:r>
      <w:proofErr w:type="spellEnd"/>
      <w:r w:rsidRPr="00CC7A32">
        <w:rPr>
          <w:lang w:val="fr-FR"/>
        </w:rPr>
        <w:t xml:space="preserve"> </w:t>
      </w:r>
      <w:proofErr w:type="spellStart"/>
      <w:r w:rsidRPr="00CC7A32">
        <w:rPr>
          <w:lang w:val="fr-FR"/>
        </w:rPr>
        <w:t>debetis</w:t>
      </w:r>
      <w:proofErr w:type="spellEnd"/>
      <w:r w:rsidRPr="00CC7A32">
        <w:rPr>
          <w:lang w:val="fr-FR"/>
        </w:rPr>
        <w:t xml:space="preserve">, ut nihil </w:t>
      </w:r>
      <w:proofErr w:type="spellStart"/>
      <w:r w:rsidRPr="00CC7A32">
        <w:rPr>
          <w:lang w:val="fr-FR"/>
        </w:rPr>
        <w:t>prorsus</w:t>
      </w:r>
      <w:proofErr w:type="spellEnd"/>
      <w:r w:rsidRPr="00CC7A32">
        <w:rPr>
          <w:lang w:val="fr-FR"/>
        </w:rPr>
        <w:t xml:space="preserve"> de </w:t>
      </w:r>
      <w:proofErr w:type="spellStart"/>
      <w:r w:rsidRPr="00CC7A32">
        <w:rPr>
          <w:lang w:val="fr-FR"/>
        </w:rPr>
        <w:t>veritate</w:t>
      </w:r>
      <w:proofErr w:type="spellEnd"/>
      <w:r w:rsidRPr="00CC7A32">
        <w:rPr>
          <w:lang w:val="fr-FR"/>
        </w:rPr>
        <w:t xml:space="preserve"> corporis Christi et sanguinis </w:t>
      </w:r>
      <w:proofErr w:type="spellStart"/>
      <w:r w:rsidRPr="00CC7A32">
        <w:rPr>
          <w:lang w:val="fr-FR"/>
        </w:rPr>
        <w:t>ambigatis</w:t>
      </w:r>
      <w:proofErr w:type="spellEnd"/>
      <w:r w:rsidRPr="00CC7A32">
        <w:rPr>
          <w:lang w:val="fr-FR"/>
        </w:rPr>
        <w:t xml:space="preserve">.” </w:t>
      </w:r>
      <w:r>
        <w:t xml:space="preserve">Leo I, </w:t>
      </w:r>
      <w:proofErr w:type="spellStart"/>
      <w:r>
        <w:t>Sermo</w:t>
      </w:r>
      <w:proofErr w:type="spellEnd"/>
      <w:r>
        <w:t xml:space="preserve"> 91:3 (PL 54:452B), trans. NPNF, vol. 12. </w:t>
      </w:r>
    </w:p>
    <w:p w14:paraId="1F2DB080" w14:textId="77777777" w:rsidR="00F911E0" w:rsidRDefault="00673081" w:rsidP="002929A8">
      <w:r>
        <w:t>124. “in carnem ipsius, qui caro nostra factus est, transea</w:t>
      </w:r>
      <w:r>
        <w:t xml:space="preserve">mus.” Leo I, Letter 59:2 (PL 54:868B), trans. NPNF, vol. 12. </w:t>
      </w:r>
    </w:p>
    <w:p w14:paraId="37F36A5F" w14:textId="77777777" w:rsidR="00F911E0" w:rsidRDefault="00673081" w:rsidP="002929A8">
      <w:pPr>
        <w:rPr>
          <w:lang w:val="it-IT"/>
        </w:rPr>
      </w:pPr>
      <w:r w:rsidRPr="00F911E0">
        <w:rPr>
          <w:lang w:val="it-IT"/>
        </w:rPr>
        <w:t xml:space="preserve">125. Leo I, Sermo 54:3 (PL 54:320A–B). </w:t>
      </w:r>
    </w:p>
    <w:p w14:paraId="312596EC" w14:textId="77777777" w:rsidR="00F911E0" w:rsidRDefault="00673081" w:rsidP="002929A8">
      <w:r w:rsidRPr="00F911E0">
        <w:rPr>
          <w:lang w:val="fr-FR"/>
        </w:rPr>
        <w:t xml:space="preserve">126. Cat. 3.15, Sources chrétiennes vol. 50, 2nd </w:t>
      </w:r>
      <w:proofErr w:type="spellStart"/>
      <w:r w:rsidRPr="00F911E0">
        <w:rPr>
          <w:lang w:val="fr-FR"/>
        </w:rPr>
        <w:t>ed</w:t>
      </w:r>
      <w:proofErr w:type="spellEnd"/>
      <w:r w:rsidRPr="00F911E0">
        <w:rPr>
          <w:lang w:val="fr-FR"/>
        </w:rPr>
        <w:t xml:space="preserve">. </w:t>
      </w:r>
      <w:r>
        <w:t xml:space="preserve">(Paris: Cerf, 2005) 159, trans. Paul Harkin, St. John Chrysostom: Baptismal Instructions (New York: Paulist, 1963), 61 (emphasis added). See Georgia Frank, “‘Taste and See’: The Eucharist and the Eyes of Faith in the Fourth Century,” Church History 70, no. 4 (2001), 632. </w:t>
      </w:r>
    </w:p>
    <w:p w14:paraId="7BA03BC7" w14:textId="10448EC3" w:rsidR="00C00100" w:rsidRDefault="00673081" w:rsidP="002929A8">
      <w:r>
        <w:t>127. Bishop Ambrose used this phrase in relation to the additional sense needed to comprehend the sacraments. See Ambrose, De sacramentis 3.2.12, Sources chrétiennes vol. 25, 2nd ed. (Paris: Cerf, 1980), 66. On the eyes of the heart in reframing “the physical perception of the Eucharist,” see Frank, “‘Taste and See,’” 620–21. See also Eugene Vance, “Seeing God: Augustine, Sensation and the Mind’s Eye,” in Rethinking the Medieval Senses: Heritage, Fascinations, Frames, ed. Stephen G. Nichols, Andreas Kablitz, and Alison Calhoun (Baltimore: John Hopkins University Press, 2008), 13–29.</w:t>
      </w:r>
    </w:p>
    <w:p w14:paraId="0ABA8DF9" w14:textId="584669F6" w:rsidR="00DA7CAC" w:rsidRPr="00DA7CAC" w:rsidRDefault="00DA7CAC" w:rsidP="002929A8">
      <w:pPr>
        <w:rPr>
          <w:b/>
          <w:bCs/>
        </w:rPr>
      </w:pPr>
      <w:r w:rsidRPr="00DA7CAC">
        <w:rPr>
          <w:b/>
          <w:bCs/>
        </w:rPr>
        <w:t>Figures</w:t>
      </w:r>
    </w:p>
    <w:p w14:paraId="5C52B7FB" w14:textId="57D46CE0" w:rsidR="007D531B" w:rsidRDefault="00DA7CAC" w:rsidP="00B37101">
      <w:r>
        <w:t xml:space="preserve">Fig. 1 Matilde Grimaldi, reconstruction drawing of a late Roman ivory casket, originally made of four panels in the British Museum, London (1856,0623.4–7) (artwork © Matilde Grimaldi) </w:t>
      </w:r>
    </w:p>
    <w:p w14:paraId="7F129B96" w14:textId="03E820B9" w:rsidR="007D531B" w:rsidRDefault="00DA7CAC" w:rsidP="00DA7CAC">
      <w:r>
        <w:t xml:space="preserve">Fig. 2 The Maskell Passion Ivories, Roman, ca. 420–40 CE, four carved ivory plaques showing scenes of the Passion and Resurrection of Christ, dimensions variable. British Museum, London, 1856,0623.4–7 (artworks in the public domain; photograph © The Trustees of the British Museum) </w:t>
      </w:r>
    </w:p>
    <w:p w14:paraId="3CD76CA7" w14:textId="77777777" w:rsidR="00DA7CAC" w:rsidRDefault="00DA7CAC" w:rsidP="00DA7CAC">
      <w:r>
        <w:lastRenderedPageBreak/>
        <w:t xml:space="preserve">Fig. 3 Pilate Washing His Hands, Christ Carrying the Cross, and the Denial of Peter , Roman, ca. 420–40 CE, ivory, ca. 3 x 37⁄8 × 5⁄8 in. (7.5 × 9.8 × 1.8 cm), weight 4.1 oz. (115 g). British Museum, London (artwork in the public domain; photograph © The Trustees of the British Museum) </w:t>
      </w:r>
    </w:p>
    <w:p w14:paraId="01D13C60" w14:textId="5DDC022A" w:rsidR="00F962AD" w:rsidRDefault="00DA7CAC" w:rsidP="00B37101">
      <w:r>
        <w:t xml:space="preserve">Fig. 4 The Suicide of Judas and the Crucifixion , Roman, ca. 420–40 CE, ivory, ca. 3 × 4 × 3/4 in. (7.5 × 10.2 × 2 cm), weight 3.7 oz. (106 g). British Museum, London (artwork in the public domain; photograph © The Trustees of the British Museum) </w:t>
      </w:r>
    </w:p>
    <w:p w14:paraId="78B81347" w14:textId="77777777" w:rsidR="00DA7CAC" w:rsidRDefault="00DA7CAC" w:rsidP="00DA7CAC">
      <w:r>
        <w:t xml:space="preserve">Fig. 5 The Women at the Tomb , Roman, ca. 420–40 CE, ivory, ca. 3 × 37⁄8 × 5⁄8 in. (7.5 × 9.9 × 1.8 cm), weight 3.5 oz. (99 g). British Museum, London (artwork in the public domain; photograph © The Trustees of the British Museum) </w:t>
      </w:r>
    </w:p>
    <w:p w14:paraId="7476C659" w14:textId="26028B4C" w:rsidR="009F4A9B" w:rsidRDefault="00DA7CAC" w:rsidP="00DA7CAC">
      <w:r>
        <w:t xml:space="preserve">Fig. 6 The Incredulity of Thomas , Roman, ca. 420–40 CE, ivory, ca. 3 × 37⁄8 × 5⁄8 in. (7.5 × 9.8 × 1.8 cm), weight 4.2 oz. (119 g). British Museum, London (artwork in the public domain; photograph © The Trustees of the British Museum) </w:t>
      </w:r>
    </w:p>
    <w:p w14:paraId="78ACA40D" w14:textId="6AC396EF" w:rsidR="009F4A9B" w:rsidRPr="00D24F5D" w:rsidRDefault="00DA7CAC" w:rsidP="00B37101">
      <w:pPr>
        <w:rPr>
          <w:lang w:val="it-IT"/>
        </w:rPr>
      </w:pPr>
      <w:r>
        <w:t xml:space="preserve">Fig. 7 The Visit of the Holy Women to the Tomb of Christ , Roman, ca. 400 CE, ivory, 12¹⁄8 × 51/4 in. </w:t>
      </w:r>
      <w:r w:rsidRPr="009F4A9B">
        <w:t xml:space="preserve">(30.7 × 13.4 cm). </w:t>
      </w:r>
      <w:r w:rsidRPr="00D24F5D">
        <w:rPr>
          <w:lang w:val="it-IT"/>
        </w:rPr>
        <w:t>Civico Museo d’Arte, Milan (artwork in the public domain; photograph provided by Raccolte d’Arte Applicata del Castello Sforzesco, © Comune di Milano, all rights reserved)</w:t>
      </w:r>
    </w:p>
    <w:p w14:paraId="2F6B236D" w14:textId="77777777" w:rsidR="00DA7CAC" w:rsidRDefault="00DA7CAC" w:rsidP="00DA7CAC">
      <w:r>
        <w:t xml:space="preserve">Fig. 8 Sarcophagus with Scenes of the Passion of Christ, Roman, ca. 350 CE, marble, 231/4 × 791/2 × 311/2 in. (59 × 202 × 80 cm). Vatican Museums, Rome, 31525 (artwork in the public domain; photograph © Photo Scala, Florence) </w:t>
      </w:r>
    </w:p>
    <w:p w14:paraId="3C3AEA55" w14:textId="77777777" w:rsidR="00DA7CAC" w:rsidRDefault="00DA7CAC" w:rsidP="00DA7CAC">
      <w:r>
        <w:t xml:space="preserve">Fig. 9 Sarcophagus with the Myth of Selene and Endymion, early 3rd century CE, marble, ca. 283/4 × 743⁄8 × 271⁄8 in. (73 × 189 × 69 cm). Metropolitan Museum of Art, New York, 47.100.4 (artwork in the public domain; photograph © The Metropolitan Museum of Art/Art Resource, NY/Scala, Florence) </w:t>
      </w:r>
    </w:p>
    <w:p w14:paraId="3B3CA1A3" w14:textId="77777777" w:rsidR="00DA7CAC" w:rsidRDefault="00DA7CAC" w:rsidP="00DA7CAC">
      <w:r>
        <w:t xml:space="preserve">Fig. 10 Marble Sarcophagus with a Young Girl on Her Deathbed Surrounded by Mourners, Roman, ca. 200– 220 CE, marble, 141/4 × 413⁄8 × 155⁄8 in. (36.2 × 105 × 39.8 cm). British Museum, London, 1805,0703.144 (artwork in the public domain; photograph © The Trustees of the British Museum) </w:t>
      </w:r>
    </w:p>
    <w:p w14:paraId="2011AD21" w14:textId="77777777" w:rsidR="00DA7CAC" w:rsidRDefault="00DA7CAC" w:rsidP="00DA7CAC">
      <w:r>
        <w:t xml:space="preserve">Fig. 11 </w:t>
      </w:r>
      <w:proofErr w:type="spellStart"/>
      <w:r>
        <w:t>Strigillated</w:t>
      </w:r>
      <w:proofErr w:type="spellEnd"/>
      <w:r>
        <w:t xml:space="preserve"> Sarcophagus with Hercules and Cerberus Emerging from a Doorway, ca. 180 CE, marble, 235⁄8 × 941/2 × 255⁄8 in. (60 × 240 × 65 cm). </w:t>
      </w:r>
      <w:proofErr w:type="spellStart"/>
      <w:r>
        <w:t>Musei</w:t>
      </w:r>
      <w:proofErr w:type="spellEnd"/>
      <w:r>
        <w:t xml:space="preserve"> Capitolini, Rome, inv. 1394 (artwork in the public domain; photograph © Karl Anger, provided by </w:t>
      </w:r>
      <w:proofErr w:type="spellStart"/>
      <w:r>
        <w:t>Deutsches</w:t>
      </w:r>
      <w:proofErr w:type="spellEnd"/>
      <w:r>
        <w:t xml:space="preserve"> </w:t>
      </w:r>
      <w:proofErr w:type="spellStart"/>
      <w:r>
        <w:t>Archäologisches</w:t>
      </w:r>
      <w:proofErr w:type="spellEnd"/>
      <w:r>
        <w:t xml:space="preserve"> </w:t>
      </w:r>
      <w:proofErr w:type="spellStart"/>
      <w:r>
        <w:t>Institut</w:t>
      </w:r>
      <w:proofErr w:type="spellEnd"/>
      <w:r>
        <w:t>, Rome, D-DAI-ROM-2001.2190)</w:t>
      </w:r>
    </w:p>
    <w:p w14:paraId="5DCD3F52" w14:textId="2EE5D129" w:rsidR="00DA7CAC" w:rsidRDefault="00DA7CAC" w:rsidP="00DA7CAC">
      <w:r>
        <w:t xml:space="preserve">Fig. 12 Season Sarcophagus, ca. 240 CE, marble, 41 × 941⁄8 in. (104 × 239 cm). </w:t>
      </w:r>
      <w:proofErr w:type="spellStart"/>
      <w:r>
        <w:t>Musei</w:t>
      </w:r>
      <w:proofErr w:type="spellEnd"/>
      <w:r>
        <w:t xml:space="preserve"> Capitolini, Rome, inv. 1185 (artwork in the public domain; photograph provided by Vanni Archive/Art Resource, NY) </w:t>
      </w:r>
    </w:p>
    <w:p w14:paraId="260321D4" w14:textId="77777777" w:rsidR="00DA7CAC" w:rsidRDefault="00DA7CAC" w:rsidP="00DA7CAC">
      <w:r>
        <w:t xml:space="preserve">Fig. 13 The Pola Casket, back, showing a church interior and worshippers, early to mid-fifth century CE, ivory plaques with silver fittings on a wooden core, 71/2 × 77⁄8 × 61/4 in. (19 × 20 × 16 cm). Museo </w:t>
      </w:r>
      <w:proofErr w:type="spellStart"/>
      <w:r>
        <w:t>Archaeologica</w:t>
      </w:r>
      <w:proofErr w:type="spellEnd"/>
      <w:r>
        <w:t xml:space="preserve"> Nazionale, Venice, inv. </w:t>
      </w:r>
      <w:proofErr w:type="spellStart"/>
      <w:r>
        <w:t>avorio</w:t>
      </w:r>
      <w:proofErr w:type="spellEnd"/>
      <w:r>
        <w:t xml:space="preserve"> 279/52 (artwork in the public domain; photograph © Photo Scala, Florence, provided by </w:t>
      </w:r>
      <w:proofErr w:type="spellStart"/>
      <w:r>
        <w:t>Ministero</w:t>
      </w:r>
      <w:proofErr w:type="spellEnd"/>
      <w:r>
        <w:t xml:space="preserve"> Beni e Att. </w:t>
      </w:r>
      <w:proofErr w:type="spellStart"/>
      <w:r>
        <w:t>Culturali</w:t>
      </w:r>
      <w:proofErr w:type="spellEnd"/>
      <w:r>
        <w:t xml:space="preserve"> e del Turismo) </w:t>
      </w:r>
    </w:p>
    <w:p w14:paraId="45422D42" w14:textId="0328E217" w:rsidR="00DA7CAC" w:rsidRPr="00DA7CAC" w:rsidRDefault="00DA7CAC" w:rsidP="002929A8">
      <w:pPr>
        <w:rPr>
          <w:lang w:val="it-IT"/>
        </w:rPr>
      </w:pPr>
      <w:r>
        <w:t xml:space="preserve">Fig. 14 The Brescia Casket, northern Italian, ca. 380 CE, ivory panels mounted to a wooden substructure, 125⁄8 × 85⁄8 × 97⁄8 in. (22 × 32 × 25 cm). </w:t>
      </w:r>
      <w:r w:rsidRPr="00DA7CAC">
        <w:rPr>
          <w:lang w:val="it-IT"/>
        </w:rPr>
        <w:t xml:space="preserve">Museo di Santa Giulia at San Salvatore Brescia, inv. avorio 1 (artwork in the public domain; photograph © Photo Scala, Florence) </w:t>
      </w:r>
    </w:p>
    <w:sectPr w:rsidR="00DA7CAC" w:rsidRPr="00DA7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81"/>
    <w:rsid w:val="0001006D"/>
    <w:rsid w:val="00014190"/>
    <w:rsid w:val="00051437"/>
    <w:rsid w:val="000514A9"/>
    <w:rsid w:val="00053216"/>
    <w:rsid w:val="000F4027"/>
    <w:rsid w:val="001030E3"/>
    <w:rsid w:val="00137ACB"/>
    <w:rsid w:val="00181D8D"/>
    <w:rsid w:val="001A3DEA"/>
    <w:rsid w:val="001B490F"/>
    <w:rsid w:val="001C567D"/>
    <w:rsid w:val="00225587"/>
    <w:rsid w:val="00233587"/>
    <w:rsid w:val="00277854"/>
    <w:rsid w:val="002929A8"/>
    <w:rsid w:val="002A200F"/>
    <w:rsid w:val="002A4C5A"/>
    <w:rsid w:val="002D1A82"/>
    <w:rsid w:val="002D67FD"/>
    <w:rsid w:val="002D6D7E"/>
    <w:rsid w:val="00330602"/>
    <w:rsid w:val="0036415A"/>
    <w:rsid w:val="00394390"/>
    <w:rsid w:val="003D05A4"/>
    <w:rsid w:val="003E34C4"/>
    <w:rsid w:val="003F7168"/>
    <w:rsid w:val="00421FAA"/>
    <w:rsid w:val="004508F3"/>
    <w:rsid w:val="00462D7B"/>
    <w:rsid w:val="004D6444"/>
    <w:rsid w:val="004F3A0F"/>
    <w:rsid w:val="00550F3E"/>
    <w:rsid w:val="00563187"/>
    <w:rsid w:val="00567C61"/>
    <w:rsid w:val="0058436B"/>
    <w:rsid w:val="00591FF0"/>
    <w:rsid w:val="00592A4D"/>
    <w:rsid w:val="005971FD"/>
    <w:rsid w:val="005E0A07"/>
    <w:rsid w:val="005E7E95"/>
    <w:rsid w:val="00603604"/>
    <w:rsid w:val="00621515"/>
    <w:rsid w:val="00673081"/>
    <w:rsid w:val="00675D9E"/>
    <w:rsid w:val="00692DBF"/>
    <w:rsid w:val="006B065E"/>
    <w:rsid w:val="006B49A7"/>
    <w:rsid w:val="006B5720"/>
    <w:rsid w:val="00705AD5"/>
    <w:rsid w:val="00710F5D"/>
    <w:rsid w:val="00724760"/>
    <w:rsid w:val="007267C3"/>
    <w:rsid w:val="00766D69"/>
    <w:rsid w:val="007B089D"/>
    <w:rsid w:val="007B1163"/>
    <w:rsid w:val="007C3E8A"/>
    <w:rsid w:val="007D531B"/>
    <w:rsid w:val="007F0114"/>
    <w:rsid w:val="007F77E5"/>
    <w:rsid w:val="00810EBD"/>
    <w:rsid w:val="00856895"/>
    <w:rsid w:val="008700C5"/>
    <w:rsid w:val="008C2789"/>
    <w:rsid w:val="008E5798"/>
    <w:rsid w:val="009041E2"/>
    <w:rsid w:val="0091523D"/>
    <w:rsid w:val="0091709C"/>
    <w:rsid w:val="00917ACC"/>
    <w:rsid w:val="00930245"/>
    <w:rsid w:val="00934604"/>
    <w:rsid w:val="00935F0F"/>
    <w:rsid w:val="009C1009"/>
    <w:rsid w:val="009C1151"/>
    <w:rsid w:val="009E352B"/>
    <w:rsid w:val="009F4A9B"/>
    <w:rsid w:val="00A51603"/>
    <w:rsid w:val="00A57C2A"/>
    <w:rsid w:val="00AB2087"/>
    <w:rsid w:val="00AD32DA"/>
    <w:rsid w:val="00AE3B06"/>
    <w:rsid w:val="00B253AE"/>
    <w:rsid w:val="00B27C3E"/>
    <w:rsid w:val="00B37101"/>
    <w:rsid w:val="00B5316D"/>
    <w:rsid w:val="00B772D7"/>
    <w:rsid w:val="00BC336B"/>
    <w:rsid w:val="00BE7191"/>
    <w:rsid w:val="00C00100"/>
    <w:rsid w:val="00C00446"/>
    <w:rsid w:val="00C0495F"/>
    <w:rsid w:val="00C14523"/>
    <w:rsid w:val="00C1775B"/>
    <w:rsid w:val="00C3140F"/>
    <w:rsid w:val="00C3273A"/>
    <w:rsid w:val="00C631FE"/>
    <w:rsid w:val="00C70BDD"/>
    <w:rsid w:val="00C74F51"/>
    <w:rsid w:val="00C80230"/>
    <w:rsid w:val="00C952B0"/>
    <w:rsid w:val="00CA647E"/>
    <w:rsid w:val="00CC7A32"/>
    <w:rsid w:val="00D104A0"/>
    <w:rsid w:val="00D1464D"/>
    <w:rsid w:val="00D24F5D"/>
    <w:rsid w:val="00D352CD"/>
    <w:rsid w:val="00D607A1"/>
    <w:rsid w:val="00D832D3"/>
    <w:rsid w:val="00DA7CAC"/>
    <w:rsid w:val="00DD3C23"/>
    <w:rsid w:val="00DE58B5"/>
    <w:rsid w:val="00DE60A0"/>
    <w:rsid w:val="00E13B34"/>
    <w:rsid w:val="00E211F1"/>
    <w:rsid w:val="00E542AE"/>
    <w:rsid w:val="00E6555A"/>
    <w:rsid w:val="00E73987"/>
    <w:rsid w:val="00EF32CE"/>
    <w:rsid w:val="00F024C4"/>
    <w:rsid w:val="00F1484A"/>
    <w:rsid w:val="00F36BB7"/>
    <w:rsid w:val="00F911E0"/>
    <w:rsid w:val="00F962AD"/>
    <w:rsid w:val="00F976A6"/>
    <w:rsid w:val="00FB1F2B"/>
    <w:rsid w:val="00FD52E0"/>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391B"/>
  <w15:chartTrackingRefBased/>
  <w15:docId w15:val="{E1CA3271-41BF-4131-BD16-A7217E61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0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0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0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0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0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0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0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0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081"/>
    <w:rPr>
      <w:rFonts w:eastAsiaTheme="majorEastAsia" w:cstheme="majorBidi"/>
      <w:color w:val="272727" w:themeColor="text1" w:themeTint="D8"/>
    </w:rPr>
  </w:style>
  <w:style w:type="paragraph" w:styleId="Title">
    <w:name w:val="Title"/>
    <w:basedOn w:val="Normal"/>
    <w:next w:val="Normal"/>
    <w:link w:val="TitleChar"/>
    <w:uiPriority w:val="10"/>
    <w:qFormat/>
    <w:rsid w:val="00673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081"/>
    <w:pPr>
      <w:spacing w:before="160"/>
      <w:jc w:val="center"/>
    </w:pPr>
    <w:rPr>
      <w:i/>
      <w:iCs/>
      <w:color w:val="404040" w:themeColor="text1" w:themeTint="BF"/>
    </w:rPr>
  </w:style>
  <w:style w:type="character" w:customStyle="1" w:styleId="QuoteChar">
    <w:name w:val="Quote Char"/>
    <w:basedOn w:val="DefaultParagraphFont"/>
    <w:link w:val="Quote"/>
    <w:uiPriority w:val="29"/>
    <w:rsid w:val="00673081"/>
    <w:rPr>
      <w:i/>
      <w:iCs/>
      <w:color w:val="404040" w:themeColor="text1" w:themeTint="BF"/>
    </w:rPr>
  </w:style>
  <w:style w:type="paragraph" w:styleId="ListParagraph">
    <w:name w:val="List Paragraph"/>
    <w:basedOn w:val="Normal"/>
    <w:uiPriority w:val="34"/>
    <w:qFormat/>
    <w:rsid w:val="00673081"/>
    <w:pPr>
      <w:ind w:left="720"/>
      <w:contextualSpacing/>
    </w:pPr>
  </w:style>
  <w:style w:type="character" w:styleId="IntenseEmphasis">
    <w:name w:val="Intense Emphasis"/>
    <w:basedOn w:val="DefaultParagraphFont"/>
    <w:uiPriority w:val="21"/>
    <w:qFormat/>
    <w:rsid w:val="00673081"/>
    <w:rPr>
      <w:i/>
      <w:iCs/>
      <w:color w:val="0F4761" w:themeColor="accent1" w:themeShade="BF"/>
    </w:rPr>
  </w:style>
  <w:style w:type="paragraph" w:styleId="IntenseQuote">
    <w:name w:val="Intense Quote"/>
    <w:basedOn w:val="Normal"/>
    <w:next w:val="Normal"/>
    <w:link w:val="IntenseQuoteChar"/>
    <w:uiPriority w:val="30"/>
    <w:qFormat/>
    <w:rsid w:val="00673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081"/>
    <w:rPr>
      <w:i/>
      <w:iCs/>
      <w:color w:val="0F4761" w:themeColor="accent1" w:themeShade="BF"/>
    </w:rPr>
  </w:style>
  <w:style w:type="character" w:styleId="IntenseReference">
    <w:name w:val="Intense Reference"/>
    <w:basedOn w:val="DefaultParagraphFont"/>
    <w:uiPriority w:val="32"/>
    <w:qFormat/>
    <w:rsid w:val="006730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TotalTime>
  <Pages>29</Pages>
  <Words>16136</Words>
  <Characters>91981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Bhalla</dc:creator>
  <cp:keywords/>
  <dc:description/>
  <cp:lastModifiedBy>Niamh Bhalla</cp:lastModifiedBy>
  <cp:revision>124</cp:revision>
  <dcterms:created xsi:type="dcterms:W3CDTF">2024-07-01T16:36:00Z</dcterms:created>
  <dcterms:modified xsi:type="dcterms:W3CDTF">2024-07-03T19:49:00Z</dcterms:modified>
</cp:coreProperties>
</file>