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F76CB" w14:textId="497199FE" w:rsidR="00C05905" w:rsidRPr="0057790F" w:rsidRDefault="007040F1" w:rsidP="0070758B">
      <w:pPr>
        <w:spacing w:after="180" w:line="480" w:lineRule="auto"/>
        <w:rPr>
          <w:b/>
          <w:bCs/>
        </w:rPr>
      </w:pPr>
      <w:r w:rsidRPr="0057790F">
        <w:rPr>
          <w:b/>
          <w:bCs/>
        </w:rPr>
        <w:t xml:space="preserve">Identifying and Regulating Religion in India: Law, </w:t>
      </w:r>
      <w:proofErr w:type="gramStart"/>
      <w:r w:rsidRPr="0057790F">
        <w:rPr>
          <w:b/>
          <w:bCs/>
        </w:rPr>
        <w:t>History</w:t>
      </w:r>
      <w:proofErr w:type="gramEnd"/>
      <w:r w:rsidRPr="0057790F">
        <w:rPr>
          <w:b/>
          <w:bCs/>
        </w:rPr>
        <w:t xml:space="preserve"> and the Place of Worship</w:t>
      </w:r>
      <w:r w:rsidR="00C05905" w:rsidRPr="0057790F">
        <w:rPr>
          <w:b/>
          <w:bCs/>
        </w:rPr>
        <w:t xml:space="preserve">, by Geetanjali Srikantan, </w:t>
      </w:r>
      <w:r w:rsidRPr="0057790F">
        <w:rPr>
          <w:b/>
          <w:bCs/>
        </w:rPr>
        <w:t>Cambridge</w:t>
      </w:r>
      <w:r w:rsidR="00C05905" w:rsidRPr="0057790F">
        <w:rPr>
          <w:b/>
          <w:bCs/>
        </w:rPr>
        <w:t>,</w:t>
      </w:r>
      <w:r w:rsidRPr="0057790F">
        <w:rPr>
          <w:b/>
          <w:bCs/>
        </w:rPr>
        <w:t xml:space="preserve"> Cambridge University Press, 2020</w:t>
      </w:r>
      <w:r w:rsidR="00C05905" w:rsidRPr="0057790F">
        <w:rPr>
          <w:b/>
          <w:bCs/>
        </w:rPr>
        <w:t>, 251</w:t>
      </w:r>
      <w:r w:rsidR="00CD556C">
        <w:rPr>
          <w:b/>
          <w:bCs/>
        </w:rPr>
        <w:t xml:space="preserve"> </w:t>
      </w:r>
      <w:r w:rsidR="00C05905" w:rsidRPr="0057790F">
        <w:rPr>
          <w:b/>
          <w:bCs/>
        </w:rPr>
        <w:t>p</w:t>
      </w:r>
      <w:r w:rsidR="00CD556C">
        <w:rPr>
          <w:b/>
          <w:bCs/>
        </w:rPr>
        <w:t>p</w:t>
      </w:r>
      <w:r w:rsidR="00C05905" w:rsidRPr="0057790F">
        <w:rPr>
          <w:b/>
          <w:bCs/>
        </w:rPr>
        <w:t xml:space="preserve">, £85.00, </w:t>
      </w:r>
      <w:r w:rsidR="00CD556C">
        <w:rPr>
          <w:b/>
          <w:bCs/>
        </w:rPr>
        <w:t xml:space="preserve">(Hardback), </w:t>
      </w:r>
      <w:r w:rsidR="00C05905" w:rsidRPr="0057790F">
        <w:rPr>
          <w:b/>
          <w:bCs/>
        </w:rPr>
        <w:t>ISBN: 9781108840538</w:t>
      </w:r>
    </w:p>
    <w:p w14:paraId="7322D07D" w14:textId="189EDC6E" w:rsidR="00424BCC" w:rsidRPr="00E8550F" w:rsidRDefault="000911C9" w:rsidP="0070758B">
      <w:pPr>
        <w:spacing w:after="180" w:line="480" w:lineRule="auto"/>
        <w:rPr>
          <w:lang w:val="en-GB"/>
        </w:rPr>
      </w:pPr>
      <w:r>
        <w:t>Geetanjali Srikantan’s</w:t>
      </w:r>
      <w:r w:rsidR="00815F0F">
        <w:t xml:space="preserve"> remarkable new</w:t>
      </w:r>
      <w:r>
        <w:t xml:space="preserve"> </w:t>
      </w:r>
      <w:r w:rsidR="0087470A">
        <w:t xml:space="preserve">book </w:t>
      </w:r>
      <w:r>
        <w:t>opens</w:t>
      </w:r>
      <w:r w:rsidR="00815F0F">
        <w:t>, rather conventionally,</w:t>
      </w:r>
      <w:r w:rsidR="0087470A">
        <w:t xml:space="preserve"> with the </w:t>
      </w:r>
      <w:r>
        <w:t>2010 Allahabad Court judgement</w:t>
      </w:r>
      <w:r w:rsidR="002D45D1">
        <w:t xml:space="preserve"> </w:t>
      </w:r>
      <w:r w:rsidR="00815F0F">
        <w:t xml:space="preserve">considered by many as retroactive </w:t>
      </w:r>
      <w:r>
        <w:t xml:space="preserve">legal sanction </w:t>
      </w:r>
      <w:r w:rsidR="003F2DFF">
        <w:rPr>
          <w:lang w:val="en-GB"/>
        </w:rPr>
        <w:t>for</w:t>
      </w:r>
      <w:r>
        <w:t xml:space="preserve"> the </w:t>
      </w:r>
      <w:r w:rsidR="00B22F03">
        <w:t xml:space="preserve">1992 </w:t>
      </w:r>
      <w:r>
        <w:t xml:space="preserve">destruction of the </w:t>
      </w:r>
      <w:r w:rsidR="0087470A">
        <w:t>Babri Masjid</w:t>
      </w:r>
      <w:r>
        <w:t xml:space="preserve"> in Ayodhya by a Hindu mob.</w:t>
      </w:r>
      <w:r w:rsidR="00E8550F">
        <w:rPr>
          <w:lang w:val="en-GB"/>
        </w:rPr>
        <w:t xml:space="preserve"> </w:t>
      </w:r>
      <w:r w:rsidR="0033687B">
        <w:rPr>
          <w:lang w:val="en-GB"/>
        </w:rPr>
        <w:t xml:space="preserve">(The 2019 Supreme Court judgement had presumably not come out when </w:t>
      </w:r>
      <w:r w:rsidR="0033687B" w:rsidRPr="00E8550F">
        <w:rPr>
          <w:i/>
          <w:iCs/>
          <w:lang w:val="en-GB"/>
        </w:rPr>
        <w:t xml:space="preserve">Identifying and Regulating </w:t>
      </w:r>
      <w:r w:rsidR="0033687B" w:rsidRPr="00520E3A">
        <w:rPr>
          <w:i/>
          <w:iCs/>
          <w:lang w:val="en-GB"/>
        </w:rPr>
        <w:t>Religion in India</w:t>
      </w:r>
      <w:r w:rsidR="0033687B">
        <w:rPr>
          <w:lang w:val="en-GB"/>
        </w:rPr>
        <w:t xml:space="preserve"> went to print.)</w:t>
      </w:r>
      <w:r w:rsidR="0033687B">
        <w:rPr>
          <w:lang w:val="en-GB"/>
        </w:rPr>
        <w:t xml:space="preserve"> </w:t>
      </w:r>
      <w:r w:rsidR="0049393A">
        <w:rPr>
          <w:lang w:val="en-GB"/>
        </w:rPr>
        <w:t xml:space="preserve">The </w:t>
      </w:r>
      <w:r w:rsidR="0033687B">
        <w:rPr>
          <w:lang w:val="en-GB"/>
        </w:rPr>
        <w:t xml:space="preserve">Allahabad </w:t>
      </w:r>
      <w:r w:rsidR="0049393A">
        <w:rPr>
          <w:lang w:val="en-GB"/>
        </w:rPr>
        <w:t xml:space="preserve">judges found </w:t>
      </w:r>
      <w:r w:rsidR="00B22F03">
        <w:t xml:space="preserve">that the place </w:t>
      </w:r>
      <w:r w:rsidR="00382386">
        <w:t xml:space="preserve">on which the </w:t>
      </w:r>
      <w:r w:rsidR="00815F0F">
        <w:t xml:space="preserve">destroyed </w:t>
      </w:r>
      <w:r w:rsidR="00382386">
        <w:t>sixteenth-century mosque</w:t>
      </w:r>
      <w:r w:rsidR="00B22F03">
        <w:t xml:space="preserve"> was </w:t>
      </w:r>
      <w:r w:rsidR="00382386">
        <w:t xml:space="preserve">built was </w:t>
      </w:r>
      <w:r w:rsidR="00B22F03">
        <w:t xml:space="preserve">considered by Hindus </w:t>
      </w:r>
      <w:r w:rsidR="0049393A">
        <w:rPr>
          <w:lang w:val="en-GB"/>
        </w:rPr>
        <w:t>as</w:t>
      </w:r>
      <w:r w:rsidR="00B22F03">
        <w:t xml:space="preserve"> the birthplace of the </w:t>
      </w:r>
      <w:r>
        <w:t>Hindu god Rama</w:t>
      </w:r>
      <w:r w:rsidR="00234DA1">
        <w:t>. Such belief was protected</w:t>
      </w:r>
      <w:r w:rsidR="002D45D1">
        <w:t xml:space="preserve"> as an ‘essential religious practice’</w:t>
      </w:r>
      <w:r w:rsidR="00234DA1">
        <w:t xml:space="preserve"> </w:t>
      </w:r>
      <w:r w:rsidR="00154E41">
        <w:t xml:space="preserve">of Hinduism </w:t>
      </w:r>
      <w:r w:rsidR="00234DA1">
        <w:t xml:space="preserve">under Article 25 of the Indian </w:t>
      </w:r>
      <w:r w:rsidR="002D45D1">
        <w:t>C</w:t>
      </w:r>
      <w:r w:rsidR="00234DA1">
        <w:t>onstitution</w:t>
      </w:r>
      <w:r w:rsidR="0049393A">
        <w:rPr>
          <w:lang w:val="en-GB"/>
        </w:rPr>
        <w:t>, which protects the freedom to practice and propagate religion</w:t>
      </w:r>
      <w:r w:rsidR="008B4B62">
        <w:t>.</w:t>
      </w:r>
      <w:r w:rsidR="00E8550F">
        <w:rPr>
          <w:lang w:val="en-GB"/>
        </w:rPr>
        <w:t xml:space="preserve"> </w:t>
      </w:r>
    </w:p>
    <w:p w14:paraId="7CA43AB4" w14:textId="7BD9CFA7" w:rsidR="00882E50" w:rsidRDefault="00E6612F" w:rsidP="008B4B62">
      <w:pPr>
        <w:spacing w:after="180" w:line="480" w:lineRule="auto"/>
      </w:pPr>
      <w:r>
        <w:t>Ayodhya</w:t>
      </w:r>
      <w:r w:rsidR="002D45D1">
        <w:t xml:space="preserve"> is one of </w:t>
      </w:r>
      <w:r w:rsidR="00857669">
        <w:t>three</w:t>
      </w:r>
      <w:r w:rsidR="002D45D1">
        <w:t xml:space="preserve"> prongs on which scholarship on religion and the law in contemporary India usually rests. </w:t>
      </w:r>
      <w:r w:rsidR="00857669">
        <w:t>The other</w:t>
      </w:r>
      <w:r w:rsidR="005272DC">
        <w:t xml:space="preserve"> two</w:t>
      </w:r>
      <w:r w:rsidR="00857669">
        <w:t xml:space="preserve"> are women and secularism, </w:t>
      </w:r>
      <w:r w:rsidR="00CC776E">
        <w:t xml:space="preserve">as </w:t>
      </w:r>
      <w:r w:rsidR="005272DC">
        <w:t>recently in</w:t>
      </w:r>
      <w:r w:rsidR="00857669" w:rsidRPr="0057790F">
        <w:t xml:space="preserve"> fantastic new work by Saumya Saxena</w:t>
      </w:r>
      <w:r w:rsidR="00C85F81">
        <w:t>,</w:t>
      </w:r>
      <w:r w:rsidR="00857669" w:rsidRPr="0057790F">
        <w:t xml:space="preserve"> also published by C</w:t>
      </w:r>
      <w:r w:rsidR="00857669">
        <w:t xml:space="preserve">ambridge </w:t>
      </w:r>
      <w:r w:rsidR="00857669" w:rsidRPr="0057790F">
        <w:t>U</w:t>
      </w:r>
      <w:r w:rsidR="00857669">
        <w:t xml:space="preserve">niversity </w:t>
      </w:r>
      <w:r w:rsidR="00857669" w:rsidRPr="0057790F">
        <w:t>P</w:t>
      </w:r>
      <w:r w:rsidR="00857669">
        <w:t>ress</w:t>
      </w:r>
      <w:r w:rsidR="00C85F81">
        <w:t>.</w:t>
      </w:r>
      <w:r w:rsidR="00857669" w:rsidRPr="0057790F">
        <w:rPr>
          <w:rStyle w:val="EndnoteReference"/>
        </w:rPr>
        <w:endnoteReference w:id="1"/>
      </w:r>
      <w:r w:rsidR="00C85F81">
        <w:t xml:space="preserve"> Deliberately sidestepping the</w:t>
      </w:r>
      <w:r w:rsidR="000B72FD">
        <w:rPr>
          <w:lang w:val="en-GB"/>
        </w:rPr>
        <w:t>se</w:t>
      </w:r>
      <w:r w:rsidR="00C85F81">
        <w:t xml:space="preserve"> and backgrounding the Ayodhya case itself, </w:t>
      </w:r>
      <w:r w:rsidR="00CC776E">
        <w:t>Srikantan</w:t>
      </w:r>
      <w:r w:rsidR="008B4B62">
        <w:t xml:space="preserve"> </w:t>
      </w:r>
      <w:r w:rsidR="006305B7" w:rsidRPr="0057790F">
        <w:t>shifts the ground of the discussion</w:t>
      </w:r>
      <w:r w:rsidR="00AA1384" w:rsidRPr="0057790F">
        <w:t>.</w:t>
      </w:r>
      <w:r w:rsidR="00820B75">
        <w:t xml:space="preserve"> Her book</w:t>
      </w:r>
      <w:r w:rsidR="00424BCC" w:rsidRPr="0057790F">
        <w:t xml:space="preserve"> </w:t>
      </w:r>
      <w:r w:rsidR="00AA1384" w:rsidRPr="0057790F">
        <w:t xml:space="preserve">deconstructs </w:t>
      </w:r>
      <w:r w:rsidR="00424BCC" w:rsidRPr="0057790F">
        <w:t xml:space="preserve">the ‘religion’ that is too often taken for granted in </w:t>
      </w:r>
      <w:r w:rsidR="00BB3C5A">
        <w:t>the</w:t>
      </w:r>
      <w:r w:rsidR="00424BCC" w:rsidRPr="0057790F">
        <w:t xml:space="preserve"> literature</w:t>
      </w:r>
      <w:r w:rsidR="00B92453">
        <w:t>.</w:t>
      </w:r>
      <w:r w:rsidR="00A17903">
        <w:t xml:space="preserve"> </w:t>
      </w:r>
      <w:r w:rsidR="00B92453">
        <w:t>T</w:t>
      </w:r>
      <w:r w:rsidR="00352C82">
        <w:t xml:space="preserve">he trouble with </w:t>
      </w:r>
      <w:r w:rsidR="00352C82" w:rsidRPr="00BB3C5A">
        <w:rPr>
          <w:i/>
          <w:iCs/>
        </w:rPr>
        <w:t>Identifying and Regulating Religion in India</w:t>
      </w:r>
      <w:r w:rsidR="00352C82">
        <w:t xml:space="preserve">, </w:t>
      </w:r>
      <w:r w:rsidR="00896CA4">
        <w:t xml:space="preserve">the book contends, </w:t>
      </w:r>
      <w:r w:rsidR="00352C82">
        <w:t xml:space="preserve">is the </w:t>
      </w:r>
      <w:r w:rsidR="005D5065">
        <w:t>Christocentric</w:t>
      </w:r>
      <w:r w:rsidR="00352C82">
        <w:t xml:space="preserve"> </w:t>
      </w:r>
      <w:r w:rsidR="00896CA4">
        <w:t>baggage</w:t>
      </w:r>
      <w:r w:rsidR="00352C82">
        <w:t xml:space="preserve"> of ‘religion’ </w:t>
      </w:r>
      <w:r w:rsidR="00A97C95">
        <w:t xml:space="preserve">that </w:t>
      </w:r>
      <w:r w:rsidR="00214556">
        <w:t xml:space="preserve">is </w:t>
      </w:r>
      <w:r w:rsidR="00896CA4">
        <w:t xml:space="preserve">enshrined </w:t>
      </w:r>
      <w:r w:rsidR="009051A8">
        <w:t>in, and protected by,</w:t>
      </w:r>
      <w:r w:rsidR="00896CA4">
        <w:t xml:space="preserve"> Indian</w:t>
      </w:r>
      <w:r w:rsidR="00A97C95">
        <w:t xml:space="preserve"> la</w:t>
      </w:r>
      <w:r w:rsidR="00882E50">
        <w:t>w</w:t>
      </w:r>
      <w:r w:rsidR="00BB6016">
        <w:t>.</w:t>
      </w:r>
    </w:p>
    <w:p w14:paraId="2F3D2C21" w14:textId="270847A9" w:rsidR="0070758B" w:rsidRPr="00BB6016" w:rsidRDefault="002D77BF" w:rsidP="008B4B62">
      <w:pPr>
        <w:spacing w:after="180" w:line="480" w:lineRule="auto"/>
      </w:pPr>
      <w:r>
        <w:t>Cutting acr</w:t>
      </w:r>
      <w:r w:rsidRPr="0057790F">
        <w:t>oss</w:t>
      </w:r>
      <w:r w:rsidR="0070758B" w:rsidRPr="0057790F">
        <w:t xml:space="preserve"> disciplinary</w:t>
      </w:r>
      <w:r w:rsidR="0070758B">
        <w:t xml:space="preserve"> and area-specialist </w:t>
      </w:r>
      <w:r w:rsidR="0070758B" w:rsidRPr="0057790F">
        <w:t>silos</w:t>
      </w:r>
      <w:r w:rsidR="005F5ED4">
        <w:t xml:space="preserve">, </w:t>
      </w:r>
      <w:r>
        <w:t>Srikantan</w:t>
      </w:r>
      <w:r w:rsidR="000928BB">
        <w:t>’s</w:t>
      </w:r>
      <w:r>
        <w:t xml:space="preserve"> book takes a unique approach to the </w:t>
      </w:r>
      <w:r w:rsidR="000928BB">
        <w:t xml:space="preserve">contention over </w:t>
      </w:r>
      <w:r w:rsidR="0070758B">
        <w:t>religious freedom</w:t>
      </w:r>
      <w:r w:rsidR="00882E50">
        <w:t xml:space="preserve">, religious endowment, and the ‘place of worship’ in </w:t>
      </w:r>
      <w:r w:rsidR="0070758B">
        <w:t>India</w:t>
      </w:r>
      <w:r w:rsidR="00882E50">
        <w:t>. Its p</w:t>
      </w:r>
      <w:r w:rsidR="000928BB">
        <w:t>oints of call are</w:t>
      </w:r>
      <w:r w:rsidR="000928BB">
        <w:t xml:space="preserve"> Augustinian theology, Medieval canon law, nineteenth-century Anglo-Indian law</w:t>
      </w:r>
      <w:r w:rsidR="000928BB">
        <w:t>,</w:t>
      </w:r>
      <w:r w:rsidR="000928BB">
        <w:t xml:space="preserve"> and highly public</w:t>
      </w:r>
      <w:r w:rsidR="004123C9">
        <w:t xml:space="preserve"> </w:t>
      </w:r>
      <w:r w:rsidR="000928BB">
        <w:t>twentieth-</w:t>
      </w:r>
      <w:r w:rsidR="00934725">
        <w:t xml:space="preserve"> and twenty-first-</w:t>
      </w:r>
      <w:r w:rsidR="000928BB">
        <w:t xml:space="preserve">century </w:t>
      </w:r>
      <w:r w:rsidR="00980F40">
        <w:lastRenderedPageBreak/>
        <w:t xml:space="preserve">Indian </w:t>
      </w:r>
      <w:r w:rsidR="00065333">
        <w:t>court</w:t>
      </w:r>
      <w:r w:rsidR="000928BB">
        <w:t xml:space="preserve"> </w:t>
      </w:r>
      <w:r w:rsidR="00F2316B">
        <w:rPr>
          <w:lang w:val="en-GB"/>
        </w:rPr>
        <w:t>cases</w:t>
      </w:r>
      <w:r w:rsidR="003B2300">
        <w:t xml:space="preserve">. </w:t>
      </w:r>
      <w:r w:rsidR="00447803">
        <w:t>As a</w:t>
      </w:r>
      <w:r w:rsidR="00104185">
        <w:t>mbitious</w:t>
      </w:r>
      <w:r w:rsidR="00447803">
        <w:t xml:space="preserve"> in scope as </w:t>
      </w:r>
      <w:r w:rsidR="00882E50">
        <w:t xml:space="preserve">its </w:t>
      </w:r>
      <w:r w:rsidR="00934725">
        <w:t xml:space="preserve">footnotes are </w:t>
      </w:r>
      <w:r w:rsidR="00882E50">
        <w:t>eclectic</w:t>
      </w:r>
      <w:r w:rsidR="00FC29A8">
        <w:t xml:space="preserve">, </w:t>
      </w:r>
      <w:r w:rsidR="00171433" w:rsidRPr="00171433">
        <w:rPr>
          <w:i/>
          <w:iCs/>
        </w:rPr>
        <w:t xml:space="preserve">Identifying and </w:t>
      </w:r>
      <w:r w:rsidR="00171433">
        <w:rPr>
          <w:i/>
          <w:iCs/>
        </w:rPr>
        <w:t>R</w:t>
      </w:r>
      <w:r w:rsidR="00171433" w:rsidRPr="00171433">
        <w:rPr>
          <w:i/>
          <w:iCs/>
        </w:rPr>
        <w:t>egulating Religion</w:t>
      </w:r>
      <w:r w:rsidR="00171433">
        <w:rPr>
          <w:i/>
          <w:iCs/>
        </w:rPr>
        <w:t xml:space="preserve"> in India</w:t>
      </w:r>
      <w:r w:rsidR="00171433">
        <w:t xml:space="preserve"> </w:t>
      </w:r>
      <w:r w:rsidR="00F659E4">
        <w:t xml:space="preserve">is </w:t>
      </w:r>
      <w:r w:rsidR="006A58FD">
        <w:rPr>
          <w:lang w:val="en-GB"/>
        </w:rPr>
        <w:t>a must read</w:t>
      </w:r>
      <w:r w:rsidR="000B72FD">
        <w:rPr>
          <w:lang w:val="en-GB"/>
        </w:rPr>
        <w:t xml:space="preserve"> </w:t>
      </w:r>
      <w:r w:rsidR="000928BB">
        <w:t>for an</w:t>
      </w:r>
      <w:proofErr w:type="spellStart"/>
      <w:r w:rsidR="006A58FD">
        <w:rPr>
          <w:lang w:val="en-GB"/>
        </w:rPr>
        <w:t>y</w:t>
      </w:r>
      <w:r w:rsidR="008E6B79">
        <w:rPr>
          <w:lang w:val="en-GB"/>
        </w:rPr>
        <w:t>one</w:t>
      </w:r>
      <w:proofErr w:type="spellEnd"/>
      <w:r w:rsidR="008E6B79">
        <w:rPr>
          <w:lang w:val="en-GB"/>
        </w:rPr>
        <w:t xml:space="preserve"> with serious interest in</w:t>
      </w:r>
      <w:r w:rsidR="006A58FD">
        <w:rPr>
          <w:lang w:val="en-GB"/>
        </w:rPr>
        <w:t xml:space="preserve"> </w:t>
      </w:r>
      <w:r w:rsidR="0070758B">
        <w:t>Indian legal history</w:t>
      </w:r>
      <w:r w:rsidR="0070758B">
        <w:t>,</w:t>
      </w:r>
      <w:r w:rsidR="00171433">
        <w:t xml:space="preserve"> global </w:t>
      </w:r>
      <w:r w:rsidR="005D5065">
        <w:t xml:space="preserve">comparisons </w:t>
      </w:r>
      <w:r w:rsidR="003158C4">
        <w:t xml:space="preserve">of </w:t>
      </w:r>
      <w:r w:rsidR="000928BB">
        <w:t>religious freedom</w:t>
      </w:r>
      <w:r w:rsidR="00690405">
        <w:t xml:space="preserve"> cases</w:t>
      </w:r>
      <w:r w:rsidR="003158C4">
        <w:t xml:space="preserve">, </w:t>
      </w:r>
      <w:r w:rsidR="00690405">
        <w:t xml:space="preserve">the </w:t>
      </w:r>
      <w:r w:rsidR="003158C4">
        <w:t>genealog</w:t>
      </w:r>
      <w:r w:rsidR="00690405">
        <w:t>y</w:t>
      </w:r>
      <w:r w:rsidR="003158C4">
        <w:t xml:space="preserve"> of ‘religion’</w:t>
      </w:r>
      <w:r w:rsidR="00090B4F">
        <w:t>,</w:t>
      </w:r>
      <w:r w:rsidR="003158C4">
        <w:t xml:space="preserve"> an</w:t>
      </w:r>
      <w:r w:rsidR="00171433">
        <w:t>d</w:t>
      </w:r>
      <w:r w:rsidR="00690405">
        <w:t xml:space="preserve"> </w:t>
      </w:r>
      <w:r w:rsidR="00171433">
        <w:t>intellectual histor</w:t>
      </w:r>
      <w:r w:rsidR="00690405">
        <w:t>ies</w:t>
      </w:r>
      <w:r w:rsidR="00171433">
        <w:t xml:space="preserve"> of European</w:t>
      </w:r>
      <w:r w:rsidR="003158C4">
        <w:t xml:space="preserve"> </w:t>
      </w:r>
      <w:r w:rsidR="005D5065">
        <w:t>law</w:t>
      </w:r>
      <w:r w:rsidR="003158C4">
        <w:t>.</w:t>
      </w:r>
    </w:p>
    <w:p w14:paraId="7152D448" w14:textId="654B3C96" w:rsidR="00F07032" w:rsidRDefault="00A17903" w:rsidP="00F07032">
      <w:pPr>
        <w:autoSpaceDE w:val="0"/>
        <w:autoSpaceDN w:val="0"/>
        <w:adjustRightInd w:val="0"/>
        <w:spacing w:after="180" w:line="480" w:lineRule="auto"/>
      </w:pPr>
      <w:r>
        <w:t xml:space="preserve">That ‘religion’ is a construct rather than a </w:t>
      </w:r>
      <w:r w:rsidRPr="00F75D18">
        <w:rPr>
          <w:i/>
          <w:iCs/>
        </w:rPr>
        <w:t>sui generis</w:t>
      </w:r>
      <w:r>
        <w:t xml:space="preserve"> object has been established wisdom in </w:t>
      </w:r>
      <w:r w:rsidR="009051A8">
        <w:t>r</w:t>
      </w:r>
      <w:r>
        <w:t xml:space="preserve">eligious </w:t>
      </w:r>
      <w:r w:rsidR="009051A8">
        <w:t>s</w:t>
      </w:r>
      <w:r>
        <w:t>tudies these past twenty</w:t>
      </w:r>
      <w:r w:rsidR="00441233">
        <w:t>, thirty</w:t>
      </w:r>
      <w:r>
        <w:t xml:space="preserve"> years.</w:t>
      </w:r>
      <w:r>
        <w:rPr>
          <w:rStyle w:val="EndnoteReference"/>
        </w:rPr>
        <w:endnoteReference w:id="2"/>
      </w:r>
      <w:r>
        <w:t xml:space="preserve"> </w:t>
      </w:r>
      <w:r w:rsidR="003E03FD">
        <w:t>Religion, l</w:t>
      </w:r>
      <w:r w:rsidR="00441233">
        <w:t xml:space="preserve">ong assumed a universal human experience, </w:t>
      </w:r>
      <w:r w:rsidR="00D61D6C">
        <w:t>has been</w:t>
      </w:r>
      <w:r w:rsidR="00A8625F">
        <w:t xml:space="preserve"> </w:t>
      </w:r>
      <w:r w:rsidR="0027087B">
        <w:t>utterly provincialized</w:t>
      </w:r>
      <w:r w:rsidR="00690405">
        <w:t xml:space="preserve"> and</w:t>
      </w:r>
      <w:r w:rsidR="0090108E">
        <w:t xml:space="preserve"> its</w:t>
      </w:r>
      <w:r w:rsidR="00441233">
        <w:t xml:space="preserve"> </w:t>
      </w:r>
      <w:r w:rsidR="005B3308">
        <w:t xml:space="preserve">Christian and </w:t>
      </w:r>
      <w:r w:rsidR="005D5065">
        <w:t>Eurocentric</w:t>
      </w:r>
      <w:r w:rsidR="003B0700">
        <w:t xml:space="preserve"> roots </w:t>
      </w:r>
      <w:r w:rsidR="0027087B">
        <w:t>exposed</w:t>
      </w:r>
      <w:r w:rsidR="003E03FD">
        <w:t xml:space="preserve">. </w:t>
      </w:r>
      <w:r w:rsidR="008B464B">
        <w:rPr>
          <w:lang w:val="en-GB"/>
        </w:rPr>
        <w:t>The</w:t>
      </w:r>
      <w:r w:rsidR="005D5065">
        <w:t xml:space="preserve"> Christ</w:t>
      </w:r>
      <w:r w:rsidR="005F5ED4">
        <w:t>ocentric</w:t>
      </w:r>
      <w:r w:rsidR="00F2316B">
        <w:rPr>
          <w:lang w:val="en-GB"/>
        </w:rPr>
        <w:t xml:space="preserve"> understanding of</w:t>
      </w:r>
      <w:r w:rsidR="005F5ED4">
        <w:t xml:space="preserve"> </w:t>
      </w:r>
      <w:r w:rsidR="00B665BC">
        <w:t>‘r</w:t>
      </w:r>
      <w:r w:rsidR="0090108E">
        <w:t>eligion</w:t>
      </w:r>
      <w:r w:rsidR="00B665BC">
        <w:t>’ was found to have become</w:t>
      </w:r>
      <w:r w:rsidR="003E03FD">
        <w:t xml:space="preserve"> universalised </w:t>
      </w:r>
      <w:r w:rsidR="005D5065">
        <w:t xml:space="preserve">and globalised </w:t>
      </w:r>
      <w:r w:rsidR="003E03FD">
        <w:t xml:space="preserve">as the </w:t>
      </w:r>
      <w:r w:rsidR="0090108E">
        <w:t>one</w:t>
      </w:r>
      <w:r w:rsidR="005D5065">
        <w:t>-</w:t>
      </w:r>
      <w:r w:rsidR="0090108E">
        <w:t>size</w:t>
      </w:r>
      <w:r w:rsidR="005D5065">
        <w:t>-</w:t>
      </w:r>
      <w:r w:rsidR="0090108E">
        <w:t>fits</w:t>
      </w:r>
      <w:r w:rsidR="005D5065">
        <w:t>-</w:t>
      </w:r>
      <w:r w:rsidR="0090108E">
        <w:t xml:space="preserve">all </w:t>
      </w:r>
      <w:r w:rsidR="003E03FD">
        <w:t xml:space="preserve">model </w:t>
      </w:r>
      <w:r w:rsidR="005D5065">
        <w:t>of ‘world religions’</w:t>
      </w:r>
      <w:r w:rsidR="00205904">
        <w:t>,</w:t>
      </w:r>
      <w:r w:rsidR="005D5065">
        <w:t xml:space="preserve"> </w:t>
      </w:r>
      <w:r w:rsidR="00441233">
        <w:t>thanks to colonialism</w:t>
      </w:r>
      <w:r w:rsidR="003E03FD">
        <w:t xml:space="preserve"> and </w:t>
      </w:r>
      <w:r w:rsidR="003C3669">
        <w:t>Europe</w:t>
      </w:r>
      <w:r w:rsidR="005311B7">
        <w:t>’s</w:t>
      </w:r>
      <w:r w:rsidR="003C3669">
        <w:t xml:space="preserve"> </w:t>
      </w:r>
      <w:r w:rsidR="0090108E">
        <w:t>epistemological</w:t>
      </w:r>
      <w:r w:rsidR="003C3669">
        <w:t xml:space="preserve"> dominance</w:t>
      </w:r>
      <w:r w:rsidR="00251487">
        <w:t xml:space="preserve">. </w:t>
      </w:r>
      <w:r w:rsidR="00756D4A">
        <w:t>Hinduism</w:t>
      </w:r>
      <w:r w:rsidR="003C3669">
        <w:t xml:space="preserve"> </w:t>
      </w:r>
      <w:r w:rsidR="00251487">
        <w:t>was</w:t>
      </w:r>
      <w:r w:rsidR="00756D4A">
        <w:t xml:space="preserve">, under the catchword of its ‘colonial construction’, </w:t>
      </w:r>
      <w:r w:rsidR="00260FB4">
        <w:t xml:space="preserve">nominated </w:t>
      </w:r>
      <w:r w:rsidR="00FC3FE4">
        <w:t>as</w:t>
      </w:r>
      <w:r w:rsidR="005D5065">
        <w:t xml:space="preserve"> a</w:t>
      </w:r>
      <w:r w:rsidR="003C3669">
        <w:t xml:space="preserve"> </w:t>
      </w:r>
      <w:r w:rsidR="003C3669">
        <w:t xml:space="preserve">prime </w:t>
      </w:r>
      <w:r w:rsidR="003C3669">
        <w:t>exampl</w:t>
      </w:r>
      <w:r w:rsidR="003C3669">
        <w:t>e of a non-Western tradition brutally squeezed into the uncomfortab</w:t>
      </w:r>
      <w:r w:rsidR="005F5ED4">
        <w:t xml:space="preserve">le </w:t>
      </w:r>
      <w:r w:rsidR="003C3669">
        <w:t>fit of ‘religion’</w:t>
      </w:r>
      <w:r w:rsidR="00205904">
        <w:t>.</w:t>
      </w:r>
      <w:r w:rsidR="003C3669">
        <w:rPr>
          <w:rStyle w:val="EndnoteReference"/>
        </w:rPr>
        <w:endnoteReference w:id="3"/>
      </w:r>
      <w:r w:rsidR="003C3669">
        <w:t xml:space="preserve"> </w:t>
      </w:r>
      <w:r w:rsidR="00251487">
        <w:t xml:space="preserve">The debate reached boiling point at the turn of the millennium with calls </w:t>
      </w:r>
      <w:r w:rsidR="003C3669">
        <w:t xml:space="preserve">to abandon the use of </w:t>
      </w:r>
      <w:r w:rsidR="00A220E4">
        <w:t>the term ‘religion’</w:t>
      </w:r>
      <w:r w:rsidR="00260FB4">
        <w:t xml:space="preserve"> </w:t>
      </w:r>
      <w:r w:rsidR="00251487">
        <w:t>altogether</w:t>
      </w:r>
      <w:r w:rsidR="00882B22">
        <w:t>,</w:t>
      </w:r>
      <w:r w:rsidR="00251487">
        <w:t xml:space="preserve"> and disciplinary s</w:t>
      </w:r>
      <w:r w:rsidR="005B3308">
        <w:t xml:space="preserve">elf-criticism </w:t>
      </w:r>
      <w:r w:rsidR="005B5853">
        <w:t xml:space="preserve">over religious studies’ own </w:t>
      </w:r>
      <w:r w:rsidR="00260FB4">
        <w:t>complicity</w:t>
      </w:r>
      <w:r w:rsidR="005B5853">
        <w:t xml:space="preserve"> </w:t>
      </w:r>
      <w:r w:rsidR="00260FB4">
        <w:t>in</w:t>
      </w:r>
      <w:r w:rsidR="005B5853">
        <w:t xml:space="preserve"> </w:t>
      </w:r>
      <w:r w:rsidR="00260FB4">
        <w:t xml:space="preserve">constructing </w:t>
      </w:r>
      <w:r w:rsidR="005B5853">
        <w:t>its subject matter</w:t>
      </w:r>
      <w:r w:rsidR="00251487">
        <w:t>,</w:t>
      </w:r>
      <w:r w:rsidR="005B5853">
        <w:rPr>
          <w:rStyle w:val="EndnoteReference"/>
        </w:rPr>
        <w:endnoteReference w:id="4"/>
      </w:r>
      <w:r w:rsidR="003C3669">
        <w:t xml:space="preserve"> </w:t>
      </w:r>
      <w:r w:rsidR="00B53316">
        <w:t xml:space="preserve">rivalled </w:t>
      </w:r>
      <w:r w:rsidR="005B3308">
        <w:t>only by the colonial guilt complex of social anthropology.</w:t>
      </w:r>
    </w:p>
    <w:p w14:paraId="3F932425" w14:textId="4611DBD9" w:rsidR="00526AAF" w:rsidRDefault="00A17903" w:rsidP="001943B1">
      <w:pPr>
        <w:autoSpaceDE w:val="0"/>
        <w:autoSpaceDN w:val="0"/>
        <w:adjustRightInd w:val="0"/>
        <w:spacing w:after="180" w:line="480" w:lineRule="auto"/>
      </w:pPr>
      <w:r>
        <w:t xml:space="preserve">One </w:t>
      </w:r>
      <w:r w:rsidR="004C1CB7">
        <w:t>achievement</w:t>
      </w:r>
      <w:r>
        <w:t xml:space="preserve"> of Srikantan’s book</w:t>
      </w:r>
      <w:r w:rsidR="00713D85">
        <w:t xml:space="preserve">, then, </w:t>
      </w:r>
      <w:r w:rsidR="00443E96">
        <w:t>is</w:t>
      </w:r>
      <w:r>
        <w:t xml:space="preserve"> </w:t>
      </w:r>
      <w:r w:rsidR="005B3308">
        <w:t xml:space="preserve">inter-disciplinary transfer: </w:t>
      </w:r>
      <w:r w:rsidR="00260FB4">
        <w:t xml:space="preserve">the first chapter </w:t>
      </w:r>
      <w:r w:rsidR="009051A8">
        <w:t xml:space="preserve">introduces </w:t>
      </w:r>
      <w:r w:rsidR="00AA0523">
        <w:t>the</w:t>
      </w:r>
      <w:r w:rsidR="00260FB4">
        <w:t xml:space="preserve"> </w:t>
      </w:r>
      <w:r w:rsidR="00B51EF7">
        <w:t xml:space="preserve">conceptual </w:t>
      </w:r>
      <w:r w:rsidR="005B5853">
        <w:t>unsettling of ‘religion’</w:t>
      </w:r>
      <w:r w:rsidR="003B0700">
        <w:t xml:space="preserve"> </w:t>
      </w:r>
      <w:r w:rsidR="009051A8">
        <w:t>in</w:t>
      </w:r>
      <w:r w:rsidR="00B95788">
        <w:t>to</w:t>
      </w:r>
      <w:r>
        <w:t xml:space="preserve"> </w:t>
      </w:r>
      <w:r w:rsidR="009051A8">
        <w:t>Indian legal history</w:t>
      </w:r>
      <w:r w:rsidR="00312B9A">
        <w:t>,</w:t>
      </w:r>
      <w:r w:rsidR="009051A8">
        <w:t xml:space="preserve"> </w:t>
      </w:r>
      <w:r w:rsidR="00B95788">
        <w:t xml:space="preserve">where it </w:t>
      </w:r>
      <w:r w:rsidR="00312B9A">
        <w:t>ha</w:t>
      </w:r>
      <w:r w:rsidR="00E3637A">
        <w:rPr>
          <w:lang w:val="en-GB"/>
        </w:rPr>
        <w:t xml:space="preserve">s </w:t>
      </w:r>
      <w:r w:rsidR="0067023D">
        <w:t xml:space="preserve">remained </w:t>
      </w:r>
      <w:r w:rsidR="009051A8">
        <w:t>curiously absent</w:t>
      </w:r>
      <w:r w:rsidR="00B95788">
        <w:t>.</w:t>
      </w:r>
      <w:r w:rsidR="0065317D">
        <w:t xml:space="preserve"> </w:t>
      </w:r>
      <w:r w:rsidR="0065317D">
        <w:t>Hindu and Muslim law, the subsequent two chapter show, were made to fit the legal category of religion. For Hinduism, this meant creating a coherent theology where there was previously none. Bizarrely, to produce Hindu law, Srikantan shows how ‘[t]the secularising dynamic of Western law [had to] transfor[m] itself into the dynamic of theologisation’ (60</w:t>
      </w:r>
      <w:r w:rsidR="00010949">
        <w:t>). In</w:t>
      </w:r>
      <w:r w:rsidR="00E63B52">
        <w:t xml:space="preserve"> other words, to </w:t>
      </w:r>
      <w:r w:rsidR="00E63B52">
        <w:t>make Hinduism governable like Christianity</w:t>
      </w:r>
      <w:r w:rsidR="00E63B52">
        <w:t xml:space="preserve">, </w:t>
      </w:r>
      <w:r w:rsidR="00010949">
        <w:t xml:space="preserve">British secular legal reasoning had </w:t>
      </w:r>
      <w:r w:rsidR="00E63B52">
        <w:t xml:space="preserve">to give Hinduism a theology </w:t>
      </w:r>
      <w:r w:rsidR="00174AF1">
        <w:t>and law codes</w:t>
      </w:r>
      <w:r w:rsidR="00F15B55">
        <w:rPr>
          <w:lang w:val="en-GB"/>
        </w:rPr>
        <w:t>,</w:t>
      </w:r>
      <w:r w:rsidR="00174AF1">
        <w:t xml:space="preserve"> </w:t>
      </w:r>
      <w:r w:rsidR="00E63B52">
        <w:t xml:space="preserve">like Christianity. </w:t>
      </w:r>
      <w:r w:rsidR="00AB7FCE">
        <w:t>T</w:t>
      </w:r>
      <w:r w:rsidR="008716DD">
        <w:rPr>
          <w:lang w:val="en-GB"/>
        </w:rPr>
        <w:t>o codify Hindu law, t</w:t>
      </w:r>
      <w:r w:rsidR="00AB7FCE">
        <w:t xml:space="preserve">he </w:t>
      </w:r>
      <w:r w:rsidR="0067168A">
        <w:t xml:space="preserve">British </w:t>
      </w:r>
      <w:r w:rsidR="0000027A">
        <w:t xml:space="preserve">privileged the </w:t>
      </w:r>
      <w:r w:rsidR="0065317D">
        <w:t xml:space="preserve">oldest </w:t>
      </w:r>
      <w:r w:rsidR="00351F9D">
        <w:t xml:space="preserve">Sanskrit </w:t>
      </w:r>
      <w:r w:rsidR="0065317D">
        <w:t>text</w:t>
      </w:r>
      <w:r w:rsidR="00351F9D">
        <w:t>s</w:t>
      </w:r>
      <w:r w:rsidR="00611911">
        <w:t xml:space="preserve">, but they also </w:t>
      </w:r>
      <w:r w:rsidR="008356D3">
        <w:t>elevated</w:t>
      </w:r>
      <w:r w:rsidR="00611911">
        <w:t xml:space="preserve"> </w:t>
      </w:r>
      <w:r w:rsidR="0065317D">
        <w:t>‘custom’</w:t>
      </w:r>
      <w:r w:rsidR="003D5613">
        <w:t xml:space="preserve"> as</w:t>
      </w:r>
      <w:r w:rsidR="00BA3555">
        <w:t xml:space="preserve"> a legal source. Srikantan</w:t>
      </w:r>
      <w:r w:rsidR="003D5613">
        <w:t xml:space="preserve"> </w:t>
      </w:r>
      <w:r w:rsidR="008B464B">
        <w:rPr>
          <w:lang w:val="en-GB"/>
        </w:rPr>
        <w:t>gives this old</w:t>
      </w:r>
      <w:r w:rsidR="00BA3555">
        <w:t xml:space="preserve"> </w:t>
      </w:r>
      <w:r w:rsidR="00E57A3C">
        <w:t>familiar</w:t>
      </w:r>
      <w:r w:rsidR="00F15B55">
        <w:rPr>
          <w:lang w:val="en-GB"/>
        </w:rPr>
        <w:t xml:space="preserve"> to </w:t>
      </w:r>
      <w:r w:rsidR="008B464B">
        <w:rPr>
          <w:lang w:val="en-GB"/>
        </w:rPr>
        <w:t>scholars of India</w:t>
      </w:r>
      <w:r w:rsidR="00F15B55">
        <w:rPr>
          <w:lang w:val="en-GB"/>
        </w:rPr>
        <w:t>,</w:t>
      </w:r>
      <w:r w:rsidR="002F235C">
        <w:t xml:space="preserve"> </w:t>
      </w:r>
      <w:r w:rsidR="008B464B">
        <w:rPr>
          <w:lang w:val="en-GB"/>
        </w:rPr>
        <w:lastRenderedPageBreak/>
        <w:t xml:space="preserve">‘custom’,  </w:t>
      </w:r>
      <w:r w:rsidR="008356D3">
        <w:t xml:space="preserve">a novel intellectual itinerary leading straight to </w:t>
      </w:r>
      <w:r w:rsidR="002D0F45">
        <w:t>Europe</w:t>
      </w:r>
      <w:r w:rsidR="00FE2D05">
        <w:t xml:space="preserve"> at the cusp of the Middle Ages</w:t>
      </w:r>
      <w:r w:rsidR="00C0352E">
        <w:t>.</w:t>
      </w:r>
    </w:p>
    <w:p w14:paraId="5297E402" w14:textId="6D482FA6" w:rsidR="004C1905" w:rsidRDefault="00E615D4" w:rsidP="001943B1">
      <w:pPr>
        <w:autoSpaceDE w:val="0"/>
        <w:autoSpaceDN w:val="0"/>
        <w:adjustRightInd w:val="0"/>
        <w:spacing w:after="180" w:line="480" w:lineRule="auto"/>
      </w:pPr>
      <w:r>
        <w:t xml:space="preserve">For Srikantan, </w:t>
      </w:r>
      <w:r w:rsidR="00312B9A">
        <w:t xml:space="preserve">heavily drawing on </w:t>
      </w:r>
      <w:r w:rsidR="00D65196">
        <w:t>scholarship on the ancient and early medieval Judeo-Christian world</w:t>
      </w:r>
      <w:r w:rsidR="00312B9A">
        <w:t xml:space="preserve">, </w:t>
      </w:r>
      <w:r w:rsidR="005B3F1B">
        <w:t>the</w:t>
      </w:r>
      <w:r w:rsidR="00FB10B7">
        <w:t xml:space="preserve"> </w:t>
      </w:r>
      <w:r>
        <w:t xml:space="preserve">distinction between religion and the secular </w:t>
      </w:r>
      <w:r w:rsidR="00312B9A">
        <w:t xml:space="preserve">that </w:t>
      </w:r>
      <w:r w:rsidR="00B35963">
        <w:t xml:space="preserve">is </w:t>
      </w:r>
      <w:r w:rsidR="00B825EE">
        <w:t xml:space="preserve">made in </w:t>
      </w:r>
      <w:r w:rsidR="005B3F1B">
        <w:t xml:space="preserve">Western law </w:t>
      </w:r>
      <w:r>
        <w:t>pinnacles on ‘idolatry’.</w:t>
      </w:r>
      <w:r w:rsidR="00B35963" w:rsidRPr="00B35963">
        <w:t xml:space="preserve"> </w:t>
      </w:r>
      <w:r w:rsidR="000E3C24">
        <w:t>E</w:t>
      </w:r>
      <w:r w:rsidR="00C63CB3">
        <w:t>arly</w:t>
      </w:r>
      <w:r w:rsidR="00CC7E7A">
        <w:t xml:space="preserve"> on</w:t>
      </w:r>
      <w:r w:rsidR="00C63CB3">
        <w:t xml:space="preserve"> in its spread</w:t>
      </w:r>
      <w:r w:rsidR="00CC7E7A">
        <w:t>,</w:t>
      </w:r>
      <w:r w:rsidR="00CE53D1">
        <w:t xml:space="preserve"> ‘</w:t>
      </w:r>
      <w:r w:rsidR="000E3C24">
        <w:t xml:space="preserve">Christianity had </w:t>
      </w:r>
      <w:r w:rsidR="00B35963">
        <w:t xml:space="preserve">to face the question of what was essential to itself and what it was indifferent to’ (32). </w:t>
      </w:r>
      <w:r w:rsidR="000E3C24">
        <w:t>It drew the boundary line at i</w:t>
      </w:r>
      <w:r w:rsidR="00CE53D1">
        <w:t>dolatry</w:t>
      </w:r>
      <w:r w:rsidR="000E3C24">
        <w:t xml:space="preserve">: local practises were permitted to survive as ‘custom’ </w:t>
      </w:r>
      <w:r w:rsidR="007D206E">
        <w:t>only if</w:t>
      </w:r>
      <w:r w:rsidR="000E3C24">
        <w:t xml:space="preserve"> they </w:t>
      </w:r>
      <w:r w:rsidR="007D206E">
        <w:t>were not idolatrous.</w:t>
      </w:r>
      <w:r w:rsidR="0081426C">
        <w:t xml:space="preserve"> Legal ‘custom’ </w:t>
      </w:r>
      <w:r w:rsidR="00C36101">
        <w:t>had to p</w:t>
      </w:r>
      <w:r w:rsidR="0081426C">
        <w:t>ass the further ‘tests’ of antiquity (existence from ‘time immemorial’)</w:t>
      </w:r>
      <w:r w:rsidR="003D5613">
        <w:t xml:space="preserve"> and</w:t>
      </w:r>
      <w:r w:rsidR="0081426C">
        <w:t xml:space="preserve"> of not contradicting positive </w:t>
      </w:r>
      <w:r w:rsidR="00B37731">
        <w:t>or</w:t>
      </w:r>
      <w:r w:rsidR="0081426C">
        <w:t xml:space="preserve"> natural law (reason)</w:t>
      </w:r>
      <w:r w:rsidR="007D206E">
        <w:t xml:space="preserve">. </w:t>
      </w:r>
      <w:r w:rsidR="00445D51">
        <w:t xml:space="preserve">This </w:t>
      </w:r>
      <w:r w:rsidR="00147E6C">
        <w:t>idea</w:t>
      </w:r>
      <w:r w:rsidR="00DE650E">
        <w:t xml:space="preserve"> </w:t>
      </w:r>
      <w:r w:rsidR="00CC7E7A">
        <w:t>of ‘custom’ bequeathed itself to English common law and was applied by the British to India.</w:t>
      </w:r>
      <w:r w:rsidR="008713E6">
        <w:t xml:space="preserve"> </w:t>
      </w:r>
      <w:r w:rsidR="00C36101">
        <w:t xml:space="preserve">It follows for </w:t>
      </w:r>
      <w:r w:rsidR="00DE650E">
        <w:t>Srikantan</w:t>
      </w:r>
      <w:r w:rsidR="00C36101">
        <w:t xml:space="preserve"> that </w:t>
      </w:r>
      <w:r w:rsidR="008713E6">
        <w:t>the</w:t>
      </w:r>
      <w:r w:rsidR="003D5613">
        <w:t>,</w:t>
      </w:r>
      <w:r w:rsidR="008713E6">
        <w:t xml:space="preserve"> in India</w:t>
      </w:r>
      <w:r w:rsidR="003D5613">
        <w:t>,</w:t>
      </w:r>
      <w:r w:rsidR="008713E6">
        <w:t xml:space="preserve"> ubiquitous category of </w:t>
      </w:r>
      <w:r w:rsidR="00DE650E">
        <w:t>‘custom’</w:t>
      </w:r>
      <w:r w:rsidR="008713E6">
        <w:t xml:space="preserve"> does not result from colonial anthropology</w:t>
      </w:r>
      <w:r w:rsidR="00DD7E83">
        <w:rPr>
          <w:lang w:val="en-GB"/>
        </w:rPr>
        <w:t>, let alone Mughal legal pluralism,</w:t>
      </w:r>
      <w:r w:rsidR="008713E6">
        <w:t xml:space="preserve"> but from </w:t>
      </w:r>
      <w:r w:rsidR="004D019B">
        <w:t>Christian theology</w:t>
      </w:r>
      <w:r w:rsidR="00DD7E83">
        <w:rPr>
          <w:lang w:val="en-GB"/>
        </w:rPr>
        <w:t xml:space="preserve"> that is</w:t>
      </w:r>
      <w:r w:rsidR="004D019B">
        <w:t xml:space="preserve"> embedded as a</w:t>
      </w:r>
      <w:r w:rsidR="008713E6">
        <w:t xml:space="preserve"> </w:t>
      </w:r>
      <w:r w:rsidR="00445D51">
        <w:t xml:space="preserve">deep </w:t>
      </w:r>
      <w:r w:rsidR="001647B9">
        <w:t>structure</w:t>
      </w:r>
      <w:r w:rsidR="008713E6">
        <w:t xml:space="preserve"> </w:t>
      </w:r>
      <w:r w:rsidR="004D019B">
        <w:t>in</w:t>
      </w:r>
      <w:r w:rsidR="008713E6">
        <w:t xml:space="preserve"> </w:t>
      </w:r>
      <w:r w:rsidR="00346957">
        <w:rPr>
          <w:lang w:val="en-GB"/>
        </w:rPr>
        <w:t>common</w:t>
      </w:r>
      <w:r w:rsidR="008713E6">
        <w:t xml:space="preserve"> law</w:t>
      </w:r>
      <w:r w:rsidR="003642A2">
        <w:t xml:space="preserve"> (26-3</w:t>
      </w:r>
      <w:r w:rsidR="007D206E">
        <w:t>5</w:t>
      </w:r>
      <w:r w:rsidR="003642A2">
        <w:t>)</w:t>
      </w:r>
      <w:r w:rsidR="00742BE8">
        <w:t>.</w:t>
      </w:r>
      <w:r w:rsidR="004D019B">
        <w:t xml:space="preserve"> In India, c</w:t>
      </w:r>
      <w:r w:rsidR="00742BE8">
        <w:t xml:space="preserve">ustom thus </w:t>
      </w:r>
      <w:r w:rsidR="00AC0825">
        <w:t>proved</w:t>
      </w:r>
      <w:r w:rsidR="00742BE8">
        <w:t xml:space="preserve"> could overwrite written law</w:t>
      </w:r>
      <w:r w:rsidR="00742BE8">
        <w:t xml:space="preserve"> (36)</w:t>
      </w:r>
      <w:r w:rsidR="00742BE8">
        <w:t>.</w:t>
      </w:r>
      <w:r w:rsidR="00742BE8">
        <w:t xml:space="preserve"> </w:t>
      </w:r>
      <w:r w:rsidR="00B37731">
        <w:t xml:space="preserve">I </w:t>
      </w:r>
      <w:r w:rsidR="004C1905">
        <w:t>understand</w:t>
      </w:r>
      <w:r w:rsidR="00B37731">
        <w:t xml:space="preserve"> Srikantan to mean that </w:t>
      </w:r>
      <w:r w:rsidR="004C1905">
        <w:t xml:space="preserve">in Europe at the threshold of Christianisation can </w:t>
      </w:r>
      <w:r w:rsidR="00B37731">
        <w:t>be found the</w:t>
      </w:r>
      <w:r w:rsidR="00CD0EE3">
        <w:t xml:space="preserve"> </w:t>
      </w:r>
      <w:r w:rsidR="004C1905">
        <w:t>earliest</w:t>
      </w:r>
      <w:r w:rsidR="00CD0EE3">
        <w:t xml:space="preserve"> origin of the </w:t>
      </w:r>
      <w:r w:rsidR="004C1905">
        <w:t>‘</w:t>
      </w:r>
      <w:r w:rsidR="00CD0EE3">
        <w:t>essential practice</w:t>
      </w:r>
      <w:r w:rsidR="004C1905">
        <w:t>’</w:t>
      </w:r>
      <w:r w:rsidR="00CD0EE3">
        <w:t xml:space="preserve"> </w:t>
      </w:r>
      <w:r w:rsidR="00870C3E">
        <w:t xml:space="preserve">test </w:t>
      </w:r>
      <w:r w:rsidR="00781F82">
        <w:t xml:space="preserve">since 1954 </w:t>
      </w:r>
      <w:r w:rsidR="00870C3E">
        <w:t>applied by the Indian Supreme Court</w:t>
      </w:r>
      <w:r w:rsidR="00704F77">
        <w:t xml:space="preserve"> </w:t>
      </w:r>
      <w:r w:rsidR="00870C3E">
        <w:t xml:space="preserve">to decide what is and is not a constitutionally protected religious practice; among its major requirements: </w:t>
      </w:r>
      <w:r w:rsidR="00CD0EE3">
        <w:t>custo</w:t>
      </w:r>
      <w:r w:rsidR="00870C3E">
        <w:t>m or belief</w:t>
      </w:r>
      <w:r w:rsidR="00704F77">
        <w:t xml:space="preserve"> ‘from times immemorial’</w:t>
      </w:r>
      <w:r w:rsidR="00CD0EE3">
        <w:t>.</w:t>
      </w:r>
      <w:r w:rsidR="00870C3E">
        <w:rPr>
          <w:rStyle w:val="EndnoteReference"/>
        </w:rPr>
        <w:endnoteReference w:id="5"/>
      </w:r>
    </w:p>
    <w:p w14:paraId="3213EC83" w14:textId="0BE36A6E" w:rsidR="00526AAF" w:rsidRDefault="00BB427C" w:rsidP="001943B1">
      <w:pPr>
        <w:autoSpaceDE w:val="0"/>
        <w:autoSpaceDN w:val="0"/>
        <w:adjustRightInd w:val="0"/>
        <w:spacing w:after="180" w:line="480" w:lineRule="auto"/>
      </w:pPr>
      <w:r>
        <w:t xml:space="preserve">The argument </w:t>
      </w:r>
      <w:r w:rsidR="00DE7436">
        <w:t>that</w:t>
      </w:r>
      <w:r w:rsidR="004C1905">
        <w:t xml:space="preserve"> idolatry </w:t>
      </w:r>
      <w:r w:rsidR="00045955">
        <w:t>functions as a boundary-drawing exercise in Western law</w:t>
      </w:r>
      <w:r w:rsidR="00F42389">
        <w:rPr>
          <w:lang w:val="en-GB"/>
        </w:rPr>
        <w:t xml:space="preserve"> –</w:t>
      </w:r>
      <w:r w:rsidR="00DE7436">
        <w:t xml:space="preserve"> </w:t>
      </w:r>
      <w:r w:rsidR="007349AC">
        <w:t>between objectionable and permissible</w:t>
      </w:r>
      <w:r w:rsidR="00DE7436">
        <w:t xml:space="preserve"> custom</w:t>
      </w:r>
      <w:r w:rsidR="007349AC">
        <w:t>, the religious and</w:t>
      </w:r>
      <w:r w:rsidR="00DE7436">
        <w:t xml:space="preserve"> the</w:t>
      </w:r>
      <w:r w:rsidR="007349AC">
        <w:t xml:space="preserve"> secular, the public and private</w:t>
      </w:r>
      <w:r w:rsidR="00F42389">
        <w:rPr>
          <w:lang w:val="en-GB"/>
        </w:rPr>
        <w:t xml:space="preserve"> – </w:t>
      </w:r>
      <w:r>
        <w:t xml:space="preserve">has persuasive power but is subsequently overstressed. </w:t>
      </w:r>
      <w:r w:rsidR="00445D51">
        <w:t>Above</w:t>
      </w:r>
      <w:r>
        <w:t xml:space="preserve"> all, it remains </w:t>
      </w:r>
      <w:r w:rsidR="00274F75">
        <w:t>unclear</w:t>
      </w:r>
      <w:r>
        <w:t xml:space="preserve"> how the British </w:t>
      </w:r>
      <w:r w:rsidR="004C2573">
        <w:t xml:space="preserve">made </w:t>
      </w:r>
      <w:r w:rsidRPr="001943B1">
        <w:t>idolatry</w:t>
      </w:r>
      <w:r w:rsidR="004C2573">
        <w:t xml:space="preserve"> </w:t>
      </w:r>
      <w:r w:rsidRPr="001943B1">
        <w:t xml:space="preserve">the dividing </w:t>
      </w:r>
      <w:r w:rsidR="00F07032">
        <w:t>line</w:t>
      </w:r>
      <w:r w:rsidRPr="001943B1">
        <w:t xml:space="preserve"> within Hindu</w:t>
      </w:r>
      <w:r w:rsidR="00644B02" w:rsidRPr="001943B1">
        <w:t xml:space="preserve"> law, when </w:t>
      </w:r>
      <w:r w:rsidR="00AC0825">
        <w:t xml:space="preserve">all of </w:t>
      </w:r>
      <w:r w:rsidR="00644B02" w:rsidRPr="001943B1">
        <w:t xml:space="preserve">Hinduism </w:t>
      </w:r>
      <w:r w:rsidR="00AC0825">
        <w:t xml:space="preserve">was </w:t>
      </w:r>
      <w:r w:rsidR="00644B02" w:rsidRPr="001943B1">
        <w:t>viewed by them as idolatrous.</w:t>
      </w:r>
      <w:r w:rsidR="00F07032">
        <w:t xml:space="preserve"> </w:t>
      </w:r>
      <w:r w:rsidR="004C2573">
        <w:t xml:space="preserve">To be sure, </w:t>
      </w:r>
      <w:r w:rsidR="00F07032">
        <w:t xml:space="preserve">Srikantan </w:t>
      </w:r>
      <w:r w:rsidR="004C2573">
        <w:t xml:space="preserve">rejects </w:t>
      </w:r>
      <w:r w:rsidR="0050232A">
        <w:rPr>
          <w:lang w:val="en-GB"/>
        </w:rPr>
        <w:t>the</w:t>
      </w:r>
      <w:r w:rsidR="004C2573">
        <w:t xml:space="preserve"> ‘mundane’</w:t>
      </w:r>
      <w:r w:rsidR="00F07032">
        <w:t xml:space="preserve"> </w:t>
      </w:r>
      <w:r w:rsidR="004C2573">
        <w:t xml:space="preserve">understanding of idolatry as idol worship, </w:t>
      </w:r>
      <w:r w:rsidR="0050232A">
        <w:rPr>
          <w:lang w:val="en-GB"/>
        </w:rPr>
        <w:t>proposing</w:t>
      </w:r>
      <w:r w:rsidR="003F24FB">
        <w:rPr>
          <w:lang w:val="en-GB"/>
        </w:rPr>
        <w:t xml:space="preserve"> instead that</w:t>
      </w:r>
      <w:r w:rsidR="004C2573">
        <w:t xml:space="preserve"> ‘[i]</w:t>
      </w:r>
      <w:r w:rsidR="00F07032" w:rsidRPr="00F07032">
        <w:t>dolatry must be understood as to how false worship becomes defined as false belief</w:t>
      </w:r>
      <w:r w:rsidR="004C2573">
        <w:t>’</w:t>
      </w:r>
      <w:r w:rsidR="003D5613">
        <w:t xml:space="preserve"> (33)</w:t>
      </w:r>
      <w:r w:rsidR="004C2573">
        <w:t xml:space="preserve">. But </w:t>
      </w:r>
      <w:r w:rsidR="0021411A">
        <w:t xml:space="preserve">idolatry </w:t>
      </w:r>
      <w:r w:rsidR="003F24FB">
        <w:rPr>
          <w:lang w:val="en-GB"/>
        </w:rPr>
        <w:t xml:space="preserve">thus understood </w:t>
      </w:r>
      <w:r w:rsidR="0021411A">
        <w:t>becomes over-capacious and unintelligible as an abstraction</w:t>
      </w:r>
      <w:r w:rsidR="00A20A8D">
        <w:rPr>
          <w:lang w:val="en-GB"/>
        </w:rPr>
        <w:t>,</w:t>
      </w:r>
      <w:r w:rsidR="0021411A">
        <w:t xml:space="preserve"> </w:t>
      </w:r>
      <w:r w:rsidR="003F24FB">
        <w:rPr>
          <w:lang w:val="en-GB"/>
        </w:rPr>
        <w:t>having</w:t>
      </w:r>
      <w:r w:rsidR="0021411A">
        <w:t xml:space="preserve"> lost its </w:t>
      </w:r>
      <w:r w:rsidR="00A96A08">
        <w:t>real-life referent</w:t>
      </w:r>
      <w:r w:rsidR="00C716C5">
        <w:t xml:space="preserve">: </w:t>
      </w:r>
      <w:r w:rsidR="004C2573">
        <w:t xml:space="preserve">more so in </w:t>
      </w:r>
      <w:r w:rsidR="004C2573">
        <w:lastRenderedPageBreak/>
        <w:t>India where</w:t>
      </w:r>
      <w:r w:rsidR="00445D51" w:rsidRPr="001943B1">
        <w:t xml:space="preserve">, in the words of </w:t>
      </w:r>
      <w:r w:rsidR="001943B1" w:rsidRPr="001943B1">
        <w:t>James Fitzjames Stephen</w:t>
      </w:r>
      <w:r w:rsidR="00274F75">
        <w:t>,</w:t>
      </w:r>
      <w:r w:rsidR="001943B1" w:rsidRPr="001943B1">
        <w:t xml:space="preserve"> </w:t>
      </w:r>
      <w:r w:rsidR="00274F75">
        <w:t xml:space="preserve">Law Member </w:t>
      </w:r>
      <w:r w:rsidR="00091DD6">
        <w:t xml:space="preserve">to the Viceroy’s Council </w:t>
      </w:r>
      <w:r w:rsidR="00882A7E">
        <w:t>between</w:t>
      </w:r>
      <w:r w:rsidR="00091DD6">
        <w:t xml:space="preserve"> 1868</w:t>
      </w:r>
      <w:r w:rsidR="00882A7E">
        <w:t xml:space="preserve"> and 18</w:t>
      </w:r>
      <w:r w:rsidR="00091DD6">
        <w:t>72</w:t>
      </w:r>
      <w:r w:rsidR="001943B1" w:rsidRPr="001943B1">
        <w:t>: ‘</w:t>
      </w:r>
      <w:r w:rsidR="001943B1" w:rsidRPr="001943B1">
        <w:t xml:space="preserve">English legislation in India proceeds on the assumption that both </w:t>
      </w:r>
      <w:r w:rsidR="00263D7A">
        <w:rPr>
          <w:lang w:val="en-GB"/>
        </w:rPr>
        <w:t>[</w:t>
      </w:r>
      <w:r w:rsidR="004C2573">
        <w:t>Hinduism and Islam</w:t>
      </w:r>
      <w:r w:rsidR="00263D7A">
        <w:rPr>
          <w:lang w:val="en-GB"/>
        </w:rPr>
        <w:t>]</w:t>
      </w:r>
      <w:r w:rsidR="004C2573">
        <w:t xml:space="preserve"> </w:t>
      </w:r>
      <w:r w:rsidR="001943B1" w:rsidRPr="001943B1">
        <w:t>are fal</w:t>
      </w:r>
      <w:r w:rsidR="001943B1">
        <w:t>se.’</w:t>
      </w:r>
      <w:r w:rsidR="001943B1">
        <w:rPr>
          <w:rStyle w:val="EndnoteReference"/>
        </w:rPr>
        <w:endnoteReference w:id="6"/>
      </w:r>
    </w:p>
    <w:p w14:paraId="60535B1F" w14:textId="0968CBA7" w:rsidR="008C3915" w:rsidRDefault="008C3915" w:rsidP="008C3915">
      <w:pPr>
        <w:autoSpaceDE w:val="0"/>
        <w:autoSpaceDN w:val="0"/>
        <w:adjustRightInd w:val="0"/>
        <w:spacing w:after="180" w:line="480" w:lineRule="auto"/>
      </w:pPr>
      <w:r>
        <w:t xml:space="preserve">The case of </w:t>
      </w:r>
      <w:r w:rsidR="008C70C1">
        <w:t>Anglo-</w:t>
      </w:r>
      <w:r>
        <w:t>Muslim law</w:t>
      </w:r>
      <w:r w:rsidR="00074605">
        <w:t xml:space="preserve">, discussed in chapter </w:t>
      </w:r>
      <w:r w:rsidR="00851789">
        <w:t>two</w:t>
      </w:r>
      <w:r w:rsidR="00074605">
        <w:t>,</w:t>
      </w:r>
      <w:r>
        <w:t xml:space="preserve"> </w:t>
      </w:r>
      <w:r>
        <w:t>was</w:t>
      </w:r>
      <w:r>
        <w:t xml:space="preserve"> different. </w:t>
      </w:r>
      <w:r>
        <w:t xml:space="preserve">No theologisation </w:t>
      </w:r>
      <w:r w:rsidR="001B5E01">
        <w:t>was needed, a</w:t>
      </w:r>
      <w:r>
        <w:t xml:space="preserve">s the ‘essential practices’ of Islam could be easily found in the Quran. </w:t>
      </w:r>
      <w:r w:rsidR="008C70C1">
        <w:t xml:space="preserve">Governing </w:t>
      </w:r>
      <w:r w:rsidR="000412FA">
        <w:t xml:space="preserve">India’s </w:t>
      </w:r>
      <w:r w:rsidR="008C70C1">
        <w:t xml:space="preserve">Muslims </w:t>
      </w:r>
      <w:r>
        <w:t>instead pinnacle</w:t>
      </w:r>
      <w:r w:rsidR="008C70C1">
        <w:t>d</w:t>
      </w:r>
      <w:r>
        <w:t xml:space="preserve"> on</w:t>
      </w:r>
      <w:r w:rsidR="00851789">
        <w:t xml:space="preserve"> the</w:t>
      </w:r>
      <w:r w:rsidR="001B5E01">
        <w:t xml:space="preserve"> </w:t>
      </w:r>
      <w:r w:rsidR="002358FB">
        <w:t xml:space="preserve">idea of </w:t>
      </w:r>
      <w:r w:rsidR="006767E3">
        <w:t>religious community</w:t>
      </w:r>
      <w:r>
        <w:t xml:space="preserve">. </w:t>
      </w:r>
      <w:r w:rsidR="002358FB">
        <w:t>This entailed the division of public and private domains, with Muslim law being excised from the public and confined to the private domain of ‘personal’ law (a term which Srikantan hardly if ever uses), namely, in matters pertaining to marriage, family and religion</w:t>
      </w:r>
      <w:r w:rsidR="00074605">
        <w:t xml:space="preserve"> (78-85)</w:t>
      </w:r>
      <w:r w:rsidR="00EF2E9D">
        <w:t xml:space="preserve">: all in all, a </w:t>
      </w:r>
      <w:r w:rsidR="00074605">
        <w:t>familiar</w:t>
      </w:r>
      <w:r w:rsidR="00EF2E9D">
        <w:t xml:space="preserve"> story</w:t>
      </w:r>
      <w:r w:rsidR="002358FB">
        <w:t xml:space="preserve">. </w:t>
      </w:r>
      <w:r w:rsidR="006767E3">
        <w:t>D</w:t>
      </w:r>
      <w:r w:rsidR="008C70C1">
        <w:t xml:space="preserve">iscussion </w:t>
      </w:r>
      <w:r w:rsidR="001B5E01">
        <w:t xml:space="preserve">of </w:t>
      </w:r>
      <w:r w:rsidR="008C70C1">
        <w:t xml:space="preserve">the </w:t>
      </w:r>
      <w:r w:rsidR="006767E3">
        <w:t xml:space="preserve">famous </w:t>
      </w:r>
      <w:r w:rsidR="000412FA">
        <w:t xml:space="preserve">nineteenth-century </w:t>
      </w:r>
      <w:r w:rsidR="0091506E">
        <w:t xml:space="preserve">court </w:t>
      </w:r>
      <w:r>
        <w:t>case</w:t>
      </w:r>
      <w:r w:rsidR="008C70C1">
        <w:t xml:space="preserve">s </w:t>
      </w:r>
      <w:r w:rsidR="0091506E">
        <w:t>by</w:t>
      </w:r>
      <w:r w:rsidR="008C70C1">
        <w:t xml:space="preserve"> which it was decided that the </w:t>
      </w:r>
      <w:r w:rsidR="006767E3">
        <w:t>Khoja</w:t>
      </w:r>
      <w:r w:rsidR="0091506E">
        <w:t>s were</w:t>
      </w:r>
      <w:r w:rsidR="00074605">
        <w:t xml:space="preserve"> </w:t>
      </w:r>
      <w:r w:rsidR="008C70C1">
        <w:t>Shia Muslim</w:t>
      </w:r>
      <w:r w:rsidR="00F2114F">
        <w:t>,</w:t>
      </w:r>
      <w:r w:rsidR="006767E3">
        <w:t xml:space="preserve"> and their head the Aga Khan</w:t>
      </w:r>
      <w:r w:rsidR="001B5E01">
        <w:t xml:space="preserve">, </w:t>
      </w:r>
      <w:r w:rsidR="0091506E">
        <w:t>furnishes</w:t>
      </w:r>
      <w:r w:rsidR="001B5E01">
        <w:t xml:space="preserve"> a case study of </w:t>
      </w:r>
      <w:r w:rsidR="0091506E">
        <w:t xml:space="preserve">what it takes to constitute </w:t>
      </w:r>
      <w:r w:rsidR="006767E3">
        <w:t xml:space="preserve">normative </w:t>
      </w:r>
      <w:r w:rsidR="0091506E">
        <w:t>Islamic community</w:t>
      </w:r>
      <w:r w:rsidR="00347581">
        <w:t xml:space="preserve">, </w:t>
      </w:r>
      <w:r w:rsidR="00F2114F">
        <w:t>while</w:t>
      </w:r>
      <w:r w:rsidR="000412FA">
        <w:t xml:space="preserve"> </w:t>
      </w:r>
      <w:r w:rsidR="00F2114F">
        <w:t xml:space="preserve">the legal thinker </w:t>
      </w:r>
      <w:r w:rsidR="0091506E">
        <w:t>Syed</w:t>
      </w:r>
      <w:r w:rsidR="008C70C1">
        <w:t xml:space="preserve"> Ameer Ali</w:t>
      </w:r>
      <w:r w:rsidR="0091506E">
        <w:t xml:space="preserve"> </w:t>
      </w:r>
      <w:r w:rsidR="00F2114F">
        <w:t xml:space="preserve">illustrates </w:t>
      </w:r>
      <w:r w:rsidR="0091506E">
        <w:t>the acceptanc</w:t>
      </w:r>
      <w:r w:rsidR="00F2114F">
        <w:t>e</w:t>
      </w:r>
      <w:r w:rsidR="0091506E">
        <w:t xml:space="preserve"> by </w:t>
      </w:r>
      <w:r w:rsidR="00F2114F">
        <w:t>Indi</w:t>
      </w:r>
      <w:r w:rsidR="00347581">
        <w:t>an</w:t>
      </w:r>
      <w:r w:rsidR="00F2114F">
        <w:t xml:space="preserve"> </w:t>
      </w:r>
      <w:r w:rsidR="0091506E">
        <w:t>Muslims of secular legal hermeneutics</w:t>
      </w:r>
      <w:r w:rsidR="00C4451E">
        <w:t>, in order</w:t>
      </w:r>
      <w:r w:rsidR="0091506E">
        <w:t xml:space="preserve"> to turn </w:t>
      </w:r>
      <w:r w:rsidR="00F2114F">
        <w:t>Muslims into a</w:t>
      </w:r>
      <w:r w:rsidR="00347581">
        <w:t xml:space="preserve">n </w:t>
      </w:r>
      <w:r w:rsidR="00F2114F">
        <w:t>identifiable</w:t>
      </w:r>
      <w:r w:rsidR="0091506E">
        <w:t xml:space="preserve"> community</w:t>
      </w:r>
      <w:r w:rsidR="007B28CC">
        <w:t xml:space="preserve"> in India</w:t>
      </w:r>
      <w:r w:rsidR="0091506E">
        <w:t>.</w:t>
      </w:r>
    </w:p>
    <w:p w14:paraId="75419478" w14:textId="1E67289B" w:rsidR="0076686E" w:rsidRDefault="00C05E48" w:rsidP="007A7200">
      <w:pPr>
        <w:autoSpaceDE w:val="0"/>
        <w:autoSpaceDN w:val="0"/>
        <w:adjustRightInd w:val="0"/>
        <w:spacing w:after="180" w:line="480" w:lineRule="auto"/>
      </w:pPr>
      <w:r>
        <w:t xml:space="preserve">The </w:t>
      </w:r>
      <w:r w:rsidR="003F24FB">
        <w:rPr>
          <w:lang w:val="en-GB"/>
        </w:rPr>
        <w:t>subsequent</w:t>
      </w:r>
      <w:r>
        <w:t xml:space="preserve"> two chapters pick up </w:t>
      </w:r>
      <w:r w:rsidR="00986960">
        <w:t xml:space="preserve">the thread of the public and private in </w:t>
      </w:r>
      <w:r w:rsidR="000E7013">
        <w:t>regulating</w:t>
      </w:r>
      <w:r w:rsidR="00B624AB">
        <w:t xml:space="preserve"> religious</w:t>
      </w:r>
      <w:r w:rsidR="00986960">
        <w:t xml:space="preserve"> endowments and the place of worship</w:t>
      </w:r>
      <w:r w:rsidR="000E7013">
        <w:t xml:space="preserve"> in India</w:t>
      </w:r>
      <w:r w:rsidR="00986960">
        <w:t xml:space="preserve">. Srikantan argues – convincingly – </w:t>
      </w:r>
      <w:r w:rsidR="004031B8">
        <w:t xml:space="preserve">that the Hindu endowment and its Muslim equivalent, </w:t>
      </w:r>
      <w:r w:rsidR="004031B8" w:rsidRPr="004031B8">
        <w:rPr>
          <w:i/>
          <w:iCs/>
        </w:rPr>
        <w:t>w</w:t>
      </w:r>
      <w:r w:rsidR="003F24FB">
        <w:rPr>
          <w:i/>
          <w:iCs/>
          <w:lang w:val="en-GB"/>
        </w:rPr>
        <w:t>a</w:t>
      </w:r>
      <w:r w:rsidR="004031B8" w:rsidRPr="004031B8">
        <w:rPr>
          <w:i/>
          <w:iCs/>
        </w:rPr>
        <w:t>q</w:t>
      </w:r>
      <w:r w:rsidR="003F24FB">
        <w:rPr>
          <w:i/>
          <w:iCs/>
          <w:lang w:val="en-GB"/>
        </w:rPr>
        <w:t>f</w:t>
      </w:r>
      <w:r w:rsidR="004031B8">
        <w:t xml:space="preserve">, were modelled </w:t>
      </w:r>
      <w:r w:rsidR="00263D7A">
        <w:rPr>
          <w:lang w:val="en-GB"/>
        </w:rPr>
        <w:t>on</w:t>
      </w:r>
      <w:r w:rsidR="004031B8">
        <w:t xml:space="preserve"> </w:t>
      </w:r>
      <w:r w:rsidR="00542CA3">
        <w:t xml:space="preserve">the </w:t>
      </w:r>
      <w:r w:rsidR="004031B8">
        <w:t xml:space="preserve">Christian religious </w:t>
      </w:r>
      <w:r w:rsidR="00532FCB">
        <w:t>trust</w:t>
      </w:r>
      <w:r w:rsidR="004031B8">
        <w:t>.</w:t>
      </w:r>
      <w:r w:rsidR="00532FCB">
        <w:t xml:space="preserve"> </w:t>
      </w:r>
      <w:r w:rsidR="00542CA3">
        <w:t xml:space="preserve">Christianity had </w:t>
      </w:r>
      <w:r w:rsidR="006C0BBA">
        <w:t xml:space="preserve">always had </w:t>
      </w:r>
      <w:r w:rsidR="00542CA3">
        <w:t xml:space="preserve">a difficult relationship with private property, </w:t>
      </w:r>
      <w:r w:rsidR="003F24FB">
        <w:rPr>
          <w:lang w:val="en-GB"/>
        </w:rPr>
        <w:t xml:space="preserve">as </w:t>
      </w:r>
      <w:r w:rsidR="00542CA3">
        <w:t xml:space="preserve">all property </w:t>
      </w:r>
      <w:r w:rsidR="006C0BBA">
        <w:t xml:space="preserve">in the last instance </w:t>
      </w:r>
      <w:r w:rsidR="00542CA3">
        <w:t>belong</w:t>
      </w:r>
      <w:r w:rsidR="003F24FB">
        <w:rPr>
          <w:lang w:val="en-GB"/>
        </w:rPr>
        <w:t>ed</w:t>
      </w:r>
      <w:r w:rsidR="00542CA3">
        <w:t xml:space="preserve"> to God. </w:t>
      </w:r>
      <w:r w:rsidR="00532FCB">
        <w:t>The trust</w:t>
      </w:r>
      <w:r w:rsidR="00E312DC">
        <w:t xml:space="preserve">, concludes Srikantan from the secondary literature, </w:t>
      </w:r>
      <w:r w:rsidR="003F24FB">
        <w:rPr>
          <w:lang w:val="en-GB"/>
        </w:rPr>
        <w:t>allowed</w:t>
      </w:r>
      <w:r w:rsidR="006C0BBA">
        <w:t xml:space="preserve"> </w:t>
      </w:r>
      <w:r w:rsidR="00420C3C">
        <w:t xml:space="preserve">religious </w:t>
      </w:r>
      <w:r w:rsidR="006C0BBA">
        <w:t>order</w:t>
      </w:r>
      <w:r w:rsidR="00542CA3">
        <w:t>s</w:t>
      </w:r>
      <w:r w:rsidR="003215FB">
        <w:t xml:space="preserve"> like the Franciscans </w:t>
      </w:r>
      <w:r w:rsidR="00E312DC">
        <w:t xml:space="preserve">the </w:t>
      </w:r>
      <w:r w:rsidR="00532FCB">
        <w:t>usage</w:t>
      </w:r>
      <w:r w:rsidR="003F24FB">
        <w:rPr>
          <w:lang w:val="en-GB"/>
        </w:rPr>
        <w:t>,</w:t>
      </w:r>
      <w:r w:rsidR="00532FCB">
        <w:t xml:space="preserve"> without ownership</w:t>
      </w:r>
      <w:r w:rsidR="003F24FB">
        <w:rPr>
          <w:lang w:val="en-GB"/>
        </w:rPr>
        <w:t>,</w:t>
      </w:r>
      <w:r w:rsidR="00532FCB">
        <w:t xml:space="preserve"> of private property</w:t>
      </w:r>
      <w:r w:rsidR="003215FB">
        <w:t xml:space="preserve"> (106)</w:t>
      </w:r>
      <w:r w:rsidR="00532FCB">
        <w:t>.</w:t>
      </w:r>
      <w:r w:rsidR="00420C3C">
        <w:t xml:space="preserve"> </w:t>
      </w:r>
      <w:r w:rsidR="00E312DC">
        <w:t>The consequence of its transfer to Indi</w:t>
      </w:r>
      <w:r w:rsidR="00514D44">
        <w:t xml:space="preserve">a </w:t>
      </w:r>
      <w:r w:rsidR="00E312DC">
        <w:t xml:space="preserve">was </w:t>
      </w:r>
      <w:r w:rsidR="00B624AB">
        <w:t xml:space="preserve">an orientation towards two points: </w:t>
      </w:r>
      <w:r w:rsidR="000E7013">
        <w:t xml:space="preserve">the act of </w:t>
      </w:r>
      <w:r w:rsidR="00B624AB">
        <w:t>dedication by the founder</w:t>
      </w:r>
      <w:r w:rsidR="002C69CB">
        <w:t xml:space="preserve"> </w:t>
      </w:r>
      <w:r w:rsidR="00B624AB">
        <w:t>and</w:t>
      </w:r>
      <w:r w:rsidR="00EE16F0">
        <w:t xml:space="preserve"> the</w:t>
      </w:r>
      <w:r w:rsidR="00B624AB">
        <w:t xml:space="preserve"> purpose of a religious endowment. </w:t>
      </w:r>
      <w:r w:rsidR="00CD36D9">
        <w:t>The act of dedication ‘involves divesting property completely of human ownership and vesting the property in the institution or object’</w:t>
      </w:r>
      <w:r w:rsidR="00A63245">
        <w:t xml:space="preserve">, </w:t>
      </w:r>
      <w:r w:rsidR="00CD36D9">
        <w:t>the temple or idol</w:t>
      </w:r>
      <w:r w:rsidR="000F5B9E">
        <w:t xml:space="preserve"> (135)</w:t>
      </w:r>
      <w:r w:rsidR="00CD36D9">
        <w:t xml:space="preserve">. </w:t>
      </w:r>
      <w:r w:rsidR="00A63245">
        <w:t>But where God has complete ownership, t</w:t>
      </w:r>
      <w:r w:rsidR="000E7013">
        <w:t xml:space="preserve">he </w:t>
      </w:r>
      <w:r w:rsidR="002C69CB">
        <w:t xml:space="preserve">Hindu idol </w:t>
      </w:r>
      <w:r w:rsidR="003F24FB">
        <w:rPr>
          <w:lang w:val="en-GB"/>
        </w:rPr>
        <w:t xml:space="preserve">(Ram, in the Ayodhya case) </w:t>
      </w:r>
      <w:r w:rsidR="000E7013">
        <w:lastRenderedPageBreak/>
        <w:t>was made a</w:t>
      </w:r>
      <w:r w:rsidR="002C69CB">
        <w:t xml:space="preserve"> perpetual minor in the law, as a beneficiary of a trust administered in its name by </w:t>
      </w:r>
      <w:r w:rsidR="00EB4734">
        <w:t xml:space="preserve">a </w:t>
      </w:r>
      <w:r w:rsidR="00A63245">
        <w:t xml:space="preserve">guardian, the </w:t>
      </w:r>
      <w:r w:rsidR="000F5B9E">
        <w:t>temple manager</w:t>
      </w:r>
      <w:r w:rsidR="00634C54">
        <w:t>.</w:t>
      </w:r>
      <w:r w:rsidR="00ED3AF4">
        <w:t xml:space="preserve"> The British </w:t>
      </w:r>
      <w:r w:rsidR="006F0AD6">
        <w:t xml:space="preserve">legal </w:t>
      </w:r>
      <w:r w:rsidR="00ED3AF4">
        <w:t>misrecognition of the Hindu temple</w:t>
      </w:r>
      <w:r w:rsidR="003F24FB">
        <w:rPr>
          <w:lang w:val="en-GB"/>
        </w:rPr>
        <w:t xml:space="preserve">, for </w:t>
      </w:r>
      <w:proofErr w:type="spellStart"/>
      <w:r w:rsidR="003F24FB">
        <w:rPr>
          <w:lang w:val="en-GB"/>
        </w:rPr>
        <w:t>Srikantan</w:t>
      </w:r>
      <w:proofErr w:type="spellEnd"/>
      <w:r w:rsidR="003F24FB">
        <w:rPr>
          <w:lang w:val="en-GB"/>
        </w:rPr>
        <w:t>,</w:t>
      </w:r>
      <w:r w:rsidR="00ED3AF4">
        <w:t xml:space="preserve"> </w:t>
      </w:r>
      <w:r w:rsidR="006F0AD6">
        <w:t>explains the</w:t>
      </w:r>
      <w:r w:rsidR="006547E9">
        <w:t xml:space="preserve"> </w:t>
      </w:r>
      <w:r w:rsidR="00634C54">
        <w:t xml:space="preserve">enormous </w:t>
      </w:r>
      <w:r w:rsidR="005F28BD">
        <w:t>amount</w:t>
      </w:r>
      <w:r w:rsidR="004063FF">
        <w:t xml:space="preserve"> </w:t>
      </w:r>
      <w:r w:rsidR="000E7013">
        <w:t xml:space="preserve">of </w:t>
      </w:r>
      <w:r w:rsidR="005F28BD">
        <w:t xml:space="preserve">litigation </w:t>
      </w:r>
      <w:r w:rsidR="000F5B9E">
        <w:t>over</w:t>
      </w:r>
      <w:r w:rsidR="005F28BD">
        <w:t xml:space="preserve"> </w:t>
      </w:r>
      <w:r w:rsidR="00DE759D">
        <w:t xml:space="preserve">mismanagement </w:t>
      </w:r>
      <w:r w:rsidR="003B3DB1">
        <w:t>of temple funds</w:t>
      </w:r>
      <w:r w:rsidR="003F24FB">
        <w:rPr>
          <w:lang w:val="en-GB"/>
        </w:rPr>
        <w:t>,</w:t>
      </w:r>
      <w:r w:rsidR="003B3DB1">
        <w:t xml:space="preserve"> </w:t>
      </w:r>
      <w:r w:rsidR="00634C54">
        <w:t>and</w:t>
      </w:r>
      <w:r w:rsidR="00ED3AF4">
        <w:t xml:space="preserve"> </w:t>
      </w:r>
      <w:r w:rsidR="00300392">
        <w:t xml:space="preserve">fed </w:t>
      </w:r>
      <w:r w:rsidR="005E6DC2">
        <w:t xml:space="preserve">a </w:t>
      </w:r>
      <w:r w:rsidR="00634C54">
        <w:t>narrative of priestly corruption (144</w:t>
      </w:r>
      <w:r w:rsidR="00ED3AF4">
        <w:t>)</w:t>
      </w:r>
      <w:r w:rsidR="002C69CB">
        <w:t>.</w:t>
      </w:r>
    </w:p>
    <w:p w14:paraId="2A502976" w14:textId="27EEC115" w:rsidR="008C3915" w:rsidRDefault="004063FF" w:rsidP="007A7200">
      <w:pPr>
        <w:autoSpaceDE w:val="0"/>
        <w:autoSpaceDN w:val="0"/>
        <w:adjustRightInd w:val="0"/>
        <w:spacing w:after="180" w:line="480" w:lineRule="auto"/>
      </w:pPr>
      <w:r>
        <w:t xml:space="preserve">Dedication in </w:t>
      </w:r>
      <w:r w:rsidR="0076686E">
        <w:t xml:space="preserve">case of </w:t>
      </w:r>
      <w:r>
        <w:t xml:space="preserve">the Muslim </w:t>
      </w:r>
      <w:r w:rsidRPr="004063FF">
        <w:rPr>
          <w:i/>
          <w:iCs/>
        </w:rPr>
        <w:t>waq</w:t>
      </w:r>
      <w:r w:rsidR="003F24FB">
        <w:rPr>
          <w:i/>
          <w:iCs/>
          <w:lang w:val="en-GB"/>
        </w:rPr>
        <w:t>f</w:t>
      </w:r>
      <w:r>
        <w:t xml:space="preserve"> that was codified into law in 1913 </w:t>
      </w:r>
      <w:r w:rsidR="00300392">
        <w:t xml:space="preserve">was </w:t>
      </w:r>
      <w:r w:rsidR="0076686E">
        <w:t xml:space="preserve">more </w:t>
      </w:r>
      <w:r>
        <w:t xml:space="preserve">straightforwardly </w:t>
      </w:r>
      <w:r w:rsidR="00300392">
        <w:t>understood as dedication to God</w:t>
      </w:r>
      <w:r>
        <w:t xml:space="preserve"> (151)</w:t>
      </w:r>
      <w:r w:rsidR="00300392">
        <w:t xml:space="preserve">. </w:t>
      </w:r>
      <w:r>
        <w:t>Here, the issue</w:t>
      </w:r>
      <w:r w:rsidR="0047002C">
        <w:rPr>
          <w:lang w:val="en-GB"/>
        </w:rPr>
        <w:t xml:space="preserve"> </w:t>
      </w:r>
      <w:r>
        <w:t>was</w:t>
      </w:r>
      <w:r w:rsidR="007A7200">
        <w:t xml:space="preserve"> </w:t>
      </w:r>
      <w:r>
        <w:t>purpose</w:t>
      </w:r>
      <w:r w:rsidR="0076686E">
        <w:t xml:space="preserve">, which had to be charitable. Deeply-rooted </w:t>
      </w:r>
      <w:r w:rsidR="00534A37">
        <w:t>Islamic ideas of charity (</w:t>
      </w:r>
      <w:r w:rsidR="00534A37" w:rsidRPr="00534A37">
        <w:rPr>
          <w:i/>
          <w:iCs/>
        </w:rPr>
        <w:t>zakat</w:t>
      </w:r>
      <w:r w:rsidR="00534A37">
        <w:t xml:space="preserve"> and </w:t>
      </w:r>
      <w:r w:rsidR="00534A37" w:rsidRPr="00534A37">
        <w:rPr>
          <w:i/>
          <w:iCs/>
        </w:rPr>
        <w:t>sadaqah</w:t>
      </w:r>
      <w:r w:rsidR="00534A37">
        <w:t xml:space="preserve">) </w:t>
      </w:r>
      <w:r w:rsidR="004031B8">
        <w:t xml:space="preserve">were </w:t>
      </w:r>
      <w:r w:rsidR="00136A03">
        <w:t xml:space="preserve">overwritten </w:t>
      </w:r>
      <w:r w:rsidR="004031B8">
        <w:t xml:space="preserve">by Christian </w:t>
      </w:r>
      <w:r w:rsidR="0076686E">
        <w:t>notions</w:t>
      </w:r>
      <w:r w:rsidR="004031B8">
        <w:t xml:space="preserve"> of charity</w:t>
      </w:r>
      <w:r w:rsidR="0076686E">
        <w:t xml:space="preserve"> as public poor relief</w:t>
      </w:r>
      <w:r w:rsidR="008B464B">
        <w:rPr>
          <w:lang w:val="en-GB"/>
        </w:rPr>
        <w:t xml:space="preserve"> </w:t>
      </w:r>
      <w:r w:rsidR="0076686E">
        <w:t>(161-2)</w:t>
      </w:r>
      <w:r>
        <w:t xml:space="preserve">. </w:t>
      </w:r>
      <w:r w:rsidR="007A7200">
        <w:t xml:space="preserve">Charitable purpose </w:t>
      </w:r>
      <w:r w:rsidR="009B6BB5">
        <w:t xml:space="preserve">hence </w:t>
      </w:r>
      <w:r w:rsidR="007A7200">
        <w:t>defined a place as religious and public (131)</w:t>
      </w:r>
      <w:r w:rsidR="007A7200">
        <w:t xml:space="preserve">, making Muslim </w:t>
      </w:r>
      <w:r w:rsidR="009B6BB5" w:rsidRPr="009B6BB5">
        <w:rPr>
          <w:i/>
          <w:iCs/>
        </w:rPr>
        <w:t>waq</w:t>
      </w:r>
      <w:r w:rsidR="009D2334">
        <w:rPr>
          <w:i/>
          <w:iCs/>
          <w:lang w:val="en-GB"/>
        </w:rPr>
        <w:t>f</w:t>
      </w:r>
      <w:r w:rsidR="009B6BB5" w:rsidRPr="009B6BB5">
        <w:rPr>
          <w:i/>
          <w:iCs/>
        </w:rPr>
        <w:t>s</w:t>
      </w:r>
      <w:r w:rsidR="007A7200">
        <w:t xml:space="preserve"> </w:t>
      </w:r>
      <w:r w:rsidR="00532FCB">
        <w:t xml:space="preserve">founded </w:t>
      </w:r>
      <w:r w:rsidR="00B624AB">
        <w:t xml:space="preserve">to keep property within families subject to </w:t>
      </w:r>
      <w:r w:rsidR="008926D7">
        <w:t xml:space="preserve">allegations of </w:t>
      </w:r>
      <w:r w:rsidR="0047002C">
        <w:rPr>
          <w:lang w:val="en-GB"/>
        </w:rPr>
        <w:t>misuse</w:t>
      </w:r>
      <w:r w:rsidR="008926D7">
        <w:t xml:space="preserve">. </w:t>
      </w:r>
    </w:p>
    <w:p w14:paraId="5B54ED39" w14:textId="77777777" w:rsidR="005B3F9A" w:rsidRDefault="002523E8" w:rsidP="005B3F9A">
      <w:pPr>
        <w:autoSpaceDE w:val="0"/>
        <w:autoSpaceDN w:val="0"/>
        <w:adjustRightInd w:val="0"/>
        <w:spacing w:after="180" w:line="480" w:lineRule="auto"/>
      </w:pPr>
      <w:r>
        <w:t xml:space="preserve">The </w:t>
      </w:r>
      <w:r w:rsidR="00072B5A">
        <w:t xml:space="preserve">final </w:t>
      </w:r>
      <w:r>
        <w:t xml:space="preserve">chapter drives </w:t>
      </w:r>
      <w:r w:rsidR="00072B5A">
        <w:t>Srikantan</w:t>
      </w:r>
      <w:r>
        <w:t xml:space="preserve">’s argument to a resounding conclusion: </w:t>
      </w:r>
      <w:r w:rsidR="00072B5A">
        <w:t>t</w:t>
      </w:r>
      <w:r w:rsidR="00C76063">
        <w:t xml:space="preserve">he problem with </w:t>
      </w:r>
      <w:r w:rsidR="00072B5A">
        <w:t xml:space="preserve">governing </w:t>
      </w:r>
      <w:r w:rsidR="00C76063">
        <w:t xml:space="preserve">religion </w:t>
      </w:r>
      <w:r w:rsidR="007074CD">
        <w:t xml:space="preserve">in </w:t>
      </w:r>
      <w:r w:rsidR="00072B5A">
        <w:t xml:space="preserve">India is the unsolvable </w:t>
      </w:r>
      <w:r w:rsidR="007074CD">
        <w:t>problem of how to define religion</w:t>
      </w:r>
      <w:r w:rsidR="000656E4">
        <w:rPr>
          <w:lang w:val="en-GB"/>
        </w:rPr>
        <w:t xml:space="preserve"> in general, and Hinduism in particular</w:t>
      </w:r>
      <w:r w:rsidR="007074CD">
        <w:t xml:space="preserve">. </w:t>
      </w:r>
      <w:r w:rsidR="003B1C8B">
        <w:t xml:space="preserve">A similar </w:t>
      </w:r>
      <w:r w:rsidR="00CA30ED">
        <w:t>case was</w:t>
      </w:r>
      <w:r w:rsidR="00A11DD8">
        <w:t xml:space="preserve"> </w:t>
      </w:r>
      <w:r w:rsidR="00D710B8">
        <w:t>famous</w:t>
      </w:r>
      <w:r w:rsidR="003B1C8B">
        <w:t xml:space="preserve">ly made </w:t>
      </w:r>
      <w:r w:rsidR="0041318B">
        <w:t xml:space="preserve">by </w:t>
      </w:r>
      <w:r w:rsidR="007074CD">
        <w:t xml:space="preserve">Winifred Sullivan for the American Supreme Court deciding </w:t>
      </w:r>
      <w:r w:rsidR="001D613D">
        <w:t xml:space="preserve">First Amendment </w:t>
      </w:r>
      <w:r w:rsidR="000656E4">
        <w:rPr>
          <w:lang w:val="en-GB"/>
        </w:rPr>
        <w:t xml:space="preserve">(religious freedom) </w:t>
      </w:r>
      <w:r w:rsidR="001D613D">
        <w:t>cases</w:t>
      </w:r>
      <w:r w:rsidR="00CA30ED">
        <w:t xml:space="preserve">, as </w:t>
      </w:r>
      <w:r w:rsidR="00257F11">
        <w:rPr>
          <w:i/>
          <w:iCs/>
        </w:rPr>
        <w:t>The I</w:t>
      </w:r>
      <w:r w:rsidR="00CA30ED" w:rsidRPr="00CA30ED">
        <w:rPr>
          <w:i/>
          <w:iCs/>
        </w:rPr>
        <w:t>mpossibility of Religious Freedom</w:t>
      </w:r>
      <w:r w:rsidR="007074CD">
        <w:t>.</w:t>
      </w:r>
      <w:r w:rsidR="0041318B">
        <w:rPr>
          <w:rStyle w:val="EndnoteReference"/>
        </w:rPr>
        <w:endnoteReference w:id="7"/>
      </w:r>
    </w:p>
    <w:p w14:paraId="2BEE0F7C" w14:textId="7A16175E" w:rsidR="00D4155F" w:rsidRPr="00A71D6F" w:rsidRDefault="00BB427C" w:rsidP="003B0543">
      <w:pPr>
        <w:autoSpaceDE w:val="0"/>
        <w:autoSpaceDN w:val="0"/>
        <w:adjustRightInd w:val="0"/>
        <w:spacing w:after="180" w:line="480" w:lineRule="auto"/>
        <w:rPr>
          <w:lang w:val="en-GB"/>
        </w:rPr>
      </w:pPr>
      <w:r>
        <w:t>Srikantan</w:t>
      </w:r>
      <w:r w:rsidR="00030999">
        <w:t xml:space="preserve"> is clear</w:t>
      </w:r>
      <w:r w:rsidR="00030D63">
        <w:t xml:space="preserve"> about who is </w:t>
      </w:r>
      <w:r w:rsidR="00263D7A">
        <w:rPr>
          <w:lang w:val="en-GB"/>
        </w:rPr>
        <w:t>to</w:t>
      </w:r>
      <w:r w:rsidR="00030D63">
        <w:t xml:space="preserve"> blame</w:t>
      </w:r>
      <w:r w:rsidR="00030999">
        <w:t xml:space="preserve">: the British </w:t>
      </w:r>
      <w:r w:rsidR="00030D63">
        <w:t xml:space="preserve">are </w:t>
      </w:r>
      <w:r w:rsidR="00030999">
        <w:t>significantly called</w:t>
      </w:r>
      <w:r w:rsidR="000B376D">
        <w:rPr>
          <w:lang w:val="en-GB"/>
        </w:rPr>
        <w:t xml:space="preserve"> </w:t>
      </w:r>
      <w:r w:rsidR="00030999">
        <w:t>‘the coloniser</w:t>
      </w:r>
      <w:r w:rsidR="00030D63">
        <w:t>’</w:t>
      </w:r>
      <w:r w:rsidR="00030999">
        <w:t xml:space="preserve"> throughout</w:t>
      </w:r>
      <w:r w:rsidR="000B376D">
        <w:rPr>
          <w:lang w:val="en-GB"/>
        </w:rPr>
        <w:t xml:space="preserve"> the book</w:t>
      </w:r>
      <w:r w:rsidR="00030999">
        <w:t>.</w:t>
      </w:r>
      <w:r w:rsidR="00FE10A5">
        <w:t xml:space="preserve"> Yet there are several objections</w:t>
      </w:r>
      <w:r w:rsidR="002C0F18">
        <w:t xml:space="preserve"> to</w:t>
      </w:r>
      <w:r w:rsidR="00426BBE">
        <w:t>,</w:t>
      </w:r>
      <w:r w:rsidR="002C0F18">
        <w:t xml:space="preserve"> or </w:t>
      </w:r>
      <w:r w:rsidR="00426BBE">
        <w:t>moderations</w:t>
      </w:r>
      <w:r w:rsidR="00FE10A5">
        <w:t xml:space="preserve"> </w:t>
      </w:r>
      <w:r w:rsidR="002C0F18">
        <w:t>of</w:t>
      </w:r>
      <w:r w:rsidR="00426BBE">
        <w:t>,</w:t>
      </w:r>
      <w:r w:rsidR="00FE10A5">
        <w:t xml:space="preserve"> this line of argument</w:t>
      </w:r>
      <w:r w:rsidR="00426BBE">
        <w:t>.</w:t>
      </w:r>
      <w:r w:rsidR="00BD02AF">
        <w:t xml:space="preserve"> </w:t>
      </w:r>
      <w:r w:rsidR="00BD02AF">
        <w:t xml:space="preserve">Srikantan falls into the </w:t>
      </w:r>
      <w:r w:rsidR="00BD02AF" w:rsidRPr="00BA6465">
        <w:t>diffusionist</w:t>
      </w:r>
      <w:r w:rsidR="00BD02AF" w:rsidRPr="000A2638">
        <w:t xml:space="preserve"> </w:t>
      </w:r>
      <w:r w:rsidR="00BD02AF">
        <w:t>camp in which origins (of ‘</w:t>
      </w:r>
      <w:r w:rsidR="00BD02AF" w:rsidRPr="000A2638">
        <w:t>religion</w:t>
      </w:r>
      <w:r w:rsidR="00BD02AF">
        <w:t xml:space="preserve">’, law) </w:t>
      </w:r>
      <w:r w:rsidR="00BD02AF" w:rsidRPr="000A2638">
        <w:t xml:space="preserve">neatly </w:t>
      </w:r>
      <w:r w:rsidR="00BD02AF">
        <w:t>originate in Europe</w:t>
      </w:r>
      <w:r w:rsidR="00BD02AF" w:rsidRPr="000A2638">
        <w:t>.</w:t>
      </w:r>
      <w:r w:rsidR="00BD02AF">
        <w:t xml:space="preserve"> </w:t>
      </w:r>
      <w:r w:rsidR="00FB6C80">
        <w:t>But</w:t>
      </w:r>
      <w:r w:rsidR="00FE7499">
        <w:rPr>
          <w:lang w:val="en-GB"/>
        </w:rPr>
        <w:t xml:space="preserve"> </w:t>
      </w:r>
      <w:r w:rsidR="00AF5B5C">
        <w:t>the</w:t>
      </w:r>
      <w:r w:rsidR="00C82209">
        <w:t xml:space="preserve"> constructivist account</w:t>
      </w:r>
      <w:r w:rsidR="005F3D1A">
        <w:t xml:space="preserve"> </w:t>
      </w:r>
      <w:r w:rsidR="00C82209">
        <w:t xml:space="preserve">of </w:t>
      </w:r>
      <w:r w:rsidR="00426BBE">
        <w:t>‘</w:t>
      </w:r>
      <w:r w:rsidR="00C82209">
        <w:t>religion</w:t>
      </w:r>
      <w:r w:rsidR="00426BBE">
        <w:t>’</w:t>
      </w:r>
      <w:r w:rsidR="00C82209">
        <w:t xml:space="preserve"> </w:t>
      </w:r>
      <w:r w:rsidR="00A8625F">
        <w:t xml:space="preserve">cannot account for why Hindu elites would embrace </w:t>
      </w:r>
      <w:r w:rsidR="00D2166C">
        <w:t>‘</w:t>
      </w:r>
      <w:r w:rsidR="000A2638">
        <w:t xml:space="preserve"> </w:t>
      </w:r>
      <w:r w:rsidR="005B3F1B">
        <w:t>Hinduism</w:t>
      </w:r>
      <w:r w:rsidR="00D2166C">
        <w:t>’</w:t>
      </w:r>
      <w:r w:rsidR="005B3F1B">
        <w:t xml:space="preserve"> if</w:t>
      </w:r>
      <w:r w:rsidR="00DE7683">
        <w:t xml:space="preserve"> it was </w:t>
      </w:r>
      <w:r w:rsidR="00D44A6F">
        <w:t xml:space="preserve">so </w:t>
      </w:r>
      <w:r w:rsidR="00D07814">
        <w:t xml:space="preserve">blatantly </w:t>
      </w:r>
      <w:r w:rsidR="00DC55F7">
        <w:t>alien</w:t>
      </w:r>
      <w:r w:rsidR="00D2166C">
        <w:t>, Christian even</w:t>
      </w:r>
      <w:r w:rsidR="000A2638">
        <w:t>.</w:t>
      </w:r>
      <w:r w:rsidR="003B0543">
        <w:rPr>
          <w:lang w:val="en-GB"/>
        </w:rPr>
        <w:t xml:space="preserve"> </w:t>
      </w:r>
      <w:r w:rsidR="003B0543">
        <w:t>Rather than viewing Christianity as the only ‘religion’ to fit the name, i</w:t>
      </w:r>
      <w:r w:rsidR="003B0543" w:rsidRPr="000A2638">
        <w:t xml:space="preserve">t appears more </w:t>
      </w:r>
      <w:r w:rsidR="003B0543">
        <w:t>plausible</w:t>
      </w:r>
      <w:r w:rsidR="003B0543" w:rsidRPr="000A2638">
        <w:t xml:space="preserve"> </w:t>
      </w:r>
      <w:r w:rsidR="003B0543">
        <w:t xml:space="preserve">to </w:t>
      </w:r>
      <w:r w:rsidR="003B0543" w:rsidRPr="000A2638">
        <w:t xml:space="preserve">view </w:t>
      </w:r>
      <w:r w:rsidR="003B0543">
        <w:t>the non-European ‘rest’</w:t>
      </w:r>
      <w:r w:rsidR="003B0543" w:rsidRPr="000A2638">
        <w:t xml:space="preserve"> as </w:t>
      </w:r>
      <w:r w:rsidR="003B0543">
        <w:t>a major</w:t>
      </w:r>
      <w:r w:rsidR="003B0543" w:rsidRPr="000A2638">
        <w:t xml:space="preserve"> force behind </w:t>
      </w:r>
      <w:r w:rsidR="003B0543">
        <w:t xml:space="preserve">the </w:t>
      </w:r>
      <w:r w:rsidR="003B0543" w:rsidRPr="000A2638">
        <w:t>pluralis</w:t>
      </w:r>
      <w:r w:rsidR="003B0543">
        <w:t>ation of</w:t>
      </w:r>
      <w:r w:rsidR="003B0543" w:rsidRPr="000A2638">
        <w:t xml:space="preserve"> ‘religion’</w:t>
      </w:r>
      <w:r w:rsidR="003B0543">
        <w:t xml:space="preserve"> at the end of the nineteenth century.</w:t>
      </w:r>
      <w:r w:rsidR="003B0543">
        <w:rPr>
          <w:lang w:val="en-GB"/>
        </w:rPr>
        <w:t xml:space="preserve"> </w:t>
      </w:r>
      <w:r w:rsidR="003D26B1">
        <w:t xml:space="preserve">It is striking that </w:t>
      </w:r>
      <w:r w:rsidR="000B1385">
        <w:t xml:space="preserve">Srikantan does not discuss </w:t>
      </w:r>
      <w:r w:rsidR="007D3071">
        <w:t>neo-Vedantism</w:t>
      </w:r>
      <w:r w:rsidR="00AC23DF">
        <w:t xml:space="preserve"> (monism)</w:t>
      </w:r>
      <w:r w:rsidR="000B1385">
        <w:t xml:space="preserve">, the major </w:t>
      </w:r>
      <w:r w:rsidR="00D44A6F">
        <w:t>theological current within nineteenth-century Hinduism</w:t>
      </w:r>
      <w:r w:rsidR="004C1FB2">
        <w:t xml:space="preserve">, </w:t>
      </w:r>
      <w:r w:rsidR="0067738E">
        <w:t>through</w:t>
      </w:r>
      <w:r w:rsidR="004C1FB2">
        <w:t xml:space="preserve"> which </w:t>
      </w:r>
      <w:r w:rsidR="008B464B">
        <w:rPr>
          <w:lang w:val="en-GB"/>
        </w:rPr>
        <w:lastRenderedPageBreak/>
        <w:t>Hindu thinkers</w:t>
      </w:r>
      <w:r w:rsidR="005516F3">
        <w:rPr>
          <w:lang w:val="en-GB"/>
        </w:rPr>
        <w:t xml:space="preserve"> from </w:t>
      </w:r>
      <w:r w:rsidR="004C1FB2">
        <w:t>Rammohan Roy</w:t>
      </w:r>
      <w:r w:rsidR="005516F3">
        <w:rPr>
          <w:lang w:val="en-GB"/>
        </w:rPr>
        <w:t xml:space="preserve"> and</w:t>
      </w:r>
      <w:r w:rsidR="004C62FF">
        <w:rPr>
          <w:lang w:val="en-GB"/>
        </w:rPr>
        <w:t xml:space="preserve"> </w:t>
      </w:r>
      <w:r w:rsidR="004C1FB2">
        <w:t>Swami Vivekananda</w:t>
      </w:r>
      <w:r w:rsidR="005516F3">
        <w:rPr>
          <w:lang w:val="en-GB"/>
        </w:rPr>
        <w:t xml:space="preserve"> to India’s second President, </w:t>
      </w:r>
      <w:proofErr w:type="spellStart"/>
      <w:r w:rsidR="004C62FF">
        <w:rPr>
          <w:lang w:val="en-GB"/>
        </w:rPr>
        <w:t>Sarv</w:t>
      </w:r>
      <w:r w:rsidR="005516F3">
        <w:rPr>
          <w:lang w:val="en-GB"/>
        </w:rPr>
        <w:t>epalli</w:t>
      </w:r>
      <w:proofErr w:type="spellEnd"/>
      <w:r w:rsidR="004C62FF">
        <w:rPr>
          <w:lang w:val="en-GB"/>
        </w:rPr>
        <w:t xml:space="preserve"> </w:t>
      </w:r>
      <w:r w:rsidR="005516F3">
        <w:rPr>
          <w:lang w:val="en-GB"/>
        </w:rPr>
        <w:t>Radhakrishnan,</w:t>
      </w:r>
      <w:r w:rsidR="004C62FF">
        <w:rPr>
          <w:lang w:val="en-GB"/>
        </w:rPr>
        <w:t xml:space="preserve"> </w:t>
      </w:r>
      <w:r w:rsidR="0067738E">
        <w:t xml:space="preserve">redefined </w:t>
      </w:r>
      <w:r w:rsidR="004B6C0F">
        <w:t xml:space="preserve">what Hinduism means </w:t>
      </w:r>
      <w:r w:rsidR="00176B8A">
        <w:t>to this day</w:t>
      </w:r>
      <w:r w:rsidR="004B6C0F">
        <w:t>.</w:t>
      </w:r>
      <w:r w:rsidR="003B0543">
        <w:rPr>
          <w:lang w:val="en-GB"/>
        </w:rPr>
        <w:t xml:space="preserve"> </w:t>
      </w:r>
      <w:proofErr w:type="spellStart"/>
      <w:r w:rsidR="003372C7">
        <w:rPr>
          <w:lang w:val="en-GB"/>
        </w:rPr>
        <w:t>Srikantan’s</w:t>
      </w:r>
      <w:proofErr w:type="spellEnd"/>
      <w:r w:rsidR="003372C7">
        <w:rPr>
          <w:lang w:val="en-GB"/>
        </w:rPr>
        <w:t xml:space="preserve"> line of reasoning cannot explain </w:t>
      </w:r>
      <w:r w:rsidR="003B0543">
        <w:rPr>
          <w:lang w:val="en-GB"/>
        </w:rPr>
        <w:t xml:space="preserve">the </w:t>
      </w:r>
      <w:r w:rsidR="008B464B">
        <w:rPr>
          <w:lang w:val="en-GB"/>
        </w:rPr>
        <w:t xml:space="preserve">1995 </w:t>
      </w:r>
      <w:r w:rsidR="003B0543">
        <w:rPr>
          <w:lang w:val="en-GB"/>
        </w:rPr>
        <w:t xml:space="preserve">Indian Supreme Court </w:t>
      </w:r>
      <w:r w:rsidR="004552BE">
        <w:rPr>
          <w:lang w:val="en-GB"/>
        </w:rPr>
        <w:t>rul</w:t>
      </w:r>
      <w:r w:rsidR="009D6634">
        <w:rPr>
          <w:lang w:val="en-GB"/>
        </w:rPr>
        <w:t xml:space="preserve">ing </w:t>
      </w:r>
      <w:r w:rsidR="003B0543">
        <w:rPr>
          <w:lang w:val="en-GB"/>
        </w:rPr>
        <w:t xml:space="preserve">that Hindutva is </w:t>
      </w:r>
      <w:r w:rsidR="0068700C">
        <w:rPr>
          <w:lang w:val="en-GB"/>
        </w:rPr>
        <w:t>the Indian</w:t>
      </w:r>
      <w:r w:rsidR="00E82AD9">
        <w:rPr>
          <w:lang w:val="en-GB"/>
        </w:rPr>
        <w:t xml:space="preserve"> </w:t>
      </w:r>
      <w:r w:rsidR="003128DA">
        <w:rPr>
          <w:lang w:val="en-GB"/>
        </w:rPr>
        <w:t>‘</w:t>
      </w:r>
      <w:r w:rsidR="003B0543">
        <w:rPr>
          <w:lang w:val="en-GB"/>
        </w:rPr>
        <w:t>way of life</w:t>
      </w:r>
      <w:r w:rsidR="003128DA">
        <w:rPr>
          <w:lang w:val="en-GB"/>
        </w:rPr>
        <w:t>’</w:t>
      </w:r>
      <w:r w:rsidR="00E82AD9">
        <w:rPr>
          <w:lang w:val="en-GB"/>
        </w:rPr>
        <w:t>, not a religion</w:t>
      </w:r>
      <w:r w:rsidR="001E32AD">
        <w:rPr>
          <w:lang w:val="en-GB"/>
        </w:rPr>
        <w:t xml:space="preserve">, </w:t>
      </w:r>
      <w:r w:rsidR="003128DA">
        <w:rPr>
          <w:lang w:val="en-GB"/>
        </w:rPr>
        <w:t xml:space="preserve">and recourse to it by political parties thus secular. </w:t>
      </w:r>
      <w:r w:rsidR="00A178EB">
        <w:rPr>
          <w:lang w:val="en-GB"/>
        </w:rPr>
        <w:t>Yet t</w:t>
      </w:r>
      <w:r w:rsidR="009D6634">
        <w:rPr>
          <w:lang w:val="en-GB"/>
        </w:rPr>
        <w:t>his</w:t>
      </w:r>
      <w:r w:rsidR="00CC664D">
        <w:rPr>
          <w:lang w:val="en-GB"/>
        </w:rPr>
        <w:t xml:space="preserve"> ruling</w:t>
      </w:r>
      <w:r w:rsidR="003128DA">
        <w:rPr>
          <w:lang w:val="en-GB"/>
        </w:rPr>
        <w:t xml:space="preserve"> </w:t>
      </w:r>
      <w:r w:rsidR="003B0543">
        <w:rPr>
          <w:lang w:val="en-GB"/>
        </w:rPr>
        <w:t xml:space="preserve">would have made Hindutva’s arch-theorist V. D. </w:t>
      </w:r>
      <w:r w:rsidR="00187CB3">
        <w:t xml:space="preserve">Savarkar </w:t>
      </w:r>
      <w:r w:rsidR="003B0543">
        <w:rPr>
          <w:lang w:val="en-GB"/>
        </w:rPr>
        <w:t xml:space="preserve">proud, </w:t>
      </w:r>
      <w:r w:rsidR="003128DA">
        <w:rPr>
          <w:lang w:val="en-GB"/>
        </w:rPr>
        <w:t xml:space="preserve">who first promulgated </w:t>
      </w:r>
      <w:r w:rsidR="0068700C">
        <w:rPr>
          <w:lang w:val="en-GB"/>
        </w:rPr>
        <w:t>that</w:t>
      </w:r>
      <w:r w:rsidR="00DB377D">
        <w:rPr>
          <w:lang w:val="en-GB"/>
        </w:rPr>
        <w:t xml:space="preserve"> </w:t>
      </w:r>
      <w:r w:rsidR="0068700C">
        <w:rPr>
          <w:lang w:val="en-GB"/>
        </w:rPr>
        <w:t>the Hindu</w:t>
      </w:r>
      <w:r w:rsidR="00DB377D">
        <w:rPr>
          <w:lang w:val="en-GB"/>
        </w:rPr>
        <w:t xml:space="preserve"> </w:t>
      </w:r>
      <w:r w:rsidR="005F692C">
        <w:rPr>
          <w:lang w:val="en-GB"/>
        </w:rPr>
        <w:t xml:space="preserve">subject </w:t>
      </w:r>
      <w:r w:rsidR="00DB377D">
        <w:rPr>
          <w:lang w:val="en-GB"/>
        </w:rPr>
        <w:t xml:space="preserve">is not defined by </w:t>
      </w:r>
      <w:r w:rsidR="00A178EB">
        <w:rPr>
          <w:lang w:val="en-GB"/>
        </w:rPr>
        <w:t>Hinduism (</w:t>
      </w:r>
      <w:r w:rsidR="00DB377D">
        <w:rPr>
          <w:lang w:val="en-GB"/>
        </w:rPr>
        <w:t>the Hindu religion</w:t>
      </w:r>
      <w:r w:rsidR="00A178EB">
        <w:rPr>
          <w:lang w:val="en-GB"/>
        </w:rPr>
        <w:t xml:space="preserve">) </w:t>
      </w:r>
      <w:r w:rsidR="00DB377D">
        <w:rPr>
          <w:lang w:val="en-GB"/>
        </w:rPr>
        <w:t xml:space="preserve">but by Hindutva, </w:t>
      </w:r>
      <w:r w:rsidR="00A178EB">
        <w:rPr>
          <w:lang w:val="en-GB"/>
        </w:rPr>
        <w:t xml:space="preserve">or </w:t>
      </w:r>
      <w:r w:rsidR="00DB377D">
        <w:rPr>
          <w:lang w:val="en-GB"/>
        </w:rPr>
        <w:t xml:space="preserve">Hindu-ness, in </w:t>
      </w:r>
      <w:r w:rsidR="0068700C">
        <w:rPr>
          <w:i/>
          <w:iCs/>
          <w:lang w:val="en-GB"/>
        </w:rPr>
        <w:t>Essentials of H</w:t>
      </w:r>
      <w:r w:rsidR="00187CB3" w:rsidRPr="00187CB3">
        <w:rPr>
          <w:i/>
          <w:iCs/>
        </w:rPr>
        <w:t>indutva</w:t>
      </w:r>
      <w:r w:rsidR="00187CB3">
        <w:t xml:space="preserve"> (1923)</w:t>
      </w:r>
      <w:r w:rsidR="00884BBF">
        <w:t xml:space="preserve">. </w:t>
      </w:r>
      <w:r w:rsidR="005F692C">
        <w:rPr>
          <w:lang w:val="en-GB"/>
        </w:rPr>
        <w:t>T</w:t>
      </w:r>
      <w:r w:rsidR="00147B3E">
        <w:rPr>
          <w:lang w:val="en-GB"/>
        </w:rPr>
        <w:t>his f</w:t>
      </w:r>
      <w:r w:rsidR="00A71D6F">
        <w:rPr>
          <w:lang w:val="en-GB"/>
        </w:rPr>
        <w:t>ailure to engage with</w:t>
      </w:r>
      <w:r w:rsidR="00764823">
        <w:rPr>
          <w:lang w:val="en-GB"/>
        </w:rPr>
        <w:t xml:space="preserve"> </w:t>
      </w:r>
      <w:r w:rsidR="00A71D6F">
        <w:rPr>
          <w:lang w:val="en-GB"/>
        </w:rPr>
        <w:t xml:space="preserve">Hindu </w:t>
      </w:r>
      <w:r w:rsidR="00FE1744">
        <w:rPr>
          <w:lang w:val="en-GB"/>
        </w:rPr>
        <w:t>nationalism</w:t>
      </w:r>
      <w:r w:rsidR="005F692C">
        <w:rPr>
          <w:lang w:val="en-GB"/>
        </w:rPr>
        <w:t>, more than anything,</w:t>
      </w:r>
      <w:r w:rsidR="00FE1744">
        <w:rPr>
          <w:lang w:val="en-GB"/>
        </w:rPr>
        <w:t xml:space="preserve"> </w:t>
      </w:r>
      <w:r w:rsidR="00147B3E">
        <w:rPr>
          <w:lang w:val="en-GB"/>
        </w:rPr>
        <w:t>makes</w:t>
      </w:r>
      <w:r w:rsidR="005D439E">
        <w:rPr>
          <w:lang w:val="en-GB"/>
        </w:rPr>
        <w:t xml:space="preserve"> visible</w:t>
      </w:r>
      <w:r w:rsidR="00FF4781">
        <w:rPr>
          <w:lang w:val="en-GB"/>
        </w:rPr>
        <w:t xml:space="preserve"> the lop-sidedness of </w:t>
      </w:r>
      <w:proofErr w:type="spellStart"/>
      <w:r w:rsidR="00086298">
        <w:rPr>
          <w:lang w:val="en-GB"/>
        </w:rPr>
        <w:t>Srikantan’s</w:t>
      </w:r>
      <w:proofErr w:type="spellEnd"/>
      <w:r w:rsidR="00FF4781">
        <w:rPr>
          <w:lang w:val="en-GB"/>
        </w:rPr>
        <w:t xml:space="preserve"> </w:t>
      </w:r>
      <w:r w:rsidR="005D439E">
        <w:rPr>
          <w:lang w:val="en-GB"/>
        </w:rPr>
        <w:t xml:space="preserve">argument about the </w:t>
      </w:r>
      <w:r w:rsidR="00764823">
        <w:rPr>
          <w:lang w:val="en-GB"/>
        </w:rPr>
        <w:t>European paternit</w:t>
      </w:r>
      <w:r w:rsidR="005D439E">
        <w:rPr>
          <w:lang w:val="en-GB"/>
        </w:rPr>
        <w:t>y</w:t>
      </w:r>
      <w:r w:rsidR="00764823">
        <w:rPr>
          <w:lang w:val="en-GB"/>
        </w:rPr>
        <w:t xml:space="preserve"> of India</w:t>
      </w:r>
      <w:r w:rsidR="005F692C">
        <w:rPr>
          <w:lang w:val="en-GB"/>
        </w:rPr>
        <w:t>’s</w:t>
      </w:r>
      <w:r w:rsidR="00764823">
        <w:rPr>
          <w:lang w:val="en-GB"/>
        </w:rPr>
        <w:t xml:space="preserve"> </w:t>
      </w:r>
      <w:r w:rsidR="005F692C">
        <w:rPr>
          <w:lang w:val="en-GB"/>
        </w:rPr>
        <w:t>legal trouble with religion</w:t>
      </w:r>
      <w:r w:rsidR="00A71D6F">
        <w:rPr>
          <w:lang w:val="en-GB"/>
        </w:rPr>
        <w:t>.</w:t>
      </w:r>
    </w:p>
    <w:p w14:paraId="69242370" w14:textId="241061DF" w:rsidR="009265C6" w:rsidRDefault="004C5747" w:rsidP="005B3CB3">
      <w:pPr>
        <w:autoSpaceDE w:val="0"/>
        <w:autoSpaceDN w:val="0"/>
        <w:adjustRightInd w:val="0"/>
        <w:spacing w:after="180" w:line="480" w:lineRule="auto"/>
      </w:pPr>
      <w:r>
        <w:rPr>
          <w:lang w:val="en-GB"/>
        </w:rPr>
        <w:t>Readers</w:t>
      </w:r>
      <w:r w:rsidR="007629A9">
        <w:t xml:space="preserve"> may object to the </w:t>
      </w:r>
      <w:r w:rsidR="00D4155F">
        <w:t xml:space="preserve">relentless </w:t>
      </w:r>
      <w:r w:rsidR="007629A9">
        <w:t>quest for</w:t>
      </w:r>
      <w:r w:rsidR="00D4155F">
        <w:t xml:space="preserve"> </w:t>
      </w:r>
      <w:r w:rsidR="007629A9">
        <w:t>origins</w:t>
      </w:r>
      <w:r w:rsidR="00D4155F">
        <w:t xml:space="preserve">, which Srikantan paradoxically shares with </w:t>
      </w:r>
      <w:r w:rsidR="005B5112">
        <w:rPr>
          <w:lang w:val="en-GB"/>
        </w:rPr>
        <w:t xml:space="preserve">the </w:t>
      </w:r>
      <w:r w:rsidR="00D4155F">
        <w:t>Orientalism</w:t>
      </w:r>
      <w:r w:rsidR="005B5112">
        <w:rPr>
          <w:lang w:val="en-GB"/>
        </w:rPr>
        <w:t xml:space="preserve"> that she criticises</w:t>
      </w:r>
      <w:r w:rsidR="00D4155F">
        <w:t xml:space="preserve">. </w:t>
      </w:r>
      <w:r w:rsidR="00DC4325">
        <w:t>Holding</w:t>
      </w:r>
      <w:r w:rsidR="00E122CB">
        <w:t xml:space="preserve"> </w:t>
      </w:r>
      <w:r w:rsidR="007629A9">
        <w:t xml:space="preserve">Foucault’s </w:t>
      </w:r>
      <w:r w:rsidR="00275FF9">
        <w:t xml:space="preserve">concept of </w:t>
      </w:r>
      <w:r w:rsidR="007629A9">
        <w:t>‘genealogy’</w:t>
      </w:r>
      <w:r w:rsidR="00D64F4F">
        <w:t xml:space="preserve"> against Srikantan’s self-professed ‘</w:t>
      </w:r>
      <w:r w:rsidR="00E122CB">
        <w:t>archaeology</w:t>
      </w:r>
      <w:r w:rsidR="00D64F4F">
        <w:t>’</w:t>
      </w:r>
      <w:r w:rsidR="004169DB">
        <w:t xml:space="preserve">, </w:t>
      </w:r>
      <w:r w:rsidR="005B5112">
        <w:rPr>
          <w:lang w:val="en-GB"/>
        </w:rPr>
        <w:t xml:space="preserve">however, </w:t>
      </w:r>
      <w:r w:rsidR="00E122CB">
        <w:t>one finds that there a</w:t>
      </w:r>
      <w:r w:rsidR="004169DB">
        <w:t>re no neat origin</w:t>
      </w:r>
      <w:r w:rsidR="00E122CB">
        <w:t>s</w:t>
      </w:r>
      <w:r w:rsidR="00DD43C9">
        <w:t xml:space="preserve">, only </w:t>
      </w:r>
      <w:r w:rsidR="00CE5B15">
        <w:t>endless departures</w:t>
      </w:r>
      <w:r w:rsidR="00214556">
        <w:t>.</w:t>
      </w:r>
      <w:r w:rsidR="002731E8">
        <w:t xml:space="preserve"> </w:t>
      </w:r>
      <w:r w:rsidR="00A8318C">
        <w:t>‘In a family tree, there are more ancestors the further you go back in time,’</w:t>
      </w:r>
      <w:r w:rsidR="00A8318C">
        <w:rPr>
          <w:rStyle w:val="EndnoteReference"/>
        </w:rPr>
        <w:endnoteReference w:id="8"/>
      </w:r>
      <w:r w:rsidR="00A8318C">
        <w:t xml:space="preserve"> </w:t>
      </w:r>
      <w:r w:rsidR="006C0895">
        <w:t xml:space="preserve">and </w:t>
      </w:r>
      <w:r w:rsidR="00A8318C">
        <w:t xml:space="preserve">besides, the remotest ancestors may not be the decisive ones. </w:t>
      </w:r>
      <w:r w:rsidR="00D2741A">
        <w:t>Nevertheless,</w:t>
      </w:r>
      <w:r w:rsidR="00214556">
        <w:t xml:space="preserve"> </w:t>
      </w:r>
      <w:r w:rsidR="00D64F4F">
        <w:t>Srikantan</w:t>
      </w:r>
      <w:r w:rsidR="00DD43C9">
        <w:t>’</w:t>
      </w:r>
      <w:r w:rsidR="00D64F4F">
        <w:t>s</w:t>
      </w:r>
      <w:r w:rsidR="004169DB">
        <w:t xml:space="preserve"> </w:t>
      </w:r>
      <w:r w:rsidR="00D64F4F">
        <w:t>ability</w:t>
      </w:r>
      <w:r w:rsidR="004169DB">
        <w:t xml:space="preserve"> to draw Christian theology </w:t>
      </w:r>
      <w:r w:rsidR="00DD43C9">
        <w:t xml:space="preserve">and medieval law into </w:t>
      </w:r>
      <w:r w:rsidR="00147B3E">
        <w:rPr>
          <w:lang w:val="en-GB"/>
        </w:rPr>
        <w:t>Indian legal history</w:t>
      </w:r>
      <w:r w:rsidR="009265C6">
        <w:t xml:space="preserve"> </w:t>
      </w:r>
      <w:r w:rsidR="004350AE">
        <w:t>is a huge achievement</w:t>
      </w:r>
      <w:r w:rsidR="001B2C15">
        <w:t xml:space="preserve"> and </w:t>
      </w:r>
      <w:r w:rsidR="007E4542">
        <w:rPr>
          <w:lang w:val="en-GB"/>
        </w:rPr>
        <w:t>makes for</w:t>
      </w:r>
      <w:r w:rsidR="00B73594">
        <w:rPr>
          <w:lang w:val="en-GB"/>
        </w:rPr>
        <w:t xml:space="preserve"> boldly original </w:t>
      </w:r>
      <w:r w:rsidR="007E4542">
        <w:rPr>
          <w:lang w:val="en-GB"/>
        </w:rPr>
        <w:t>reading</w:t>
      </w:r>
      <w:r w:rsidR="00B73594">
        <w:rPr>
          <w:lang w:val="en-GB"/>
        </w:rPr>
        <w:t xml:space="preserve">. </w:t>
      </w:r>
      <w:r w:rsidR="00DC7196">
        <w:rPr>
          <w:lang w:val="en-GB"/>
        </w:rPr>
        <w:t xml:space="preserve">This bold move by an Indian legal scholar </w:t>
      </w:r>
      <w:r w:rsidR="00C37B03">
        <w:t xml:space="preserve">is </w:t>
      </w:r>
      <w:r w:rsidR="00671884">
        <w:t>rewarded.</w:t>
      </w:r>
      <w:r w:rsidR="001D6DFE">
        <w:t xml:space="preserve"> </w:t>
      </w:r>
      <w:proofErr w:type="spellStart"/>
      <w:r w:rsidR="00DC7196">
        <w:rPr>
          <w:lang w:val="en-GB"/>
        </w:rPr>
        <w:t>Srikantan’s</w:t>
      </w:r>
      <w:proofErr w:type="spellEnd"/>
      <w:r w:rsidR="00C37B03">
        <w:t xml:space="preserve"> b</w:t>
      </w:r>
      <w:r w:rsidR="001D6DFE">
        <w:t xml:space="preserve">ook </w:t>
      </w:r>
      <w:r w:rsidR="005E53E6">
        <w:t>w</w:t>
      </w:r>
      <w:r w:rsidR="00495380">
        <w:t xml:space="preserve">ill galvanise the discussion on </w:t>
      </w:r>
      <w:r w:rsidR="005B3CB3">
        <w:t>religion and the law in India</w:t>
      </w:r>
      <w:r w:rsidR="00495380">
        <w:t>.</w:t>
      </w:r>
    </w:p>
    <w:p w14:paraId="07BDC4F3" w14:textId="3F998D26" w:rsidR="00916D50" w:rsidRDefault="0050061D" w:rsidP="0050061D">
      <w:pPr>
        <w:autoSpaceDE w:val="0"/>
        <w:autoSpaceDN w:val="0"/>
        <w:adjustRightInd w:val="0"/>
        <w:spacing w:after="180" w:line="480" w:lineRule="auto"/>
      </w:pPr>
      <w:r>
        <w:t xml:space="preserve">Despite its lawyerly clear language, </w:t>
      </w:r>
      <w:r w:rsidRPr="00D115B3">
        <w:rPr>
          <w:i/>
          <w:iCs/>
        </w:rPr>
        <w:t>Identifying and Regulating Religion in India</w:t>
      </w:r>
      <w:r>
        <w:t xml:space="preserve"> is not </w:t>
      </w:r>
      <w:r w:rsidR="00F54F85">
        <w:rPr>
          <w:lang w:val="en-GB"/>
        </w:rPr>
        <w:t xml:space="preserve">an </w:t>
      </w:r>
      <w:r>
        <w:t>easy read</w:t>
      </w:r>
      <w:r w:rsidR="00066D17">
        <w:t xml:space="preserve">. </w:t>
      </w:r>
      <w:r w:rsidR="005E61FF">
        <w:t>At times c</w:t>
      </w:r>
      <w:r w:rsidR="00354C0C">
        <w:t>ompromising</w:t>
      </w:r>
      <w:r>
        <w:t xml:space="preserve"> the lucidity of the argument are </w:t>
      </w:r>
      <w:r w:rsidR="00A86BE2">
        <w:t>digressions</w:t>
      </w:r>
      <w:r>
        <w:t xml:space="preserve"> (</w:t>
      </w:r>
      <w:r w:rsidR="00A86BE2">
        <w:t xml:space="preserve">on </w:t>
      </w:r>
      <w:r>
        <w:t>the Ten Commandments, the Aryan invasion, Equity, the Lutheran two-kingdoms theory</w:t>
      </w:r>
      <w:r w:rsidR="00A86BE2">
        <w:t>, etc.</w:t>
      </w:r>
      <w:r>
        <w:t>)</w:t>
      </w:r>
      <w:r w:rsidR="00A86BE2">
        <w:t xml:space="preserve">, which </w:t>
      </w:r>
      <w:r w:rsidR="002D09D3">
        <w:t xml:space="preserve">a careful editorial pen might have </w:t>
      </w:r>
      <w:r w:rsidR="005E61FF">
        <w:t>deselected</w:t>
      </w:r>
      <w:r>
        <w:t>.</w:t>
      </w:r>
      <w:r w:rsidR="009265C6">
        <w:t xml:space="preserve"> </w:t>
      </w:r>
      <w:r w:rsidR="005E61FF">
        <w:t xml:space="preserve">They make a challenging book even </w:t>
      </w:r>
      <w:r w:rsidR="00354C0C">
        <w:t>dens</w:t>
      </w:r>
      <w:r w:rsidR="005E61FF">
        <w:t>er</w:t>
      </w:r>
      <w:r w:rsidR="00916D50">
        <w:rPr>
          <w:lang w:val="en-GB"/>
        </w:rPr>
        <w:t xml:space="preserve">. The </w:t>
      </w:r>
      <w:r w:rsidR="005E61FF">
        <w:t xml:space="preserve">reading experience </w:t>
      </w:r>
      <w:r w:rsidR="001B2C15">
        <w:t xml:space="preserve">is </w:t>
      </w:r>
      <w:r w:rsidR="009265C6">
        <w:t xml:space="preserve">not helped by </w:t>
      </w:r>
      <w:r w:rsidR="005C5C31">
        <w:rPr>
          <w:lang w:val="en-GB"/>
        </w:rPr>
        <w:t xml:space="preserve">a </w:t>
      </w:r>
      <w:r w:rsidR="009265C6">
        <w:t xml:space="preserve">sloppy copy-editing job by </w:t>
      </w:r>
      <w:r w:rsidR="009265C6">
        <w:t>Cambridge University Press</w:t>
      </w:r>
      <w:r w:rsidR="009265C6">
        <w:t xml:space="preserve">. </w:t>
      </w:r>
    </w:p>
    <w:p w14:paraId="72EA5FDC" w14:textId="70BB1EC9" w:rsidR="006C1487" w:rsidRPr="00916D50" w:rsidRDefault="00916D50" w:rsidP="000906B8">
      <w:pPr>
        <w:autoSpaceDE w:val="0"/>
        <w:autoSpaceDN w:val="0"/>
        <w:adjustRightInd w:val="0"/>
        <w:spacing w:after="180" w:line="480" w:lineRule="auto"/>
        <w:rPr>
          <w:lang w:val="en-GB"/>
        </w:rPr>
      </w:pPr>
      <w:r>
        <w:lastRenderedPageBreak/>
        <w:t>The law is complicated, especially so in India. Srikantan is hazy on the origins of colonial jurisdiction and the development of the juridical system in India. She is hazy on historical causation, preferring what one might call</w:t>
      </w:r>
      <w:r>
        <w:rPr>
          <w:lang w:val="en-GB"/>
        </w:rPr>
        <w:t xml:space="preserve"> </w:t>
      </w:r>
      <w:r>
        <w:t>‘structures’.</w:t>
      </w:r>
      <w:r>
        <w:rPr>
          <w:lang w:val="en-GB"/>
        </w:rPr>
        <w:t xml:space="preserve"> </w:t>
      </w:r>
      <w:r w:rsidR="009265C6">
        <w:t>There are jumps from eleventh-century Europe straight to the mid-nineteenth century.</w:t>
      </w:r>
      <w:r>
        <w:rPr>
          <w:lang w:val="en-GB"/>
        </w:rPr>
        <w:t xml:space="preserve"> </w:t>
      </w:r>
      <w:r w:rsidR="00C66E79">
        <w:rPr>
          <w:lang w:val="en-GB"/>
        </w:rPr>
        <w:t xml:space="preserve">Some </w:t>
      </w:r>
      <w:r>
        <w:t>readers</w:t>
      </w:r>
      <w:r w:rsidR="00C66E79">
        <w:rPr>
          <w:lang w:val="en-GB"/>
        </w:rPr>
        <w:t>, including the reviewer,</w:t>
      </w:r>
      <w:r>
        <w:t xml:space="preserve"> will require more archival legwork </w:t>
      </w:r>
      <w:r>
        <w:rPr>
          <w:lang w:val="en-GB"/>
        </w:rPr>
        <w:t>to</w:t>
      </w:r>
      <w:r>
        <w:t xml:space="preserve"> connect </w:t>
      </w:r>
      <w:r w:rsidR="004E40C8">
        <w:rPr>
          <w:lang w:val="en-GB"/>
        </w:rPr>
        <w:t>law’s</w:t>
      </w:r>
      <w:r>
        <w:t xml:space="preserve"> Christian deep past to the Indian modern period.</w:t>
      </w:r>
      <w:r>
        <w:rPr>
          <w:lang w:val="en-GB"/>
        </w:rPr>
        <w:t xml:space="preserve"> </w:t>
      </w:r>
      <w:r w:rsidR="005B3CB3">
        <w:t xml:space="preserve">The author </w:t>
      </w:r>
      <w:r w:rsidR="00DA18C9">
        <w:t xml:space="preserve">will not convince every reader of </w:t>
      </w:r>
      <w:r w:rsidR="00971C03">
        <w:t xml:space="preserve">every </w:t>
      </w:r>
      <w:r w:rsidR="004D3B35">
        <w:t xml:space="preserve">minute point of her </w:t>
      </w:r>
      <w:r w:rsidR="000906B8">
        <w:t xml:space="preserve">discussion. </w:t>
      </w:r>
      <w:r w:rsidR="00DA18C9">
        <w:t xml:space="preserve">But I challenge anyone to go away </w:t>
      </w:r>
      <w:r w:rsidR="005F53C1">
        <w:rPr>
          <w:lang w:val="en-GB"/>
        </w:rPr>
        <w:t xml:space="preserve">from </w:t>
      </w:r>
      <w:r w:rsidR="00C66E79">
        <w:rPr>
          <w:lang w:val="en-GB"/>
        </w:rPr>
        <w:t xml:space="preserve">reading </w:t>
      </w:r>
      <w:r w:rsidR="005F53C1">
        <w:rPr>
          <w:lang w:val="en-GB"/>
        </w:rPr>
        <w:t>this book doubting</w:t>
      </w:r>
      <w:r w:rsidR="00A12A3B">
        <w:rPr>
          <w:lang w:val="en-GB"/>
        </w:rPr>
        <w:t xml:space="preserve"> that </w:t>
      </w:r>
      <w:r w:rsidR="0049138B">
        <w:t>Srikantan</w:t>
      </w:r>
      <w:r w:rsidR="00A12A3B">
        <w:rPr>
          <w:lang w:val="en-GB"/>
        </w:rPr>
        <w:t xml:space="preserve"> has a point.</w:t>
      </w:r>
      <w:r w:rsidR="00767DEC">
        <w:t xml:space="preserve"> </w:t>
      </w:r>
    </w:p>
    <w:sectPr w:rsidR="006C1487" w:rsidRPr="00916D50">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DDEB6" w14:textId="77777777" w:rsidR="004A5181" w:rsidRDefault="004A5181" w:rsidP="00DE6DE9">
      <w:r>
        <w:separator/>
      </w:r>
    </w:p>
  </w:endnote>
  <w:endnote w:type="continuationSeparator" w:id="0">
    <w:p w14:paraId="56FAE8FE" w14:textId="77777777" w:rsidR="004A5181" w:rsidRDefault="004A5181" w:rsidP="00DE6DE9">
      <w:r>
        <w:continuationSeparator/>
      </w:r>
    </w:p>
  </w:endnote>
  <w:endnote w:id="1">
    <w:p w14:paraId="44FA54E2" w14:textId="3A55BB23" w:rsidR="006955B3" w:rsidRPr="006955B3" w:rsidRDefault="006955B3" w:rsidP="00857669">
      <w:pPr>
        <w:pStyle w:val="EndnoteText"/>
        <w:spacing w:line="480" w:lineRule="auto"/>
        <w:rPr>
          <w:b/>
          <w:bCs/>
          <w:sz w:val="24"/>
          <w:szCs w:val="24"/>
        </w:rPr>
      </w:pPr>
      <w:r w:rsidRPr="006955B3">
        <w:rPr>
          <w:b/>
          <w:bCs/>
          <w:sz w:val="24"/>
          <w:szCs w:val="24"/>
        </w:rPr>
        <w:t>Notes</w:t>
      </w:r>
    </w:p>
    <w:p w14:paraId="10368EF7" w14:textId="77777777" w:rsidR="006955B3" w:rsidRDefault="006955B3" w:rsidP="00857669">
      <w:pPr>
        <w:pStyle w:val="EndnoteText"/>
        <w:spacing w:line="480" w:lineRule="auto"/>
      </w:pPr>
    </w:p>
    <w:p w14:paraId="08A0D6AC" w14:textId="10AB304A" w:rsidR="00857669" w:rsidRPr="00870C3E" w:rsidRDefault="00857669" w:rsidP="00857669">
      <w:pPr>
        <w:pStyle w:val="EndnoteText"/>
        <w:spacing w:line="480" w:lineRule="auto"/>
      </w:pPr>
      <w:r w:rsidRPr="00A51BDB">
        <w:rPr>
          <w:rStyle w:val="EndnoteReference"/>
        </w:rPr>
        <w:endnoteRef/>
      </w:r>
      <w:r w:rsidRPr="00A51BDB">
        <w:t xml:space="preserve"> </w:t>
      </w:r>
      <w:r w:rsidRPr="00870C3E">
        <w:t xml:space="preserve">Saxena, </w:t>
      </w:r>
      <w:r w:rsidRPr="00870C3E">
        <w:rPr>
          <w:i/>
          <w:iCs/>
        </w:rPr>
        <w:t>Divorce and Democracy</w:t>
      </w:r>
      <w:r w:rsidRPr="00870C3E">
        <w:t>.</w:t>
      </w:r>
    </w:p>
  </w:endnote>
  <w:endnote w:id="2">
    <w:p w14:paraId="5732DD6A" w14:textId="0F8A0ACE" w:rsidR="00A17903" w:rsidRPr="00870C3E" w:rsidRDefault="00A17903" w:rsidP="00A17903">
      <w:pPr>
        <w:pStyle w:val="EndnoteText"/>
        <w:spacing w:line="480" w:lineRule="auto"/>
      </w:pPr>
      <w:r w:rsidRPr="00870C3E">
        <w:rPr>
          <w:rStyle w:val="EndnoteReference"/>
        </w:rPr>
        <w:endnoteRef/>
      </w:r>
      <w:r w:rsidRPr="00870C3E">
        <w:t xml:space="preserve"> Influential in this regard, and cited by </w:t>
      </w:r>
      <w:r w:rsidRPr="00870C3E">
        <w:t>Srikantan herself</w:t>
      </w:r>
      <w:r w:rsidR="00A8625F" w:rsidRPr="00870C3E">
        <w:t xml:space="preserve">, </w:t>
      </w:r>
      <w:r w:rsidRPr="00870C3E">
        <w:t xml:space="preserve">are Masuzawa, </w:t>
      </w:r>
      <w:r w:rsidRPr="00870C3E">
        <w:rPr>
          <w:i/>
          <w:iCs/>
        </w:rPr>
        <w:t>The Invention of World Religions</w:t>
      </w:r>
      <w:r w:rsidRPr="00870C3E">
        <w:t xml:space="preserve">; Asad, </w:t>
      </w:r>
      <w:r w:rsidRPr="00870C3E">
        <w:rPr>
          <w:i/>
          <w:iCs/>
        </w:rPr>
        <w:t>Genealogies of Religion</w:t>
      </w:r>
      <w:r w:rsidRPr="00870C3E">
        <w:t xml:space="preserve">; Jonathan Z. Smith, </w:t>
      </w:r>
      <w:r w:rsidRPr="00870C3E">
        <w:rPr>
          <w:i/>
          <w:iCs/>
        </w:rPr>
        <w:t>Relating Religions</w:t>
      </w:r>
      <w:r w:rsidRPr="00870C3E">
        <w:t xml:space="preserve">; and Russell T. McCutcheon, </w:t>
      </w:r>
      <w:r w:rsidRPr="00870C3E">
        <w:rPr>
          <w:i/>
          <w:iCs/>
        </w:rPr>
        <w:t>Manufacturing Religion</w:t>
      </w:r>
      <w:r w:rsidRPr="00870C3E">
        <w:t>.</w:t>
      </w:r>
    </w:p>
  </w:endnote>
  <w:endnote w:id="3">
    <w:p w14:paraId="1BF29778" w14:textId="67534EF5" w:rsidR="003C3669" w:rsidRPr="00870C3E" w:rsidRDefault="003C3669" w:rsidP="003C3669">
      <w:pPr>
        <w:pStyle w:val="EndnoteText"/>
      </w:pPr>
      <w:r w:rsidRPr="00870C3E">
        <w:rPr>
          <w:rStyle w:val="EndnoteReference"/>
        </w:rPr>
        <w:endnoteRef/>
      </w:r>
      <w:r w:rsidRPr="00870C3E">
        <w:t xml:space="preserve"> </w:t>
      </w:r>
      <w:r w:rsidRPr="00870C3E">
        <w:t xml:space="preserve">King, </w:t>
      </w:r>
      <w:r w:rsidRPr="00870C3E">
        <w:rPr>
          <w:i/>
          <w:iCs/>
        </w:rPr>
        <w:t xml:space="preserve">Orientalism and </w:t>
      </w:r>
      <w:proofErr w:type="gramStart"/>
      <w:r w:rsidRPr="00870C3E">
        <w:rPr>
          <w:i/>
          <w:iCs/>
        </w:rPr>
        <w:t>Religion</w:t>
      </w:r>
      <w:r w:rsidRPr="00870C3E">
        <w:t>,</w:t>
      </w:r>
      <w:r w:rsidR="00FC3FE4" w:rsidRPr="00870C3E">
        <w:t>,</w:t>
      </w:r>
      <w:proofErr w:type="gramEnd"/>
      <w:r w:rsidR="00FC3FE4" w:rsidRPr="00870C3E">
        <w:t xml:space="preserve"> also cited by Srikantan</w:t>
      </w:r>
      <w:r w:rsidRPr="00870C3E">
        <w:t>.</w:t>
      </w:r>
    </w:p>
    <w:p w14:paraId="73B32708" w14:textId="77777777" w:rsidR="005B5853" w:rsidRPr="00870C3E" w:rsidRDefault="005B5853" w:rsidP="003C3669">
      <w:pPr>
        <w:pStyle w:val="EndnoteText"/>
      </w:pPr>
    </w:p>
  </w:endnote>
  <w:endnote w:id="4">
    <w:p w14:paraId="3E68392C" w14:textId="46F52F81" w:rsidR="005B5853" w:rsidRDefault="005B5853">
      <w:pPr>
        <w:pStyle w:val="EndnoteText"/>
      </w:pPr>
      <w:r w:rsidRPr="00870C3E">
        <w:rPr>
          <w:rStyle w:val="EndnoteReference"/>
        </w:rPr>
        <w:endnoteRef/>
      </w:r>
      <w:r w:rsidRPr="00870C3E">
        <w:t xml:space="preserve"> </w:t>
      </w:r>
      <w:r w:rsidRPr="00870C3E">
        <w:t xml:space="preserve">See Bergunder, </w:t>
      </w:r>
      <w:r w:rsidR="00704F77">
        <w:t>“</w:t>
      </w:r>
      <w:r w:rsidRPr="00870C3E">
        <w:t>What is Religion?”</w:t>
      </w:r>
    </w:p>
    <w:p w14:paraId="0F7495B5" w14:textId="77777777" w:rsidR="00870C3E" w:rsidRPr="00870C3E" w:rsidRDefault="00870C3E">
      <w:pPr>
        <w:pStyle w:val="EndnoteText"/>
      </w:pPr>
    </w:p>
  </w:endnote>
  <w:endnote w:id="5">
    <w:p w14:paraId="2D544179" w14:textId="09A2CE42" w:rsidR="00870C3E" w:rsidRDefault="00870C3E">
      <w:pPr>
        <w:pStyle w:val="EndnoteText"/>
      </w:pPr>
      <w:r w:rsidRPr="00870C3E">
        <w:rPr>
          <w:rStyle w:val="EndnoteReference"/>
        </w:rPr>
        <w:endnoteRef/>
      </w:r>
      <w:r w:rsidRPr="00870C3E">
        <w:t xml:space="preserve"> </w:t>
      </w:r>
      <w:r w:rsidR="00704F77">
        <w:t>For the test of belief from ‘times immemorial’ in the 2010 Ayodhya case, see also Patel, “Idols in Law</w:t>
      </w:r>
      <w:r w:rsidR="006955B3">
        <w:t>.</w:t>
      </w:r>
      <w:r w:rsidR="00704F77">
        <w:t>”</w:t>
      </w:r>
    </w:p>
    <w:p w14:paraId="41552E03" w14:textId="77777777" w:rsidR="00870C3E" w:rsidRPr="00870C3E" w:rsidRDefault="00870C3E">
      <w:pPr>
        <w:pStyle w:val="EndnoteText"/>
      </w:pPr>
    </w:p>
  </w:endnote>
  <w:endnote w:id="6">
    <w:p w14:paraId="5531526F" w14:textId="5D38FC6E" w:rsidR="001943B1" w:rsidRDefault="001943B1">
      <w:pPr>
        <w:pStyle w:val="EndnoteText"/>
      </w:pPr>
      <w:r w:rsidRPr="00870C3E">
        <w:rPr>
          <w:rStyle w:val="EndnoteReference"/>
        </w:rPr>
        <w:endnoteRef/>
      </w:r>
      <w:r w:rsidRPr="00870C3E">
        <w:t xml:space="preserve"> Stephen</w:t>
      </w:r>
      <w:r w:rsidR="00274F75" w:rsidRPr="00870C3E">
        <w:t xml:space="preserve">, </w:t>
      </w:r>
      <w:r w:rsidR="00A84D5A" w:rsidRPr="00A84D5A">
        <w:rPr>
          <w:i/>
          <w:iCs/>
        </w:rPr>
        <w:t>Liberty, Equality, Fraternity</w:t>
      </w:r>
      <w:r w:rsidR="00A84D5A">
        <w:t>,</w:t>
      </w:r>
      <w:r w:rsidR="006955B3">
        <w:t xml:space="preserve"> </w:t>
      </w:r>
      <w:r w:rsidR="00A84D5A">
        <w:t>59.</w:t>
      </w:r>
    </w:p>
    <w:p w14:paraId="67A5E755" w14:textId="77777777" w:rsidR="00870C3E" w:rsidRPr="00870C3E" w:rsidRDefault="00870C3E">
      <w:pPr>
        <w:pStyle w:val="EndnoteText"/>
      </w:pPr>
    </w:p>
  </w:endnote>
  <w:endnote w:id="7">
    <w:p w14:paraId="6862CD63" w14:textId="4B1C2E66" w:rsidR="0041318B" w:rsidRDefault="0041318B">
      <w:pPr>
        <w:pStyle w:val="EndnoteText"/>
      </w:pPr>
      <w:r w:rsidRPr="00870C3E">
        <w:rPr>
          <w:rStyle w:val="EndnoteReference"/>
        </w:rPr>
        <w:endnoteRef/>
      </w:r>
      <w:r w:rsidRPr="00870C3E">
        <w:t xml:space="preserve"> Sullivan, </w:t>
      </w:r>
      <w:r w:rsidR="00A11DD8" w:rsidRPr="00870C3E">
        <w:rPr>
          <w:i/>
          <w:iCs/>
        </w:rPr>
        <w:t>Impossibility</w:t>
      </w:r>
      <w:r w:rsidRPr="00870C3E">
        <w:rPr>
          <w:i/>
          <w:iCs/>
        </w:rPr>
        <w:t xml:space="preserve"> of Religious Freedom</w:t>
      </w:r>
      <w:r w:rsidRPr="00870C3E">
        <w:t xml:space="preserve">, </w:t>
      </w:r>
      <w:r w:rsidR="00E93EAC">
        <w:t xml:space="preserve">also </w:t>
      </w:r>
      <w:r w:rsidRPr="00870C3E">
        <w:t xml:space="preserve">discussed by </w:t>
      </w:r>
      <w:r w:rsidRPr="00870C3E">
        <w:t>Srikantan.</w:t>
      </w:r>
    </w:p>
    <w:p w14:paraId="047CDE0F" w14:textId="77777777" w:rsidR="00A8318C" w:rsidRPr="00870C3E" w:rsidRDefault="00A8318C">
      <w:pPr>
        <w:pStyle w:val="EndnoteText"/>
      </w:pPr>
    </w:p>
  </w:endnote>
  <w:endnote w:id="8">
    <w:p w14:paraId="1F81212C" w14:textId="3321904C" w:rsidR="00A8318C" w:rsidRDefault="00A8318C">
      <w:pPr>
        <w:pStyle w:val="EndnoteText"/>
      </w:pPr>
      <w:r w:rsidRPr="00A8318C">
        <w:rPr>
          <w:rStyle w:val="EndnoteReference"/>
        </w:rPr>
        <w:endnoteRef/>
      </w:r>
      <w:r w:rsidRPr="00A8318C">
        <w:t xml:space="preserve"> </w:t>
      </w:r>
      <w:r w:rsidRPr="00A8318C">
        <w:t xml:space="preserve">Kennedy, </w:t>
      </w:r>
      <w:r>
        <w:t>“</w:t>
      </w:r>
      <w:r w:rsidRPr="00A8318C">
        <w:t>Savigny's Family/Patrimony Distinction</w:t>
      </w:r>
      <w:r w:rsidR="006955B3">
        <w:t>,”</w:t>
      </w:r>
      <w:r>
        <w:t xml:space="preserve"> </w:t>
      </w:r>
      <w:r w:rsidRPr="00A8318C">
        <w:t>831.</w:t>
      </w:r>
    </w:p>
    <w:p w14:paraId="2503B583" w14:textId="1A5735C3" w:rsidR="006955B3" w:rsidRDefault="006955B3">
      <w:pPr>
        <w:pStyle w:val="EndnoteText"/>
      </w:pPr>
    </w:p>
    <w:p w14:paraId="1EB64525" w14:textId="518764F9" w:rsidR="006955B3" w:rsidRDefault="006955B3">
      <w:pPr>
        <w:pStyle w:val="EndnoteText"/>
      </w:pPr>
    </w:p>
    <w:p w14:paraId="523977B4" w14:textId="01B206AB" w:rsidR="006955B3" w:rsidRDefault="006955B3">
      <w:pPr>
        <w:pStyle w:val="EndnoteText"/>
      </w:pPr>
    </w:p>
    <w:p w14:paraId="25B66C2B" w14:textId="6260813E" w:rsidR="006955B3" w:rsidRDefault="006955B3">
      <w:pPr>
        <w:pStyle w:val="EndnoteText"/>
      </w:pPr>
    </w:p>
    <w:p w14:paraId="794929E4" w14:textId="60934BB0" w:rsidR="006955B3" w:rsidRDefault="006955B3" w:rsidP="006955B3">
      <w:pPr>
        <w:pStyle w:val="EndnoteText"/>
        <w:spacing w:line="480" w:lineRule="auto"/>
        <w:rPr>
          <w:b/>
          <w:bCs/>
          <w:sz w:val="24"/>
          <w:szCs w:val="24"/>
        </w:rPr>
      </w:pPr>
      <w:r>
        <w:rPr>
          <w:b/>
          <w:bCs/>
          <w:sz w:val="24"/>
          <w:szCs w:val="24"/>
        </w:rPr>
        <w:t xml:space="preserve">Bibliography </w:t>
      </w:r>
    </w:p>
    <w:p w14:paraId="2AE82964" w14:textId="2788AFC8" w:rsidR="006955B3" w:rsidRDefault="006955B3" w:rsidP="006955B3">
      <w:pPr>
        <w:ind w:left="480" w:hanging="480"/>
      </w:pPr>
    </w:p>
    <w:p w14:paraId="003986A3" w14:textId="77777777" w:rsidR="00DB53E6" w:rsidRDefault="00E93EAC" w:rsidP="00DB53E6">
      <w:r w:rsidRPr="00E93EAC">
        <w:t xml:space="preserve">Asad, Talal. </w:t>
      </w:r>
      <w:r w:rsidRPr="00E93EAC">
        <w:rPr>
          <w:i/>
          <w:iCs/>
        </w:rPr>
        <w:t>Genealogies of Religion: Discipline and Reasons of Power in Christianity and Islam</w:t>
      </w:r>
      <w:r w:rsidRPr="00E93EAC">
        <w:t xml:space="preserve">. Balimore: Johns Hopkins University Press, </w:t>
      </w:r>
      <w:r>
        <w:rPr>
          <w:lang w:val="en-GB"/>
        </w:rPr>
        <w:t>1993</w:t>
      </w:r>
      <w:r w:rsidRPr="00E93EAC">
        <w:t>.</w:t>
      </w:r>
    </w:p>
    <w:p w14:paraId="16A20ED3" w14:textId="77777777" w:rsidR="00DB53E6" w:rsidRDefault="00DB53E6" w:rsidP="00DB53E6"/>
    <w:p w14:paraId="3241E1C8" w14:textId="6843F2BF" w:rsidR="00DB53E6" w:rsidRDefault="00DB53E6" w:rsidP="00DB53E6">
      <w:r w:rsidRPr="00DB53E6">
        <w:t xml:space="preserve">Bergunder, Michael. “What Is Religion? The Unexplained Subject Matter of Religious Studies.” </w:t>
      </w:r>
      <w:r w:rsidRPr="00DB53E6">
        <w:rPr>
          <w:i/>
          <w:iCs/>
        </w:rPr>
        <w:t>Method &amp; Theory in the Study of Religion</w:t>
      </w:r>
      <w:r w:rsidRPr="00DB53E6">
        <w:t xml:space="preserve"> 26 (2014): 246–86.</w:t>
      </w:r>
    </w:p>
    <w:p w14:paraId="11C47FB4" w14:textId="3A63C899" w:rsidR="00351F1A" w:rsidRDefault="00351F1A" w:rsidP="00DB53E6"/>
    <w:p w14:paraId="211375DE" w14:textId="2A0C9D67" w:rsidR="00351F1A" w:rsidRPr="00DB53E6" w:rsidRDefault="00351F1A" w:rsidP="00DB53E6">
      <w:r w:rsidRPr="00351F1A">
        <w:rPr>
          <w:lang w:val="en-GB"/>
        </w:rPr>
        <w:t>Kennedy</w:t>
      </w:r>
      <w:r w:rsidRPr="00351F1A">
        <w:t xml:space="preserve">, </w:t>
      </w:r>
      <w:r w:rsidRPr="00351F1A">
        <w:rPr>
          <w:lang w:val="en-GB"/>
        </w:rPr>
        <w:t>Duncan</w:t>
      </w:r>
      <w:r w:rsidRPr="00351F1A">
        <w:t xml:space="preserve">. “Savigny’s Family/Patrimony Distinction and Its Place in the Global Genealogy of Classical Legal Thought.” </w:t>
      </w:r>
      <w:r w:rsidRPr="00351F1A">
        <w:rPr>
          <w:i/>
          <w:iCs/>
        </w:rPr>
        <w:t>The American Journal of Comparative Law</w:t>
      </w:r>
      <w:r w:rsidRPr="00351F1A">
        <w:t xml:space="preserve"> 58, no. 4 (2010): 811–41.</w:t>
      </w:r>
    </w:p>
    <w:p w14:paraId="6F0F8EAE" w14:textId="77777777" w:rsidR="005C4639" w:rsidRDefault="005C4639" w:rsidP="005C4639"/>
    <w:p w14:paraId="3BAFC843" w14:textId="02131855" w:rsidR="00E93EAC" w:rsidRPr="00E93EAC" w:rsidRDefault="005C4639" w:rsidP="00E93EAC">
      <w:r w:rsidRPr="005C4639">
        <w:t xml:space="preserve">King, Richard. </w:t>
      </w:r>
      <w:r w:rsidRPr="005C4639">
        <w:rPr>
          <w:i/>
          <w:iCs/>
        </w:rPr>
        <w:t>Orientalism and Religion: Postcolonial Theory, India, and “the Mystic East.”</w:t>
      </w:r>
      <w:r w:rsidRPr="005C4639">
        <w:t xml:space="preserve"> London: Routledge, 1999.</w:t>
      </w:r>
    </w:p>
    <w:p w14:paraId="49040E92" w14:textId="77777777" w:rsidR="00E93EAC" w:rsidRDefault="00E93EAC" w:rsidP="00E93EAC"/>
    <w:p w14:paraId="2406BD98" w14:textId="77777777" w:rsidR="00DC381E" w:rsidRDefault="00E93EAC" w:rsidP="00DC381E">
      <w:r>
        <w:t xml:space="preserve">Masuzawa, Tomoka. </w:t>
      </w:r>
      <w:r>
        <w:rPr>
          <w:i/>
          <w:iCs/>
        </w:rPr>
        <w:t>The Invention of World Religions, or, How European Universalism Was Preserved in the Language of Pluralism</w:t>
      </w:r>
      <w:r>
        <w:t>. Chicago: University of Chicago Press, 2005.</w:t>
      </w:r>
    </w:p>
    <w:p w14:paraId="2CA96AB9" w14:textId="77777777" w:rsidR="00DC381E" w:rsidRDefault="00DC381E" w:rsidP="00DC381E">
      <w:pPr>
        <w:rPr>
          <w:lang w:val="en-GB"/>
        </w:rPr>
      </w:pPr>
    </w:p>
    <w:p w14:paraId="1E3CD767" w14:textId="77777777" w:rsidR="002E592C" w:rsidRDefault="00DC381E" w:rsidP="002E592C">
      <w:r>
        <w:t xml:space="preserve">McCutcheon, Russell T. </w:t>
      </w:r>
      <w:r>
        <w:rPr>
          <w:i/>
          <w:iCs/>
        </w:rPr>
        <w:t>Manufacturing Religion: The Discourse on Sui Generis Religion and the Politics of Nostalgia</w:t>
      </w:r>
      <w:r>
        <w:t>. Oxford University Press, 2003.</w:t>
      </w:r>
    </w:p>
    <w:p w14:paraId="32FECB59" w14:textId="77777777" w:rsidR="002E592C" w:rsidRDefault="002E592C" w:rsidP="002E592C"/>
    <w:p w14:paraId="54DD8541" w14:textId="1F203E32" w:rsidR="002E592C" w:rsidRPr="002E592C" w:rsidRDefault="002E592C" w:rsidP="002E592C">
      <w:r w:rsidRPr="002E592C">
        <w:t xml:space="preserve">Patel, Gautam. “Idols in Law.” </w:t>
      </w:r>
      <w:r w:rsidRPr="002E592C">
        <w:rPr>
          <w:i/>
          <w:iCs/>
        </w:rPr>
        <w:t>Economic and Political Weekly</w:t>
      </w:r>
      <w:r w:rsidRPr="002E592C">
        <w:t xml:space="preserve"> 45, no. 50 (2010): 47–52.</w:t>
      </w:r>
    </w:p>
    <w:p w14:paraId="51EE79EF" w14:textId="77777777" w:rsidR="00E93EAC" w:rsidRDefault="00E93EAC" w:rsidP="00E93EAC"/>
    <w:p w14:paraId="2644028F" w14:textId="77777777" w:rsidR="00DC381E" w:rsidRDefault="00E93EAC" w:rsidP="00DC381E">
      <w:r w:rsidRPr="00E93EAC">
        <w:t xml:space="preserve">Saxena, Saumya. </w:t>
      </w:r>
      <w:r w:rsidRPr="00E93EAC">
        <w:rPr>
          <w:i/>
          <w:iCs/>
        </w:rPr>
        <w:t>Divorce and Democracy: A History of Personal Law in Post-Independence</w:t>
      </w:r>
      <w:r w:rsidRPr="00E93EAC">
        <w:rPr>
          <w:i/>
          <w:iCs/>
          <w:lang w:val="en-GB"/>
        </w:rPr>
        <w:t xml:space="preserve"> </w:t>
      </w:r>
      <w:r w:rsidRPr="00E93EAC">
        <w:rPr>
          <w:i/>
          <w:iCs/>
        </w:rPr>
        <w:t>India</w:t>
      </w:r>
      <w:r w:rsidRPr="00E93EAC">
        <w:t>. Cambridge: Cambridge University Press, 2021.</w:t>
      </w:r>
    </w:p>
    <w:p w14:paraId="47CFA4AE" w14:textId="77777777" w:rsidR="00DC381E" w:rsidRDefault="00DC381E" w:rsidP="00DC381E"/>
    <w:p w14:paraId="570473AA" w14:textId="6997F246" w:rsidR="003021B5" w:rsidRDefault="00DC381E" w:rsidP="003021B5">
      <w:r w:rsidRPr="00DC381E">
        <w:t xml:space="preserve">Smith, Jonathan Z. </w:t>
      </w:r>
      <w:r w:rsidRPr="00DC381E">
        <w:rPr>
          <w:i/>
          <w:iCs/>
        </w:rPr>
        <w:t>Relating Religion: Essays in the Study of Religion</w:t>
      </w:r>
      <w:r w:rsidRPr="00DC381E">
        <w:t>. Chicago: University of Chicago Press, 2004.</w:t>
      </w:r>
    </w:p>
    <w:p w14:paraId="05364445" w14:textId="77777777" w:rsidR="003021B5" w:rsidRDefault="003021B5" w:rsidP="003021B5"/>
    <w:p w14:paraId="160D4A89" w14:textId="03C75061" w:rsidR="00DC381E" w:rsidRDefault="003021B5" w:rsidP="00DC381E">
      <w:r w:rsidRPr="003021B5">
        <w:t>Stephen</w:t>
      </w:r>
      <w:r w:rsidR="00351F1A">
        <w:rPr>
          <w:lang w:val="en-GB"/>
        </w:rPr>
        <w:t xml:space="preserve">, James </w:t>
      </w:r>
      <w:proofErr w:type="spellStart"/>
      <w:r w:rsidR="00351F1A">
        <w:rPr>
          <w:lang w:val="en-GB"/>
        </w:rPr>
        <w:t>Fitzjames</w:t>
      </w:r>
      <w:proofErr w:type="spellEnd"/>
      <w:r w:rsidRPr="003021B5">
        <w:t xml:space="preserve">. </w:t>
      </w:r>
      <w:r w:rsidRPr="003021B5">
        <w:rPr>
          <w:i/>
          <w:iCs/>
        </w:rPr>
        <w:t>Liberty, Equality, Fraternity</w:t>
      </w:r>
      <w:r w:rsidRPr="003021B5">
        <w:t xml:space="preserve">. </w:t>
      </w:r>
      <w:r>
        <w:rPr>
          <w:lang w:val="en-GB"/>
        </w:rPr>
        <w:t xml:space="preserve">New York: </w:t>
      </w:r>
      <w:r w:rsidRPr="003021B5">
        <w:t xml:space="preserve">Holt and </w:t>
      </w:r>
      <w:r>
        <w:rPr>
          <w:lang w:val="en-GB"/>
        </w:rPr>
        <w:t>Williams</w:t>
      </w:r>
      <w:r w:rsidRPr="003021B5">
        <w:t xml:space="preserve">, 1873. </w:t>
      </w:r>
    </w:p>
    <w:p w14:paraId="10633ABC" w14:textId="77777777" w:rsidR="00351F1A" w:rsidRPr="00DC381E" w:rsidRDefault="00351F1A" w:rsidP="00DC381E"/>
    <w:p w14:paraId="64CD32FC" w14:textId="10D63DC4" w:rsidR="00351F1A" w:rsidRPr="00351F1A" w:rsidRDefault="00351F1A" w:rsidP="00351F1A">
      <w:r w:rsidRPr="00351F1A">
        <w:t xml:space="preserve">Sullivan, Winnifred Fallers. </w:t>
      </w:r>
      <w:r w:rsidRPr="00351F1A">
        <w:rPr>
          <w:i/>
          <w:iCs/>
        </w:rPr>
        <w:t>The Impossibility of Religious Freedom.</w:t>
      </w:r>
      <w:r w:rsidRPr="00351F1A">
        <w:t xml:space="preserve"> Princeton: Princeton University Press, 2005.</w:t>
      </w:r>
    </w:p>
    <w:p w14:paraId="203018EA" w14:textId="16F12411" w:rsidR="00E93EAC" w:rsidRPr="00E93EAC" w:rsidRDefault="00E93EAC" w:rsidP="00E93EAC"/>
    <w:p w14:paraId="01BC53F0" w14:textId="70388120" w:rsidR="00E93EAC" w:rsidRDefault="00E93EAC" w:rsidP="00E93EAC"/>
    <w:p w14:paraId="220A3B54" w14:textId="7D92BE15" w:rsidR="00E93EAC" w:rsidRDefault="00E93EAC" w:rsidP="00E93EAC"/>
    <w:p w14:paraId="01933128" w14:textId="77777777" w:rsidR="00E93EAC" w:rsidRDefault="00E93EAC" w:rsidP="00E93EAC"/>
    <w:p w14:paraId="41CC45F3" w14:textId="77777777" w:rsidR="006955B3" w:rsidRDefault="006955B3" w:rsidP="006955B3">
      <w:pPr>
        <w:ind w:left="480" w:hanging="480"/>
      </w:pPr>
    </w:p>
    <w:p w14:paraId="0DCB8D03" w14:textId="77777777" w:rsidR="006955B3" w:rsidRPr="006955B3" w:rsidRDefault="006955B3" w:rsidP="006955B3">
      <w:pPr>
        <w:pStyle w:val="EndnoteText"/>
        <w:spacing w:line="480" w:lineRule="auto"/>
        <w:rPr>
          <w:sz w:val="24"/>
          <w:szCs w:val="24"/>
        </w:rPr>
      </w:pPr>
    </w:p>
    <w:p w14:paraId="2B4B0D47" w14:textId="77777777" w:rsidR="006955B3" w:rsidRPr="00A8318C" w:rsidRDefault="006955B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2689498"/>
      <w:docPartObj>
        <w:docPartGallery w:val="Page Numbers (Bottom of Page)"/>
        <w:docPartUnique/>
      </w:docPartObj>
    </w:sdtPr>
    <w:sdtContent>
      <w:p w14:paraId="0E88C1DE" w14:textId="2E096BEF" w:rsidR="00707C43" w:rsidRDefault="00707C43" w:rsidP="001F57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47760D" w14:textId="77777777" w:rsidR="00707C43" w:rsidRDefault="00707C43" w:rsidP="00707C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4329460"/>
      <w:docPartObj>
        <w:docPartGallery w:val="Page Numbers (Bottom of Page)"/>
        <w:docPartUnique/>
      </w:docPartObj>
    </w:sdtPr>
    <w:sdtContent>
      <w:p w14:paraId="3FD3AE4E" w14:textId="66DED6E0" w:rsidR="00707C43" w:rsidRDefault="00707C43" w:rsidP="001F57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C62059" w14:textId="77777777" w:rsidR="00707C43" w:rsidRDefault="00707C43" w:rsidP="00707C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6B7C" w14:textId="77777777" w:rsidR="004A5181" w:rsidRDefault="004A5181" w:rsidP="00DE6DE9">
      <w:r>
        <w:separator/>
      </w:r>
    </w:p>
  </w:footnote>
  <w:footnote w:type="continuationSeparator" w:id="0">
    <w:p w14:paraId="71EBF461" w14:textId="77777777" w:rsidR="004A5181" w:rsidRDefault="004A5181" w:rsidP="00DE6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0655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4B"/>
    <w:rsid w:val="0000027A"/>
    <w:rsid w:val="00006A61"/>
    <w:rsid w:val="00010949"/>
    <w:rsid w:val="00024355"/>
    <w:rsid w:val="00026E46"/>
    <w:rsid w:val="00030999"/>
    <w:rsid w:val="00030D63"/>
    <w:rsid w:val="000412FA"/>
    <w:rsid w:val="00043C15"/>
    <w:rsid w:val="00045955"/>
    <w:rsid w:val="00057057"/>
    <w:rsid w:val="00065333"/>
    <w:rsid w:val="000656E4"/>
    <w:rsid w:val="00066D17"/>
    <w:rsid w:val="00072B5A"/>
    <w:rsid w:val="00074605"/>
    <w:rsid w:val="0008280D"/>
    <w:rsid w:val="00086298"/>
    <w:rsid w:val="000906B8"/>
    <w:rsid w:val="00090B4F"/>
    <w:rsid w:val="000911C9"/>
    <w:rsid w:val="00091DD6"/>
    <w:rsid w:val="000928BB"/>
    <w:rsid w:val="000A2638"/>
    <w:rsid w:val="000B1385"/>
    <w:rsid w:val="000B376D"/>
    <w:rsid w:val="000B673D"/>
    <w:rsid w:val="000B72FD"/>
    <w:rsid w:val="000C1F98"/>
    <w:rsid w:val="000E3C24"/>
    <w:rsid w:val="000E4785"/>
    <w:rsid w:val="000E67F6"/>
    <w:rsid w:val="000E6DAF"/>
    <w:rsid w:val="000E7013"/>
    <w:rsid w:val="000F5B9E"/>
    <w:rsid w:val="00104185"/>
    <w:rsid w:val="00107EB6"/>
    <w:rsid w:val="00134612"/>
    <w:rsid w:val="00136A03"/>
    <w:rsid w:val="00142BE9"/>
    <w:rsid w:val="00147B3E"/>
    <w:rsid w:val="00147E6C"/>
    <w:rsid w:val="00154E41"/>
    <w:rsid w:val="00155504"/>
    <w:rsid w:val="001647B9"/>
    <w:rsid w:val="00167A08"/>
    <w:rsid w:val="0017046B"/>
    <w:rsid w:val="00171433"/>
    <w:rsid w:val="00174AF1"/>
    <w:rsid w:val="00176B8A"/>
    <w:rsid w:val="00187CB3"/>
    <w:rsid w:val="001943B1"/>
    <w:rsid w:val="001B2C15"/>
    <w:rsid w:val="001B370E"/>
    <w:rsid w:val="001B5E01"/>
    <w:rsid w:val="001D613D"/>
    <w:rsid w:val="001D6DFE"/>
    <w:rsid w:val="001E32AD"/>
    <w:rsid w:val="00205904"/>
    <w:rsid w:val="0021411A"/>
    <w:rsid w:val="00214556"/>
    <w:rsid w:val="002311C5"/>
    <w:rsid w:val="00234DA1"/>
    <w:rsid w:val="002358FB"/>
    <w:rsid w:val="0024354D"/>
    <w:rsid w:val="00247922"/>
    <w:rsid w:val="00251487"/>
    <w:rsid w:val="002523E8"/>
    <w:rsid w:val="00257F11"/>
    <w:rsid w:val="00260A2D"/>
    <w:rsid w:val="00260FB4"/>
    <w:rsid w:val="00263D7A"/>
    <w:rsid w:val="0027087B"/>
    <w:rsid w:val="002731E8"/>
    <w:rsid w:val="00274F75"/>
    <w:rsid w:val="00275FF9"/>
    <w:rsid w:val="00292661"/>
    <w:rsid w:val="00295090"/>
    <w:rsid w:val="002A2AA4"/>
    <w:rsid w:val="002C00FC"/>
    <w:rsid w:val="002C08D3"/>
    <w:rsid w:val="002C0F18"/>
    <w:rsid w:val="002C69CB"/>
    <w:rsid w:val="002D09D3"/>
    <w:rsid w:val="002D0F45"/>
    <w:rsid w:val="002D414E"/>
    <w:rsid w:val="002D448E"/>
    <w:rsid w:val="002D45D1"/>
    <w:rsid w:val="002D77BF"/>
    <w:rsid w:val="002E3C1A"/>
    <w:rsid w:val="002E4435"/>
    <w:rsid w:val="002E592C"/>
    <w:rsid w:val="002F235C"/>
    <w:rsid w:val="002F559E"/>
    <w:rsid w:val="00300392"/>
    <w:rsid w:val="003021B5"/>
    <w:rsid w:val="003128DA"/>
    <w:rsid w:val="00312B9A"/>
    <w:rsid w:val="003158C4"/>
    <w:rsid w:val="0032087A"/>
    <w:rsid w:val="00320E03"/>
    <w:rsid w:val="003215FB"/>
    <w:rsid w:val="00324290"/>
    <w:rsid w:val="00332C5D"/>
    <w:rsid w:val="0033687B"/>
    <w:rsid w:val="003372C7"/>
    <w:rsid w:val="0034082E"/>
    <w:rsid w:val="00346957"/>
    <w:rsid w:val="00347581"/>
    <w:rsid w:val="00351467"/>
    <w:rsid w:val="00351F1A"/>
    <w:rsid w:val="00351F9D"/>
    <w:rsid w:val="0035219F"/>
    <w:rsid w:val="00352C82"/>
    <w:rsid w:val="00354C0C"/>
    <w:rsid w:val="003628DB"/>
    <w:rsid w:val="003642A2"/>
    <w:rsid w:val="003700B3"/>
    <w:rsid w:val="00377077"/>
    <w:rsid w:val="00382386"/>
    <w:rsid w:val="00383512"/>
    <w:rsid w:val="003B0543"/>
    <w:rsid w:val="003B0700"/>
    <w:rsid w:val="003B079F"/>
    <w:rsid w:val="003B1C8B"/>
    <w:rsid w:val="003B2300"/>
    <w:rsid w:val="003B3DB1"/>
    <w:rsid w:val="003B741D"/>
    <w:rsid w:val="003C3669"/>
    <w:rsid w:val="003C475D"/>
    <w:rsid w:val="003D26B1"/>
    <w:rsid w:val="003D41F4"/>
    <w:rsid w:val="003D4D49"/>
    <w:rsid w:val="003D5613"/>
    <w:rsid w:val="003E03FD"/>
    <w:rsid w:val="003F24FB"/>
    <w:rsid w:val="003F2DFF"/>
    <w:rsid w:val="003F5236"/>
    <w:rsid w:val="004031B8"/>
    <w:rsid w:val="004063FF"/>
    <w:rsid w:val="004123C9"/>
    <w:rsid w:val="0041318B"/>
    <w:rsid w:val="004169DB"/>
    <w:rsid w:val="00420C3C"/>
    <w:rsid w:val="00424032"/>
    <w:rsid w:val="00424BCC"/>
    <w:rsid w:val="00426BBE"/>
    <w:rsid w:val="00430967"/>
    <w:rsid w:val="004350AE"/>
    <w:rsid w:val="004362FC"/>
    <w:rsid w:val="00441233"/>
    <w:rsid w:val="00441B3D"/>
    <w:rsid w:val="00442867"/>
    <w:rsid w:val="0044334A"/>
    <w:rsid w:val="00443E96"/>
    <w:rsid w:val="00445D51"/>
    <w:rsid w:val="00447803"/>
    <w:rsid w:val="004552BE"/>
    <w:rsid w:val="00461D7C"/>
    <w:rsid w:val="0047002C"/>
    <w:rsid w:val="0049138B"/>
    <w:rsid w:val="004924B2"/>
    <w:rsid w:val="0049393A"/>
    <w:rsid w:val="00495380"/>
    <w:rsid w:val="004A23E2"/>
    <w:rsid w:val="004A5181"/>
    <w:rsid w:val="004B2CAC"/>
    <w:rsid w:val="004B6C0F"/>
    <w:rsid w:val="004B7888"/>
    <w:rsid w:val="004C1905"/>
    <w:rsid w:val="004C1CB7"/>
    <w:rsid w:val="004C1FB2"/>
    <w:rsid w:val="004C2573"/>
    <w:rsid w:val="004C37B2"/>
    <w:rsid w:val="004C5747"/>
    <w:rsid w:val="004C62FF"/>
    <w:rsid w:val="004C75F1"/>
    <w:rsid w:val="004D019B"/>
    <w:rsid w:val="004D3B35"/>
    <w:rsid w:val="004E03C7"/>
    <w:rsid w:val="004E40C8"/>
    <w:rsid w:val="0050061D"/>
    <w:rsid w:val="00501D0A"/>
    <w:rsid w:val="0050232A"/>
    <w:rsid w:val="00514D44"/>
    <w:rsid w:val="00520AA4"/>
    <w:rsid w:val="00520E3A"/>
    <w:rsid w:val="00526AAF"/>
    <w:rsid w:val="005272DC"/>
    <w:rsid w:val="005311B7"/>
    <w:rsid w:val="00532FCB"/>
    <w:rsid w:val="00534A37"/>
    <w:rsid w:val="00540B0C"/>
    <w:rsid w:val="00540DDF"/>
    <w:rsid w:val="00542CA3"/>
    <w:rsid w:val="005516F3"/>
    <w:rsid w:val="00554250"/>
    <w:rsid w:val="00562FC5"/>
    <w:rsid w:val="0056465E"/>
    <w:rsid w:val="00574AD4"/>
    <w:rsid w:val="005763BD"/>
    <w:rsid w:val="0057790F"/>
    <w:rsid w:val="005862B6"/>
    <w:rsid w:val="005A5116"/>
    <w:rsid w:val="005B3308"/>
    <w:rsid w:val="005B3CB3"/>
    <w:rsid w:val="005B3F1B"/>
    <w:rsid w:val="005B3F9A"/>
    <w:rsid w:val="005B4629"/>
    <w:rsid w:val="005B5112"/>
    <w:rsid w:val="005B5853"/>
    <w:rsid w:val="005C09CB"/>
    <w:rsid w:val="005C4639"/>
    <w:rsid w:val="005C5C31"/>
    <w:rsid w:val="005C7865"/>
    <w:rsid w:val="005D3758"/>
    <w:rsid w:val="005D439E"/>
    <w:rsid w:val="005D5065"/>
    <w:rsid w:val="005E2202"/>
    <w:rsid w:val="005E53E6"/>
    <w:rsid w:val="005E61FF"/>
    <w:rsid w:val="005E6DC2"/>
    <w:rsid w:val="005E77E1"/>
    <w:rsid w:val="005F28BD"/>
    <w:rsid w:val="005F3D1A"/>
    <w:rsid w:val="005F53C1"/>
    <w:rsid w:val="005F5ED4"/>
    <w:rsid w:val="005F692C"/>
    <w:rsid w:val="00601AEF"/>
    <w:rsid w:val="0060214B"/>
    <w:rsid w:val="00610EC1"/>
    <w:rsid w:val="00611911"/>
    <w:rsid w:val="00616560"/>
    <w:rsid w:val="006305B7"/>
    <w:rsid w:val="00634C54"/>
    <w:rsid w:val="00636370"/>
    <w:rsid w:val="00644B02"/>
    <w:rsid w:val="0064739A"/>
    <w:rsid w:val="0065317D"/>
    <w:rsid w:val="006547E9"/>
    <w:rsid w:val="0067023D"/>
    <w:rsid w:val="0067168A"/>
    <w:rsid w:val="00671884"/>
    <w:rsid w:val="006767E3"/>
    <w:rsid w:val="0067738E"/>
    <w:rsid w:val="006822A4"/>
    <w:rsid w:val="0068700C"/>
    <w:rsid w:val="00690405"/>
    <w:rsid w:val="006955B3"/>
    <w:rsid w:val="006A58FD"/>
    <w:rsid w:val="006B42ED"/>
    <w:rsid w:val="006C0895"/>
    <w:rsid w:val="006C0BBA"/>
    <w:rsid w:val="006C1487"/>
    <w:rsid w:val="006D1251"/>
    <w:rsid w:val="006E5ED9"/>
    <w:rsid w:val="006F0AD6"/>
    <w:rsid w:val="00700BD7"/>
    <w:rsid w:val="007022C8"/>
    <w:rsid w:val="007040F1"/>
    <w:rsid w:val="00704F77"/>
    <w:rsid w:val="00705E1E"/>
    <w:rsid w:val="007074CD"/>
    <w:rsid w:val="0070758B"/>
    <w:rsid w:val="00707C43"/>
    <w:rsid w:val="00713D85"/>
    <w:rsid w:val="007349AC"/>
    <w:rsid w:val="00742BE8"/>
    <w:rsid w:val="00754170"/>
    <w:rsid w:val="00756D4A"/>
    <w:rsid w:val="007629A9"/>
    <w:rsid w:val="00764823"/>
    <w:rsid w:val="0076686E"/>
    <w:rsid w:val="00767DEC"/>
    <w:rsid w:val="00774193"/>
    <w:rsid w:val="00774D73"/>
    <w:rsid w:val="00781F82"/>
    <w:rsid w:val="00792F97"/>
    <w:rsid w:val="007A1B41"/>
    <w:rsid w:val="007A6313"/>
    <w:rsid w:val="007A7200"/>
    <w:rsid w:val="007B28CC"/>
    <w:rsid w:val="007B7D6E"/>
    <w:rsid w:val="007D1E7C"/>
    <w:rsid w:val="007D206E"/>
    <w:rsid w:val="007D3071"/>
    <w:rsid w:val="007E4542"/>
    <w:rsid w:val="0080345C"/>
    <w:rsid w:val="00806A52"/>
    <w:rsid w:val="0081426C"/>
    <w:rsid w:val="008146A6"/>
    <w:rsid w:val="00815F0F"/>
    <w:rsid w:val="00820B75"/>
    <w:rsid w:val="00823126"/>
    <w:rsid w:val="008356D3"/>
    <w:rsid w:val="00835C84"/>
    <w:rsid w:val="00836312"/>
    <w:rsid w:val="00842AA1"/>
    <w:rsid w:val="00844B96"/>
    <w:rsid w:val="00851789"/>
    <w:rsid w:val="00857669"/>
    <w:rsid w:val="00866E3E"/>
    <w:rsid w:val="00870C3E"/>
    <w:rsid w:val="008713E6"/>
    <w:rsid w:val="008716DD"/>
    <w:rsid w:val="0087470A"/>
    <w:rsid w:val="00876DA4"/>
    <w:rsid w:val="00882A7E"/>
    <w:rsid w:val="00882B22"/>
    <w:rsid w:val="00882E50"/>
    <w:rsid w:val="00884BBF"/>
    <w:rsid w:val="008866BB"/>
    <w:rsid w:val="008926D7"/>
    <w:rsid w:val="00896CA4"/>
    <w:rsid w:val="008A5868"/>
    <w:rsid w:val="008B09B2"/>
    <w:rsid w:val="008B464B"/>
    <w:rsid w:val="008B4B62"/>
    <w:rsid w:val="008C3915"/>
    <w:rsid w:val="008C70C1"/>
    <w:rsid w:val="008D43CE"/>
    <w:rsid w:val="008E4BC4"/>
    <w:rsid w:val="008E6077"/>
    <w:rsid w:val="008E6B79"/>
    <w:rsid w:val="0090108E"/>
    <w:rsid w:val="009051A8"/>
    <w:rsid w:val="0091506E"/>
    <w:rsid w:val="00916D50"/>
    <w:rsid w:val="009215FE"/>
    <w:rsid w:val="009265C6"/>
    <w:rsid w:val="00934725"/>
    <w:rsid w:val="00963EC7"/>
    <w:rsid w:val="00971C03"/>
    <w:rsid w:val="00972262"/>
    <w:rsid w:val="00980F40"/>
    <w:rsid w:val="009831CB"/>
    <w:rsid w:val="0098378C"/>
    <w:rsid w:val="00986960"/>
    <w:rsid w:val="009879ED"/>
    <w:rsid w:val="009932F1"/>
    <w:rsid w:val="009B20D9"/>
    <w:rsid w:val="009B2981"/>
    <w:rsid w:val="009B6BB5"/>
    <w:rsid w:val="009D2334"/>
    <w:rsid w:val="009D4BC4"/>
    <w:rsid w:val="009D6153"/>
    <w:rsid w:val="009D6634"/>
    <w:rsid w:val="009E5A1C"/>
    <w:rsid w:val="009F3561"/>
    <w:rsid w:val="009F684D"/>
    <w:rsid w:val="00A11DD8"/>
    <w:rsid w:val="00A12A3B"/>
    <w:rsid w:val="00A178EB"/>
    <w:rsid w:val="00A17903"/>
    <w:rsid w:val="00A20A8D"/>
    <w:rsid w:val="00A220E4"/>
    <w:rsid w:val="00A27758"/>
    <w:rsid w:val="00A36269"/>
    <w:rsid w:val="00A4461B"/>
    <w:rsid w:val="00A44C18"/>
    <w:rsid w:val="00A51BDB"/>
    <w:rsid w:val="00A52F42"/>
    <w:rsid w:val="00A63245"/>
    <w:rsid w:val="00A71D6F"/>
    <w:rsid w:val="00A77E92"/>
    <w:rsid w:val="00A8318C"/>
    <w:rsid w:val="00A84D5A"/>
    <w:rsid w:val="00A8625F"/>
    <w:rsid w:val="00A86BE2"/>
    <w:rsid w:val="00A86F02"/>
    <w:rsid w:val="00A96A08"/>
    <w:rsid w:val="00A97C95"/>
    <w:rsid w:val="00AA0523"/>
    <w:rsid w:val="00AA1384"/>
    <w:rsid w:val="00AB7921"/>
    <w:rsid w:val="00AB7FCE"/>
    <w:rsid w:val="00AC0825"/>
    <w:rsid w:val="00AC23DF"/>
    <w:rsid w:val="00AC6203"/>
    <w:rsid w:val="00AE6DC4"/>
    <w:rsid w:val="00AF117B"/>
    <w:rsid w:val="00AF5B5C"/>
    <w:rsid w:val="00B1442C"/>
    <w:rsid w:val="00B22F03"/>
    <w:rsid w:val="00B35963"/>
    <w:rsid w:val="00B37731"/>
    <w:rsid w:val="00B479B8"/>
    <w:rsid w:val="00B51EF7"/>
    <w:rsid w:val="00B53316"/>
    <w:rsid w:val="00B624AB"/>
    <w:rsid w:val="00B665BC"/>
    <w:rsid w:val="00B73594"/>
    <w:rsid w:val="00B7477A"/>
    <w:rsid w:val="00B825EE"/>
    <w:rsid w:val="00B92453"/>
    <w:rsid w:val="00B92A95"/>
    <w:rsid w:val="00B95788"/>
    <w:rsid w:val="00BA3555"/>
    <w:rsid w:val="00BA6465"/>
    <w:rsid w:val="00BB2D92"/>
    <w:rsid w:val="00BB3C5A"/>
    <w:rsid w:val="00BB3DBB"/>
    <w:rsid w:val="00BB427C"/>
    <w:rsid w:val="00BB6016"/>
    <w:rsid w:val="00BC18DC"/>
    <w:rsid w:val="00BD02AF"/>
    <w:rsid w:val="00BD3C3C"/>
    <w:rsid w:val="00BF7C59"/>
    <w:rsid w:val="00C0352E"/>
    <w:rsid w:val="00C0534D"/>
    <w:rsid w:val="00C05905"/>
    <w:rsid w:val="00C05E48"/>
    <w:rsid w:val="00C077DF"/>
    <w:rsid w:val="00C2489D"/>
    <w:rsid w:val="00C337A2"/>
    <w:rsid w:val="00C36101"/>
    <w:rsid w:val="00C37B03"/>
    <w:rsid w:val="00C40C75"/>
    <w:rsid w:val="00C4451E"/>
    <w:rsid w:val="00C63CB3"/>
    <w:rsid w:val="00C66E79"/>
    <w:rsid w:val="00C706B5"/>
    <w:rsid w:val="00C716C5"/>
    <w:rsid w:val="00C76063"/>
    <w:rsid w:val="00C76ABB"/>
    <w:rsid w:val="00C82209"/>
    <w:rsid w:val="00C85F81"/>
    <w:rsid w:val="00C96D3E"/>
    <w:rsid w:val="00CA308B"/>
    <w:rsid w:val="00CA30ED"/>
    <w:rsid w:val="00CC03F9"/>
    <w:rsid w:val="00CC664D"/>
    <w:rsid w:val="00CC776E"/>
    <w:rsid w:val="00CC7E7A"/>
    <w:rsid w:val="00CD0EE3"/>
    <w:rsid w:val="00CD36D9"/>
    <w:rsid w:val="00CD472D"/>
    <w:rsid w:val="00CD513A"/>
    <w:rsid w:val="00CD556C"/>
    <w:rsid w:val="00CE18C7"/>
    <w:rsid w:val="00CE288D"/>
    <w:rsid w:val="00CE53D1"/>
    <w:rsid w:val="00CE5B15"/>
    <w:rsid w:val="00D06641"/>
    <w:rsid w:val="00D07014"/>
    <w:rsid w:val="00D07814"/>
    <w:rsid w:val="00D115B3"/>
    <w:rsid w:val="00D12BBD"/>
    <w:rsid w:val="00D16571"/>
    <w:rsid w:val="00D2166C"/>
    <w:rsid w:val="00D246F7"/>
    <w:rsid w:val="00D2741A"/>
    <w:rsid w:val="00D36B47"/>
    <w:rsid w:val="00D4155F"/>
    <w:rsid w:val="00D44A6F"/>
    <w:rsid w:val="00D475E5"/>
    <w:rsid w:val="00D539C6"/>
    <w:rsid w:val="00D61D6C"/>
    <w:rsid w:val="00D64F4F"/>
    <w:rsid w:val="00D65196"/>
    <w:rsid w:val="00D710B8"/>
    <w:rsid w:val="00D82376"/>
    <w:rsid w:val="00D948DD"/>
    <w:rsid w:val="00DA18C9"/>
    <w:rsid w:val="00DB377D"/>
    <w:rsid w:val="00DB53E6"/>
    <w:rsid w:val="00DC08D5"/>
    <w:rsid w:val="00DC2E00"/>
    <w:rsid w:val="00DC381E"/>
    <w:rsid w:val="00DC4325"/>
    <w:rsid w:val="00DC55F7"/>
    <w:rsid w:val="00DC7196"/>
    <w:rsid w:val="00DD43C9"/>
    <w:rsid w:val="00DD7E83"/>
    <w:rsid w:val="00DE5883"/>
    <w:rsid w:val="00DE650E"/>
    <w:rsid w:val="00DE6DE9"/>
    <w:rsid w:val="00DE7436"/>
    <w:rsid w:val="00DE759D"/>
    <w:rsid w:val="00DE7683"/>
    <w:rsid w:val="00E02BD1"/>
    <w:rsid w:val="00E122CB"/>
    <w:rsid w:val="00E22BDD"/>
    <w:rsid w:val="00E312DC"/>
    <w:rsid w:val="00E3637A"/>
    <w:rsid w:val="00E43911"/>
    <w:rsid w:val="00E57A3C"/>
    <w:rsid w:val="00E615D4"/>
    <w:rsid w:val="00E63B52"/>
    <w:rsid w:val="00E6612F"/>
    <w:rsid w:val="00E661A5"/>
    <w:rsid w:val="00E749BF"/>
    <w:rsid w:val="00E810C7"/>
    <w:rsid w:val="00E82AD9"/>
    <w:rsid w:val="00E8550F"/>
    <w:rsid w:val="00E93EAC"/>
    <w:rsid w:val="00EA3D7A"/>
    <w:rsid w:val="00EA5E46"/>
    <w:rsid w:val="00EB0A16"/>
    <w:rsid w:val="00EB4734"/>
    <w:rsid w:val="00EB7968"/>
    <w:rsid w:val="00EB7C17"/>
    <w:rsid w:val="00ED3AF4"/>
    <w:rsid w:val="00EE16F0"/>
    <w:rsid w:val="00EE529D"/>
    <w:rsid w:val="00EF2E9D"/>
    <w:rsid w:val="00F062CB"/>
    <w:rsid w:val="00F07032"/>
    <w:rsid w:val="00F15B55"/>
    <w:rsid w:val="00F2114F"/>
    <w:rsid w:val="00F21A8D"/>
    <w:rsid w:val="00F2316B"/>
    <w:rsid w:val="00F42389"/>
    <w:rsid w:val="00F536EF"/>
    <w:rsid w:val="00F54F85"/>
    <w:rsid w:val="00F6445C"/>
    <w:rsid w:val="00F659E4"/>
    <w:rsid w:val="00F70CB1"/>
    <w:rsid w:val="00F75D18"/>
    <w:rsid w:val="00F92E61"/>
    <w:rsid w:val="00FB10B7"/>
    <w:rsid w:val="00FB1FDC"/>
    <w:rsid w:val="00FB26A3"/>
    <w:rsid w:val="00FB6C80"/>
    <w:rsid w:val="00FC0509"/>
    <w:rsid w:val="00FC29A8"/>
    <w:rsid w:val="00FC3FE4"/>
    <w:rsid w:val="00FE10A5"/>
    <w:rsid w:val="00FE1744"/>
    <w:rsid w:val="00FE2D05"/>
    <w:rsid w:val="00FE7499"/>
    <w:rsid w:val="00FF4781"/>
  </w:rsids>
  <m:mathPr>
    <m:mathFont m:val="Cambria Math"/>
    <m:brkBin m:val="before"/>
    <m:brkBinSub m:val="--"/>
    <m:smallFrac m:val="0"/>
    <m:dispDef/>
    <m:lMargin m:val="0"/>
    <m:rMargin m:val="0"/>
    <m:defJc m:val="centerGroup"/>
    <m:wrapIndent m:val="1440"/>
    <m:intLim m:val="subSup"/>
    <m:naryLim m:val="undOvr"/>
  </m:mathPr>
  <w:themeFontLang w:val="en-DE" w:bidi="hi-IN"/>
  <w:clrSchemeMapping w:bg1="light1" w:t1="dark1" w:bg2="light2" w:t2="dark2" w:accent1="accent1" w:accent2="accent2" w:accent3="accent3" w:accent4="accent4" w:accent5="accent5" w:accent6="accent6" w:hyperlink="hyperlink" w:followedHyperlink="followedHyperlink"/>
  <w:decimalSymbol w:val=","/>
  <w:listSeparator w:val=","/>
  <w14:docId w14:val="6DEC3CCE"/>
  <w15:chartTrackingRefBased/>
  <w15:docId w15:val="{A801169B-E620-AB41-9E83-8FD00706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1"/>
        <w:lang w:val="en-DE"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5B3"/>
    <w:rPr>
      <w:rFonts w:ascii="Times New Roman" w:eastAsia="Times New Roman" w:hAnsi="Times New Roman" w:cs="Times New Roman"/>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E6DE9"/>
    <w:rPr>
      <w:sz w:val="20"/>
      <w:szCs w:val="18"/>
    </w:rPr>
  </w:style>
  <w:style w:type="character" w:customStyle="1" w:styleId="EndnoteTextChar">
    <w:name w:val="Endnote Text Char"/>
    <w:basedOn w:val="DefaultParagraphFont"/>
    <w:link w:val="EndnoteText"/>
    <w:uiPriority w:val="99"/>
    <w:semiHidden/>
    <w:rsid w:val="00DE6DE9"/>
    <w:rPr>
      <w:sz w:val="20"/>
      <w:szCs w:val="18"/>
      <w:lang w:val="en-GB"/>
    </w:rPr>
  </w:style>
  <w:style w:type="character" w:styleId="EndnoteReference">
    <w:name w:val="endnote reference"/>
    <w:basedOn w:val="DefaultParagraphFont"/>
    <w:uiPriority w:val="99"/>
    <w:semiHidden/>
    <w:unhideWhenUsed/>
    <w:rsid w:val="00DE6DE9"/>
    <w:rPr>
      <w:vertAlign w:val="superscript"/>
    </w:rPr>
  </w:style>
  <w:style w:type="paragraph" w:styleId="NormalWeb">
    <w:name w:val="Normal (Web)"/>
    <w:basedOn w:val="Normal"/>
    <w:uiPriority w:val="99"/>
    <w:semiHidden/>
    <w:unhideWhenUsed/>
    <w:rsid w:val="001943B1"/>
    <w:rPr>
      <w:rFonts w:cs="Mangal"/>
    </w:rPr>
  </w:style>
  <w:style w:type="paragraph" w:styleId="Footer">
    <w:name w:val="footer"/>
    <w:basedOn w:val="Normal"/>
    <w:link w:val="FooterChar"/>
    <w:uiPriority w:val="99"/>
    <w:unhideWhenUsed/>
    <w:rsid w:val="00707C43"/>
    <w:pPr>
      <w:tabs>
        <w:tab w:val="center" w:pos="4680"/>
        <w:tab w:val="right" w:pos="9360"/>
      </w:tabs>
    </w:pPr>
  </w:style>
  <w:style w:type="character" w:customStyle="1" w:styleId="FooterChar">
    <w:name w:val="Footer Char"/>
    <w:basedOn w:val="DefaultParagraphFont"/>
    <w:link w:val="Footer"/>
    <w:uiPriority w:val="99"/>
    <w:rsid w:val="00707C43"/>
    <w:rPr>
      <w:lang w:val="en-GB"/>
    </w:rPr>
  </w:style>
  <w:style w:type="character" w:styleId="PageNumber">
    <w:name w:val="page number"/>
    <w:basedOn w:val="DefaultParagraphFont"/>
    <w:uiPriority w:val="99"/>
    <w:semiHidden/>
    <w:unhideWhenUsed/>
    <w:rsid w:val="00707C43"/>
  </w:style>
  <w:style w:type="character" w:styleId="Hyperlink">
    <w:name w:val="Hyperlink"/>
    <w:basedOn w:val="DefaultParagraphFont"/>
    <w:uiPriority w:val="99"/>
    <w:unhideWhenUsed/>
    <w:rsid w:val="003021B5"/>
    <w:rPr>
      <w:color w:val="0563C1" w:themeColor="hyperlink"/>
      <w:u w:val="single"/>
    </w:rPr>
  </w:style>
  <w:style w:type="character" w:styleId="UnresolvedMention">
    <w:name w:val="Unresolved Mention"/>
    <w:basedOn w:val="DefaultParagraphFont"/>
    <w:uiPriority w:val="99"/>
    <w:semiHidden/>
    <w:unhideWhenUsed/>
    <w:rsid w:val="00302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8375">
      <w:bodyDiv w:val="1"/>
      <w:marLeft w:val="0"/>
      <w:marRight w:val="0"/>
      <w:marTop w:val="0"/>
      <w:marBottom w:val="0"/>
      <w:divBdr>
        <w:top w:val="none" w:sz="0" w:space="0" w:color="auto"/>
        <w:left w:val="none" w:sz="0" w:space="0" w:color="auto"/>
        <w:bottom w:val="none" w:sz="0" w:space="0" w:color="auto"/>
        <w:right w:val="none" w:sz="0" w:space="0" w:color="auto"/>
      </w:divBdr>
      <w:divsChild>
        <w:div w:id="1195146572">
          <w:marLeft w:val="480"/>
          <w:marRight w:val="0"/>
          <w:marTop w:val="0"/>
          <w:marBottom w:val="0"/>
          <w:divBdr>
            <w:top w:val="none" w:sz="0" w:space="0" w:color="auto"/>
            <w:left w:val="none" w:sz="0" w:space="0" w:color="auto"/>
            <w:bottom w:val="none" w:sz="0" w:space="0" w:color="auto"/>
            <w:right w:val="none" w:sz="0" w:space="0" w:color="auto"/>
          </w:divBdr>
          <w:divsChild>
            <w:div w:id="24022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6925">
      <w:bodyDiv w:val="1"/>
      <w:marLeft w:val="0"/>
      <w:marRight w:val="0"/>
      <w:marTop w:val="0"/>
      <w:marBottom w:val="0"/>
      <w:divBdr>
        <w:top w:val="none" w:sz="0" w:space="0" w:color="auto"/>
        <w:left w:val="none" w:sz="0" w:space="0" w:color="auto"/>
        <w:bottom w:val="none" w:sz="0" w:space="0" w:color="auto"/>
        <w:right w:val="none" w:sz="0" w:space="0" w:color="auto"/>
      </w:divBdr>
      <w:divsChild>
        <w:div w:id="466246019">
          <w:marLeft w:val="480"/>
          <w:marRight w:val="0"/>
          <w:marTop w:val="0"/>
          <w:marBottom w:val="0"/>
          <w:divBdr>
            <w:top w:val="none" w:sz="0" w:space="0" w:color="auto"/>
            <w:left w:val="none" w:sz="0" w:space="0" w:color="auto"/>
            <w:bottom w:val="none" w:sz="0" w:space="0" w:color="auto"/>
            <w:right w:val="none" w:sz="0" w:space="0" w:color="auto"/>
          </w:divBdr>
          <w:divsChild>
            <w:div w:id="345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50155">
      <w:bodyDiv w:val="1"/>
      <w:marLeft w:val="0"/>
      <w:marRight w:val="0"/>
      <w:marTop w:val="0"/>
      <w:marBottom w:val="0"/>
      <w:divBdr>
        <w:top w:val="none" w:sz="0" w:space="0" w:color="auto"/>
        <w:left w:val="none" w:sz="0" w:space="0" w:color="auto"/>
        <w:bottom w:val="none" w:sz="0" w:space="0" w:color="auto"/>
        <w:right w:val="none" w:sz="0" w:space="0" w:color="auto"/>
      </w:divBdr>
      <w:divsChild>
        <w:div w:id="1727877326">
          <w:marLeft w:val="480"/>
          <w:marRight w:val="0"/>
          <w:marTop w:val="0"/>
          <w:marBottom w:val="0"/>
          <w:divBdr>
            <w:top w:val="none" w:sz="0" w:space="0" w:color="auto"/>
            <w:left w:val="none" w:sz="0" w:space="0" w:color="auto"/>
            <w:bottom w:val="none" w:sz="0" w:space="0" w:color="auto"/>
            <w:right w:val="none" w:sz="0" w:space="0" w:color="auto"/>
          </w:divBdr>
          <w:divsChild>
            <w:div w:id="23783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86802">
      <w:bodyDiv w:val="1"/>
      <w:marLeft w:val="0"/>
      <w:marRight w:val="0"/>
      <w:marTop w:val="0"/>
      <w:marBottom w:val="0"/>
      <w:divBdr>
        <w:top w:val="none" w:sz="0" w:space="0" w:color="auto"/>
        <w:left w:val="none" w:sz="0" w:space="0" w:color="auto"/>
        <w:bottom w:val="none" w:sz="0" w:space="0" w:color="auto"/>
        <w:right w:val="none" w:sz="0" w:space="0" w:color="auto"/>
      </w:divBdr>
      <w:divsChild>
        <w:div w:id="1889761970">
          <w:marLeft w:val="480"/>
          <w:marRight w:val="0"/>
          <w:marTop w:val="0"/>
          <w:marBottom w:val="0"/>
          <w:divBdr>
            <w:top w:val="none" w:sz="0" w:space="0" w:color="auto"/>
            <w:left w:val="none" w:sz="0" w:space="0" w:color="auto"/>
            <w:bottom w:val="none" w:sz="0" w:space="0" w:color="auto"/>
            <w:right w:val="none" w:sz="0" w:space="0" w:color="auto"/>
          </w:divBdr>
          <w:divsChild>
            <w:div w:id="1649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6974">
      <w:bodyDiv w:val="1"/>
      <w:marLeft w:val="0"/>
      <w:marRight w:val="0"/>
      <w:marTop w:val="0"/>
      <w:marBottom w:val="0"/>
      <w:divBdr>
        <w:top w:val="none" w:sz="0" w:space="0" w:color="auto"/>
        <w:left w:val="none" w:sz="0" w:space="0" w:color="auto"/>
        <w:bottom w:val="none" w:sz="0" w:space="0" w:color="auto"/>
        <w:right w:val="none" w:sz="0" w:space="0" w:color="auto"/>
      </w:divBdr>
      <w:divsChild>
        <w:div w:id="1236236861">
          <w:marLeft w:val="480"/>
          <w:marRight w:val="0"/>
          <w:marTop w:val="0"/>
          <w:marBottom w:val="0"/>
          <w:divBdr>
            <w:top w:val="none" w:sz="0" w:space="0" w:color="auto"/>
            <w:left w:val="none" w:sz="0" w:space="0" w:color="auto"/>
            <w:bottom w:val="none" w:sz="0" w:space="0" w:color="auto"/>
            <w:right w:val="none" w:sz="0" w:space="0" w:color="auto"/>
          </w:divBdr>
          <w:divsChild>
            <w:div w:id="17343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90986">
      <w:bodyDiv w:val="1"/>
      <w:marLeft w:val="0"/>
      <w:marRight w:val="0"/>
      <w:marTop w:val="0"/>
      <w:marBottom w:val="0"/>
      <w:divBdr>
        <w:top w:val="none" w:sz="0" w:space="0" w:color="auto"/>
        <w:left w:val="none" w:sz="0" w:space="0" w:color="auto"/>
        <w:bottom w:val="none" w:sz="0" w:space="0" w:color="auto"/>
        <w:right w:val="none" w:sz="0" w:space="0" w:color="auto"/>
      </w:divBdr>
      <w:divsChild>
        <w:div w:id="1381976410">
          <w:marLeft w:val="480"/>
          <w:marRight w:val="0"/>
          <w:marTop w:val="0"/>
          <w:marBottom w:val="0"/>
          <w:divBdr>
            <w:top w:val="none" w:sz="0" w:space="0" w:color="auto"/>
            <w:left w:val="none" w:sz="0" w:space="0" w:color="auto"/>
            <w:bottom w:val="none" w:sz="0" w:space="0" w:color="auto"/>
            <w:right w:val="none" w:sz="0" w:space="0" w:color="auto"/>
          </w:divBdr>
          <w:divsChild>
            <w:div w:id="19326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7438">
      <w:bodyDiv w:val="1"/>
      <w:marLeft w:val="0"/>
      <w:marRight w:val="0"/>
      <w:marTop w:val="0"/>
      <w:marBottom w:val="0"/>
      <w:divBdr>
        <w:top w:val="none" w:sz="0" w:space="0" w:color="auto"/>
        <w:left w:val="none" w:sz="0" w:space="0" w:color="auto"/>
        <w:bottom w:val="none" w:sz="0" w:space="0" w:color="auto"/>
        <w:right w:val="none" w:sz="0" w:space="0" w:color="auto"/>
      </w:divBdr>
      <w:divsChild>
        <w:div w:id="1475563149">
          <w:marLeft w:val="480"/>
          <w:marRight w:val="0"/>
          <w:marTop w:val="0"/>
          <w:marBottom w:val="0"/>
          <w:divBdr>
            <w:top w:val="none" w:sz="0" w:space="0" w:color="auto"/>
            <w:left w:val="none" w:sz="0" w:space="0" w:color="auto"/>
            <w:bottom w:val="none" w:sz="0" w:space="0" w:color="auto"/>
            <w:right w:val="none" w:sz="0" w:space="0" w:color="auto"/>
          </w:divBdr>
          <w:divsChild>
            <w:div w:id="4476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3417">
      <w:bodyDiv w:val="1"/>
      <w:marLeft w:val="0"/>
      <w:marRight w:val="0"/>
      <w:marTop w:val="0"/>
      <w:marBottom w:val="0"/>
      <w:divBdr>
        <w:top w:val="none" w:sz="0" w:space="0" w:color="auto"/>
        <w:left w:val="none" w:sz="0" w:space="0" w:color="auto"/>
        <w:bottom w:val="none" w:sz="0" w:space="0" w:color="auto"/>
        <w:right w:val="none" w:sz="0" w:space="0" w:color="auto"/>
      </w:divBdr>
      <w:divsChild>
        <w:div w:id="557126752">
          <w:marLeft w:val="480"/>
          <w:marRight w:val="0"/>
          <w:marTop w:val="0"/>
          <w:marBottom w:val="0"/>
          <w:divBdr>
            <w:top w:val="none" w:sz="0" w:space="0" w:color="auto"/>
            <w:left w:val="none" w:sz="0" w:space="0" w:color="auto"/>
            <w:bottom w:val="none" w:sz="0" w:space="0" w:color="auto"/>
            <w:right w:val="none" w:sz="0" w:space="0" w:color="auto"/>
          </w:divBdr>
          <w:divsChild>
            <w:div w:id="1600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80746">
      <w:bodyDiv w:val="1"/>
      <w:marLeft w:val="0"/>
      <w:marRight w:val="0"/>
      <w:marTop w:val="0"/>
      <w:marBottom w:val="0"/>
      <w:divBdr>
        <w:top w:val="none" w:sz="0" w:space="0" w:color="auto"/>
        <w:left w:val="none" w:sz="0" w:space="0" w:color="auto"/>
        <w:bottom w:val="none" w:sz="0" w:space="0" w:color="auto"/>
        <w:right w:val="none" w:sz="0" w:space="0" w:color="auto"/>
      </w:divBdr>
      <w:divsChild>
        <w:div w:id="1277904875">
          <w:marLeft w:val="480"/>
          <w:marRight w:val="0"/>
          <w:marTop w:val="0"/>
          <w:marBottom w:val="0"/>
          <w:divBdr>
            <w:top w:val="none" w:sz="0" w:space="0" w:color="auto"/>
            <w:left w:val="none" w:sz="0" w:space="0" w:color="auto"/>
            <w:bottom w:val="none" w:sz="0" w:space="0" w:color="auto"/>
            <w:right w:val="none" w:sz="0" w:space="0" w:color="auto"/>
          </w:divBdr>
          <w:divsChild>
            <w:div w:id="2875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9307">
      <w:bodyDiv w:val="1"/>
      <w:marLeft w:val="0"/>
      <w:marRight w:val="0"/>
      <w:marTop w:val="0"/>
      <w:marBottom w:val="0"/>
      <w:divBdr>
        <w:top w:val="none" w:sz="0" w:space="0" w:color="auto"/>
        <w:left w:val="none" w:sz="0" w:space="0" w:color="auto"/>
        <w:bottom w:val="none" w:sz="0" w:space="0" w:color="auto"/>
        <w:right w:val="none" w:sz="0" w:space="0" w:color="auto"/>
      </w:divBdr>
    </w:div>
    <w:div w:id="897714999">
      <w:bodyDiv w:val="1"/>
      <w:marLeft w:val="0"/>
      <w:marRight w:val="0"/>
      <w:marTop w:val="0"/>
      <w:marBottom w:val="0"/>
      <w:divBdr>
        <w:top w:val="none" w:sz="0" w:space="0" w:color="auto"/>
        <w:left w:val="none" w:sz="0" w:space="0" w:color="auto"/>
        <w:bottom w:val="none" w:sz="0" w:space="0" w:color="auto"/>
        <w:right w:val="none" w:sz="0" w:space="0" w:color="auto"/>
      </w:divBdr>
      <w:divsChild>
        <w:div w:id="878469862">
          <w:marLeft w:val="480"/>
          <w:marRight w:val="0"/>
          <w:marTop w:val="0"/>
          <w:marBottom w:val="0"/>
          <w:divBdr>
            <w:top w:val="none" w:sz="0" w:space="0" w:color="auto"/>
            <w:left w:val="none" w:sz="0" w:space="0" w:color="auto"/>
            <w:bottom w:val="none" w:sz="0" w:space="0" w:color="auto"/>
            <w:right w:val="none" w:sz="0" w:space="0" w:color="auto"/>
          </w:divBdr>
          <w:divsChild>
            <w:div w:id="124422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4048">
      <w:bodyDiv w:val="1"/>
      <w:marLeft w:val="0"/>
      <w:marRight w:val="0"/>
      <w:marTop w:val="0"/>
      <w:marBottom w:val="0"/>
      <w:divBdr>
        <w:top w:val="none" w:sz="0" w:space="0" w:color="auto"/>
        <w:left w:val="none" w:sz="0" w:space="0" w:color="auto"/>
        <w:bottom w:val="none" w:sz="0" w:space="0" w:color="auto"/>
        <w:right w:val="none" w:sz="0" w:space="0" w:color="auto"/>
      </w:divBdr>
    </w:div>
    <w:div w:id="916475107">
      <w:bodyDiv w:val="1"/>
      <w:marLeft w:val="0"/>
      <w:marRight w:val="0"/>
      <w:marTop w:val="0"/>
      <w:marBottom w:val="0"/>
      <w:divBdr>
        <w:top w:val="none" w:sz="0" w:space="0" w:color="auto"/>
        <w:left w:val="none" w:sz="0" w:space="0" w:color="auto"/>
        <w:bottom w:val="none" w:sz="0" w:space="0" w:color="auto"/>
        <w:right w:val="none" w:sz="0" w:space="0" w:color="auto"/>
      </w:divBdr>
      <w:divsChild>
        <w:div w:id="1363944812">
          <w:marLeft w:val="480"/>
          <w:marRight w:val="0"/>
          <w:marTop w:val="0"/>
          <w:marBottom w:val="0"/>
          <w:divBdr>
            <w:top w:val="none" w:sz="0" w:space="0" w:color="auto"/>
            <w:left w:val="none" w:sz="0" w:space="0" w:color="auto"/>
            <w:bottom w:val="none" w:sz="0" w:space="0" w:color="auto"/>
            <w:right w:val="none" w:sz="0" w:space="0" w:color="auto"/>
          </w:divBdr>
          <w:divsChild>
            <w:div w:id="449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5120">
      <w:bodyDiv w:val="1"/>
      <w:marLeft w:val="0"/>
      <w:marRight w:val="0"/>
      <w:marTop w:val="0"/>
      <w:marBottom w:val="0"/>
      <w:divBdr>
        <w:top w:val="none" w:sz="0" w:space="0" w:color="auto"/>
        <w:left w:val="none" w:sz="0" w:space="0" w:color="auto"/>
        <w:bottom w:val="none" w:sz="0" w:space="0" w:color="auto"/>
        <w:right w:val="none" w:sz="0" w:space="0" w:color="auto"/>
      </w:divBdr>
    </w:div>
    <w:div w:id="1269199248">
      <w:bodyDiv w:val="1"/>
      <w:marLeft w:val="0"/>
      <w:marRight w:val="0"/>
      <w:marTop w:val="0"/>
      <w:marBottom w:val="0"/>
      <w:divBdr>
        <w:top w:val="none" w:sz="0" w:space="0" w:color="auto"/>
        <w:left w:val="none" w:sz="0" w:space="0" w:color="auto"/>
        <w:bottom w:val="none" w:sz="0" w:space="0" w:color="auto"/>
        <w:right w:val="none" w:sz="0" w:space="0" w:color="auto"/>
      </w:divBdr>
    </w:div>
    <w:div w:id="1300574359">
      <w:bodyDiv w:val="1"/>
      <w:marLeft w:val="0"/>
      <w:marRight w:val="0"/>
      <w:marTop w:val="0"/>
      <w:marBottom w:val="0"/>
      <w:divBdr>
        <w:top w:val="none" w:sz="0" w:space="0" w:color="auto"/>
        <w:left w:val="none" w:sz="0" w:space="0" w:color="auto"/>
        <w:bottom w:val="none" w:sz="0" w:space="0" w:color="auto"/>
        <w:right w:val="none" w:sz="0" w:space="0" w:color="auto"/>
      </w:divBdr>
      <w:divsChild>
        <w:div w:id="356858185">
          <w:marLeft w:val="480"/>
          <w:marRight w:val="0"/>
          <w:marTop w:val="0"/>
          <w:marBottom w:val="0"/>
          <w:divBdr>
            <w:top w:val="none" w:sz="0" w:space="0" w:color="auto"/>
            <w:left w:val="none" w:sz="0" w:space="0" w:color="auto"/>
            <w:bottom w:val="none" w:sz="0" w:space="0" w:color="auto"/>
            <w:right w:val="none" w:sz="0" w:space="0" w:color="auto"/>
          </w:divBdr>
          <w:divsChild>
            <w:div w:id="118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2538">
      <w:bodyDiv w:val="1"/>
      <w:marLeft w:val="0"/>
      <w:marRight w:val="0"/>
      <w:marTop w:val="0"/>
      <w:marBottom w:val="0"/>
      <w:divBdr>
        <w:top w:val="none" w:sz="0" w:space="0" w:color="auto"/>
        <w:left w:val="none" w:sz="0" w:space="0" w:color="auto"/>
        <w:bottom w:val="none" w:sz="0" w:space="0" w:color="auto"/>
        <w:right w:val="none" w:sz="0" w:space="0" w:color="auto"/>
      </w:divBdr>
      <w:divsChild>
        <w:div w:id="2117754215">
          <w:marLeft w:val="480"/>
          <w:marRight w:val="0"/>
          <w:marTop w:val="0"/>
          <w:marBottom w:val="0"/>
          <w:divBdr>
            <w:top w:val="none" w:sz="0" w:space="0" w:color="auto"/>
            <w:left w:val="none" w:sz="0" w:space="0" w:color="auto"/>
            <w:bottom w:val="none" w:sz="0" w:space="0" w:color="auto"/>
            <w:right w:val="none" w:sz="0" w:space="0" w:color="auto"/>
          </w:divBdr>
          <w:divsChild>
            <w:div w:id="1444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66373">
      <w:bodyDiv w:val="1"/>
      <w:marLeft w:val="0"/>
      <w:marRight w:val="0"/>
      <w:marTop w:val="0"/>
      <w:marBottom w:val="0"/>
      <w:divBdr>
        <w:top w:val="none" w:sz="0" w:space="0" w:color="auto"/>
        <w:left w:val="none" w:sz="0" w:space="0" w:color="auto"/>
        <w:bottom w:val="none" w:sz="0" w:space="0" w:color="auto"/>
        <w:right w:val="none" w:sz="0" w:space="0" w:color="auto"/>
      </w:divBdr>
      <w:divsChild>
        <w:div w:id="1514107544">
          <w:marLeft w:val="480"/>
          <w:marRight w:val="0"/>
          <w:marTop w:val="0"/>
          <w:marBottom w:val="0"/>
          <w:divBdr>
            <w:top w:val="none" w:sz="0" w:space="0" w:color="auto"/>
            <w:left w:val="none" w:sz="0" w:space="0" w:color="auto"/>
            <w:bottom w:val="none" w:sz="0" w:space="0" w:color="auto"/>
            <w:right w:val="none" w:sz="0" w:space="0" w:color="auto"/>
          </w:divBdr>
          <w:divsChild>
            <w:div w:id="14540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59358">
      <w:bodyDiv w:val="1"/>
      <w:marLeft w:val="0"/>
      <w:marRight w:val="0"/>
      <w:marTop w:val="0"/>
      <w:marBottom w:val="0"/>
      <w:divBdr>
        <w:top w:val="none" w:sz="0" w:space="0" w:color="auto"/>
        <w:left w:val="none" w:sz="0" w:space="0" w:color="auto"/>
        <w:bottom w:val="none" w:sz="0" w:space="0" w:color="auto"/>
        <w:right w:val="none" w:sz="0" w:space="0" w:color="auto"/>
      </w:divBdr>
      <w:divsChild>
        <w:div w:id="238441553">
          <w:marLeft w:val="480"/>
          <w:marRight w:val="0"/>
          <w:marTop w:val="0"/>
          <w:marBottom w:val="0"/>
          <w:divBdr>
            <w:top w:val="none" w:sz="0" w:space="0" w:color="auto"/>
            <w:left w:val="none" w:sz="0" w:space="0" w:color="auto"/>
            <w:bottom w:val="none" w:sz="0" w:space="0" w:color="auto"/>
            <w:right w:val="none" w:sz="0" w:space="0" w:color="auto"/>
          </w:divBdr>
          <w:divsChild>
            <w:div w:id="192055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4717">
      <w:bodyDiv w:val="1"/>
      <w:marLeft w:val="0"/>
      <w:marRight w:val="0"/>
      <w:marTop w:val="0"/>
      <w:marBottom w:val="0"/>
      <w:divBdr>
        <w:top w:val="none" w:sz="0" w:space="0" w:color="auto"/>
        <w:left w:val="none" w:sz="0" w:space="0" w:color="auto"/>
        <w:bottom w:val="none" w:sz="0" w:space="0" w:color="auto"/>
        <w:right w:val="none" w:sz="0" w:space="0" w:color="auto"/>
      </w:divBdr>
      <w:divsChild>
        <w:div w:id="226918234">
          <w:marLeft w:val="480"/>
          <w:marRight w:val="0"/>
          <w:marTop w:val="0"/>
          <w:marBottom w:val="0"/>
          <w:divBdr>
            <w:top w:val="none" w:sz="0" w:space="0" w:color="auto"/>
            <w:left w:val="none" w:sz="0" w:space="0" w:color="auto"/>
            <w:bottom w:val="none" w:sz="0" w:space="0" w:color="auto"/>
            <w:right w:val="none" w:sz="0" w:space="0" w:color="auto"/>
          </w:divBdr>
          <w:divsChild>
            <w:div w:id="8656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53378">
      <w:bodyDiv w:val="1"/>
      <w:marLeft w:val="0"/>
      <w:marRight w:val="0"/>
      <w:marTop w:val="0"/>
      <w:marBottom w:val="0"/>
      <w:divBdr>
        <w:top w:val="none" w:sz="0" w:space="0" w:color="auto"/>
        <w:left w:val="none" w:sz="0" w:space="0" w:color="auto"/>
        <w:bottom w:val="none" w:sz="0" w:space="0" w:color="auto"/>
        <w:right w:val="none" w:sz="0" w:space="0" w:color="auto"/>
      </w:divBdr>
      <w:divsChild>
        <w:div w:id="1425034508">
          <w:marLeft w:val="480"/>
          <w:marRight w:val="0"/>
          <w:marTop w:val="0"/>
          <w:marBottom w:val="0"/>
          <w:divBdr>
            <w:top w:val="none" w:sz="0" w:space="0" w:color="auto"/>
            <w:left w:val="none" w:sz="0" w:space="0" w:color="auto"/>
            <w:bottom w:val="none" w:sz="0" w:space="0" w:color="auto"/>
            <w:right w:val="none" w:sz="0" w:space="0" w:color="auto"/>
          </w:divBdr>
          <w:divsChild>
            <w:div w:id="11043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38753">
      <w:bodyDiv w:val="1"/>
      <w:marLeft w:val="0"/>
      <w:marRight w:val="0"/>
      <w:marTop w:val="0"/>
      <w:marBottom w:val="0"/>
      <w:divBdr>
        <w:top w:val="none" w:sz="0" w:space="0" w:color="auto"/>
        <w:left w:val="none" w:sz="0" w:space="0" w:color="auto"/>
        <w:bottom w:val="none" w:sz="0" w:space="0" w:color="auto"/>
        <w:right w:val="none" w:sz="0" w:space="0" w:color="auto"/>
      </w:divBdr>
      <w:divsChild>
        <w:div w:id="1773089991">
          <w:marLeft w:val="480"/>
          <w:marRight w:val="0"/>
          <w:marTop w:val="0"/>
          <w:marBottom w:val="0"/>
          <w:divBdr>
            <w:top w:val="none" w:sz="0" w:space="0" w:color="auto"/>
            <w:left w:val="none" w:sz="0" w:space="0" w:color="auto"/>
            <w:bottom w:val="none" w:sz="0" w:space="0" w:color="auto"/>
            <w:right w:val="none" w:sz="0" w:space="0" w:color="auto"/>
          </w:divBdr>
          <w:divsChild>
            <w:div w:id="8827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5480">
      <w:bodyDiv w:val="1"/>
      <w:marLeft w:val="0"/>
      <w:marRight w:val="0"/>
      <w:marTop w:val="0"/>
      <w:marBottom w:val="0"/>
      <w:divBdr>
        <w:top w:val="none" w:sz="0" w:space="0" w:color="auto"/>
        <w:left w:val="none" w:sz="0" w:space="0" w:color="auto"/>
        <w:bottom w:val="none" w:sz="0" w:space="0" w:color="auto"/>
        <w:right w:val="none" w:sz="0" w:space="0" w:color="auto"/>
      </w:divBdr>
      <w:divsChild>
        <w:div w:id="2086606428">
          <w:marLeft w:val="480"/>
          <w:marRight w:val="0"/>
          <w:marTop w:val="0"/>
          <w:marBottom w:val="0"/>
          <w:divBdr>
            <w:top w:val="none" w:sz="0" w:space="0" w:color="auto"/>
            <w:left w:val="none" w:sz="0" w:space="0" w:color="auto"/>
            <w:bottom w:val="none" w:sz="0" w:space="0" w:color="auto"/>
            <w:right w:val="none" w:sz="0" w:space="0" w:color="auto"/>
          </w:divBdr>
          <w:divsChild>
            <w:div w:id="15844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81854">
      <w:bodyDiv w:val="1"/>
      <w:marLeft w:val="0"/>
      <w:marRight w:val="0"/>
      <w:marTop w:val="0"/>
      <w:marBottom w:val="0"/>
      <w:divBdr>
        <w:top w:val="none" w:sz="0" w:space="0" w:color="auto"/>
        <w:left w:val="none" w:sz="0" w:space="0" w:color="auto"/>
        <w:bottom w:val="none" w:sz="0" w:space="0" w:color="auto"/>
        <w:right w:val="none" w:sz="0" w:space="0" w:color="auto"/>
      </w:divBdr>
      <w:divsChild>
        <w:div w:id="1217426926">
          <w:marLeft w:val="480"/>
          <w:marRight w:val="0"/>
          <w:marTop w:val="0"/>
          <w:marBottom w:val="0"/>
          <w:divBdr>
            <w:top w:val="none" w:sz="0" w:space="0" w:color="auto"/>
            <w:left w:val="none" w:sz="0" w:space="0" w:color="auto"/>
            <w:bottom w:val="none" w:sz="0" w:space="0" w:color="auto"/>
            <w:right w:val="none" w:sz="0" w:space="0" w:color="auto"/>
          </w:divBdr>
          <w:divsChild>
            <w:div w:id="1075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2396">
      <w:bodyDiv w:val="1"/>
      <w:marLeft w:val="0"/>
      <w:marRight w:val="0"/>
      <w:marTop w:val="0"/>
      <w:marBottom w:val="0"/>
      <w:divBdr>
        <w:top w:val="none" w:sz="0" w:space="0" w:color="auto"/>
        <w:left w:val="none" w:sz="0" w:space="0" w:color="auto"/>
        <w:bottom w:val="none" w:sz="0" w:space="0" w:color="auto"/>
        <w:right w:val="none" w:sz="0" w:space="0" w:color="auto"/>
      </w:divBdr>
      <w:divsChild>
        <w:div w:id="102699919">
          <w:marLeft w:val="480"/>
          <w:marRight w:val="0"/>
          <w:marTop w:val="0"/>
          <w:marBottom w:val="0"/>
          <w:divBdr>
            <w:top w:val="none" w:sz="0" w:space="0" w:color="auto"/>
            <w:left w:val="none" w:sz="0" w:space="0" w:color="auto"/>
            <w:bottom w:val="none" w:sz="0" w:space="0" w:color="auto"/>
            <w:right w:val="none" w:sz="0" w:space="0" w:color="auto"/>
          </w:divBdr>
          <w:divsChild>
            <w:div w:id="20951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6832">
      <w:bodyDiv w:val="1"/>
      <w:marLeft w:val="0"/>
      <w:marRight w:val="0"/>
      <w:marTop w:val="0"/>
      <w:marBottom w:val="0"/>
      <w:divBdr>
        <w:top w:val="none" w:sz="0" w:space="0" w:color="auto"/>
        <w:left w:val="none" w:sz="0" w:space="0" w:color="auto"/>
        <w:bottom w:val="none" w:sz="0" w:space="0" w:color="auto"/>
        <w:right w:val="none" w:sz="0" w:space="0" w:color="auto"/>
      </w:divBdr>
      <w:divsChild>
        <w:div w:id="500244708">
          <w:marLeft w:val="480"/>
          <w:marRight w:val="0"/>
          <w:marTop w:val="0"/>
          <w:marBottom w:val="0"/>
          <w:divBdr>
            <w:top w:val="none" w:sz="0" w:space="0" w:color="auto"/>
            <w:left w:val="none" w:sz="0" w:space="0" w:color="auto"/>
            <w:bottom w:val="none" w:sz="0" w:space="0" w:color="auto"/>
            <w:right w:val="none" w:sz="0" w:space="0" w:color="auto"/>
          </w:divBdr>
          <w:divsChild>
            <w:div w:id="13744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750">
      <w:bodyDiv w:val="1"/>
      <w:marLeft w:val="0"/>
      <w:marRight w:val="0"/>
      <w:marTop w:val="0"/>
      <w:marBottom w:val="0"/>
      <w:divBdr>
        <w:top w:val="none" w:sz="0" w:space="0" w:color="auto"/>
        <w:left w:val="none" w:sz="0" w:space="0" w:color="auto"/>
        <w:bottom w:val="none" w:sz="0" w:space="0" w:color="auto"/>
        <w:right w:val="none" w:sz="0" w:space="0" w:color="auto"/>
      </w:divBdr>
    </w:div>
    <w:div w:id="2072919375">
      <w:bodyDiv w:val="1"/>
      <w:marLeft w:val="0"/>
      <w:marRight w:val="0"/>
      <w:marTop w:val="0"/>
      <w:marBottom w:val="0"/>
      <w:divBdr>
        <w:top w:val="none" w:sz="0" w:space="0" w:color="auto"/>
        <w:left w:val="none" w:sz="0" w:space="0" w:color="auto"/>
        <w:bottom w:val="none" w:sz="0" w:space="0" w:color="auto"/>
        <w:right w:val="none" w:sz="0" w:space="0" w:color="auto"/>
      </w:divBdr>
    </w:div>
    <w:div w:id="2076928463">
      <w:bodyDiv w:val="1"/>
      <w:marLeft w:val="0"/>
      <w:marRight w:val="0"/>
      <w:marTop w:val="0"/>
      <w:marBottom w:val="0"/>
      <w:divBdr>
        <w:top w:val="none" w:sz="0" w:space="0" w:color="auto"/>
        <w:left w:val="none" w:sz="0" w:space="0" w:color="auto"/>
        <w:bottom w:val="none" w:sz="0" w:space="0" w:color="auto"/>
        <w:right w:val="none" w:sz="0" w:space="0" w:color="auto"/>
      </w:divBdr>
    </w:div>
    <w:div w:id="2113161832">
      <w:bodyDiv w:val="1"/>
      <w:marLeft w:val="0"/>
      <w:marRight w:val="0"/>
      <w:marTop w:val="0"/>
      <w:marBottom w:val="0"/>
      <w:divBdr>
        <w:top w:val="none" w:sz="0" w:space="0" w:color="auto"/>
        <w:left w:val="none" w:sz="0" w:space="0" w:color="auto"/>
        <w:bottom w:val="none" w:sz="0" w:space="0" w:color="auto"/>
        <w:right w:val="none" w:sz="0" w:space="0" w:color="auto"/>
      </w:divBdr>
      <w:divsChild>
        <w:div w:id="883954676">
          <w:marLeft w:val="480"/>
          <w:marRight w:val="0"/>
          <w:marTop w:val="0"/>
          <w:marBottom w:val="0"/>
          <w:divBdr>
            <w:top w:val="none" w:sz="0" w:space="0" w:color="auto"/>
            <w:left w:val="none" w:sz="0" w:space="0" w:color="auto"/>
            <w:bottom w:val="none" w:sz="0" w:space="0" w:color="auto"/>
            <w:right w:val="none" w:sz="0" w:space="0" w:color="auto"/>
          </w:divBdr>
          <w:divsChild>
            <w:div w:id="3984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BFB78CA-2A03-5846-B919-71E60C60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2007</Words>
  <Characters>11160</Characters>
  <Application>Microsoft Office Word</Application>
  <DocSecurity>0</DocSecurity>
  <Lines>166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Sabastian</dc:creator>
  <cp:keywords/>
  <dc:description/>
  <cp:lastModifiedBy>Luna Sabastian</cp:lastModifiedBy>
  <cp:revision>21</cp:revision>
  <cp:lastPrinted>2022-12-05T12:29:00Z</cp:lastPrinted>
  <dcterms:created xsi:type="dcterms:W3CDTF">2022-12-05T12:29:00Z</dcterms:created>
  <dcterms:modified xsi:type="dcterms:W3CDTF">2022-12-05T16:15:00Z</dcterms:modified>
</cp:coreProperties>
</file>