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EC98C" w14:textId="77777777" w:rsidR="008F5062" w:rsidRPr="008F5062" w:rsidRDefault="008F5062">
      <w:pPr>
        <w:spacing w:line="480" w:lineRule="auto"/>
        <w:ind w:firstLine="360"/>
        <w:jc w:val="center"/>
        <w:rPr>
          <w:b/>
          <w:color w:val="000000" w:themeColor="text1"/>
          <w:sz w:val="40"/>
          <w:szCs w:val="40"/>
        </w:rPr>
      </w:pPr>
    </w:p>
    <w:p w14:paraId="6360B5D1" w14:textId="77777777" w:rsidR="008F5062" w:rsidRPr="008F5062" w:rsidRDefault="008F5062">
      <w:pPr>
        <w:spacing w:line="480" w:lineRule="auto"/>
        <w:ind w:firstLine="360"/>
        <w:jc w:val="center"/>
        <w:rPr>
          <w:b/>
          <w:color w:val="000000" w:themeColor="text1"/>
          <w:sz w:val="40"/>
          <w:szCs w:val="40"/>
        </w:rPr>
      </w:pPr>
    </w:p>
    <w:p w14:paraId="048DBA2F" w14:textId="77777777" w:rsidR="008F5062" w:rsidRPr="008F5062" w:rsidRDefault="008F5062">
      <w:pPr>
        <w:spacing w:line="480" w:lineRule="auto"/>
        <w:ind w:firstLine="360"/>
        <w:jc w:val="center"/>
        <w:rPr>
          <w:b/>
          <w:color w:val="000000" w:themeColor="text1"/>
          <w:sz w:val="40"/>
          <w:szCs w:val="40"/>
        </w:rPr>
      </w:pPr>
    </w:p>
    <w:p w14:paraId="0EE87431" w14:textId="102C0A24" w:rsidR="008F5062" w:rsidRPr="008F5062" w:rsidRDefault="008F5062">
      <w:pPr>
        <w:spacing w:line="480" w:lineRule="auto"/>
        <w:ind w:firstLine="360"/>
        <w:jc w:val="center"/>
        <w:rPr>
          <w:b/>
          <w:color w:val="000000" w:themeColor="text1"/>
          <w:sz w:val="40"/>
          <w:szCs w:val="40"/>
        </w:rPr>
      </w:pPr>
      <w:r w:rsidRPr="008F5062">
        <w:rPr>
          <w:b/>
          <w:color w:val="000000" w:themeColor="text1"/>
          <w:sz w:val="40"/>
          <w:szCs w:val="40"/>
        </w:rPr>
        <w:t>North</w:t>
      </w:r>
    </w:p>
    <w:p w14:paraId="489E8EAC" w14:textId="77777777" w:rsidR="008F5062" w:rsidRPr="008F5062" w:rsidRDefault="008F5062">
      <w:pPr>
        <w:rPr>
          <w:b/>
          <w:color w:val="000000" w:themeColor="text1"/>
        </w:rPr>
      </w:pPr>
      <w:r w:rsidRPr="008F5062">
        <w:rPr>
          <w:b/>
          <w:color w:val="000000" w:themeColor="text1"/>
        </w:rPr>
        <w:br w:type="page"/>
      </w:r>
    </w:p>
    <w:p w14:paraId="3A099641" w14:textId="77777777" w:rsidR="008F5062" w:rsidRPr="008F5062" w:rsidRDefault="008F5062">
      <w:pPr>
        <w:spacing w:line="480" w:lineRule="auto"/>
        <w:ind w:firstLine="360"/>
        <w:jc w:val="center"/>
        <w:rPr>
          <w:b/>
          <w:color w:val="000000" w:themeColor="text1"/>
        </w:rPr>
      </w:pPr>
    </w:p>
    <w:p w14:paraId="5C3B5239" w14:textId="77777777" w:rsidR="008F5062" w:rsidRPr="008F5062" w:rsidRDefault="008F5062">
      <w:pPr>
        <w:rPr>
          <w:b/>
          <w:color w:val="000000" w:themeColor="text1"/>
        </w:rPr>
      </w:pPr>
      <w:r w:rsidRPr="008F5062">
        <w:rPr>
          <w:b/>
          <w:color w:val="000000" w:themeColor="text1"/>
        </w:rPr>
        <w:br w:type="page"/>
      </w:r>
    </w:p>
    <w:p w14:paraId="00000001" w14:textId="1CD616F4" w:rsidR="00C77584" w:rsidRPr="008F5062" w:rsidRDefault="00000000">
      <w:pPr>
        <w:spacing w:line="480" w:lineRule="auto"/>
        <w:ind w:firstLine="360"/>
        <w:jc w:val="center"/>
        <w:rPr>
          <w:b/>
          <w:color w:val="000000" w:themeColor="text1"/>
        </w:rPr>
      </w:pPr>
      <w:r w:rsidRPr="008F5062">
        <w:rPr>
          <w:b/>
          <w:color w:val="000000" w:themeColor="text1"/>
        </w:rPr>
        <w:lastRenderedPageBreak/>
        <w:t>Chapter 30</w:t>
      </w:r>
    </w:p>
    <w:p w14:paraId="00000002" w14:textId="05DAE20C" w:rsidR="00C77584" w:rsidRPr="008F5062" w:rsidRDefault="00000000">
      <w:pPr>
        <w:spacing w:line="480" w:lineRule="auto"/>
        <w:ind w:firstLine="360"/>
        <w:jc w:val="center"/>
        <w:rPr>
          <w:b/>
          <w:color w:val="000000" w:themeColor="text1"/>
        </w:rPr>
      </w:pPr>
      <w:r w:rsidRPr="008F5062">
        <w:rPr>
          <w:b/>
          <w:color w:val="000000" w:themeColor="text1"/>
        </w:rPr>
        <w:t xml:space="preserve">Moorgate, Enfield, Edmonton and Hampstead: </w:t>
      </w:r>
      <w:r w:rsidR="008F5062" w:rsidRPr="008F5062">
        <w:rPr>
          <w:b/>
          <w:color w:val="000000" w:themeColor="text1"/>
        </w:rPr>
        <w:br/>
      </w:r>
      <w:r w:rsidRPr="008F5062">
        <w:rPr>
          <w:b/>
          <w:color w:val="000000" w:themeColor="text1"/>
        </w:rPr>
        <w:t>The Cross-City Migrations of John Keats</w:t>
      </w:r>
    </w:p>
    <w:p w14:paraId="00000004" w14:textId="391EA706" w:rsidR="00C77584" w:rsidRPr="008F5062" w:rsidRDefault="00000000" w:rsidP="008F5062">
      <w:pPr>
        <w:spacing w:line="480" w:lineRule="auto"/>
        <w:ind w:firstLine="360"/>
        <w:jc w:val="center"/>
        <w:rPr>
          <w:b/>
          <w:color w:val="000000" w:themeColor="text1"/>
        </w:rPr>
      </w:pPr>
      <w:r w:rsidRPr="008F5062">
        <w:rPr>
          <w:b/>
          <w:color w:val="000000" w:themeColor="text1"/>
        </w:rPr>
        <w:t xml:space="preserve">Flora </w:t>
      </w:r>
      <w:proofErr w:type="spellStart"/>
      <w:r w:rsidRPr="008F5062">
        <w:rPr>
          <w:b/>
          <w:color w:val="000000" w:themeColor="text1"/>
        </w:rPr>
        <w:t>Lisica</w:t>
      </w:r>
      <w:proofErr w:type="spellEnd"/>
    </w:p>
    <w:p w14:paraId="00000005" w14:textId="77777777" w:rsidR="00C77584" w:rsidRPr="008F5062" w:rsidRDefault="00C77584">
      <w:pPr>
        <w:spacing w:line="480" w:lineRule="auto"/>
        <w:rPr>
          <w:color w:val="000000" w:themeColor="text1"/>
        </w:rPr>
      </w:pPr>
    </w:p>
    <w:p w14:paraId="0DD5ED36" w14:textId="77777777" w:rsidR="008F5062" w:rsidRPr="008F5062" w:rsidRDefault="00000000" w:rsidP="008F5062">
      <w:pPr>
        <w:spacing w:line="480" w:lineRule="auto"/>
        <w:rPr>
          <w:color w:val="000000" w:themeColor="text1"/>
        </w:rPr>
      </w:pPr>
      <w:r w:rsidRPr="008F5062">
        <w:rPr>
          <w:color w:val="000000" w:themeColor="text1"/>
        </w:rPr>
        <w:t>There is something strange about glimpsing lines from Keats’s ‘To Autumn’ (1819) on the London tube, where its last stanza is displayed by Poems on the Underground: amidst the busy rush hour rattle of the Bakerloo line, the passing seasons which are the subject of Keats’s poem feel rather remote. This seems appropriate, too, however, given that, despite repeatedly being drawn to natural subjects in his poetry, Keats was born in London, and spent most of his life in the city and its surroundings</w:t>
      </w:r>
      <w:r w:rsidR="008F5062" w:rsidRPr="008F5062">
        <w:rPr>
          <w:color w:val="000000" w:themeColor="text1"/>
        </w:rPr>
        <w:t>.</w:t>
      </w:r>
    </w:p>
    <w:p w14:paraId="74F892C4" w14:textId="534DEE3D" w:rsidR="008F5062" w:rsidRPr="008F5062" w:rsidRDefault="00000000" w:rsidP="008F5062">
      <w:pPr>
        <w:spacing w:line="480" w:lineRule="auto"/>
        <w:ind w:firstLine="720"/>
        <w:rPr>
          <w:color w:val="000000" w:themeColor="text1"/>
        </w:rPr>
      </w:pPr>
      <w:r w:rsidRPr="008F5062">
        <w:rPr>
          <w:color w:val="000000" w:themeColor="text1"/>
        </w:rPr>
        <w:t>It may therefore seem counterintuitive to think of Keats in the context of migration. John Gibson Lockhart infamously branded Keats a ‘Cockney’ poet precisely because he felt that Keats could never shake off his London background, not even when writing about nature.</w:t>
      </w:r>
      <w:r w:rsidR="008F5062" w:rsidRPr="008F5062">
        <w:rPr>
          <w:color w:val="000000" w:themeColor="text1"/>
          <w:vertAlign w:val="superscript"/>
        </w:rPr>
        <w:endnoteReference w:id="1"/>
      </w:r>
      <w:r w:rsidR="008F5062" w:rsidRPr="008F5062">
        <w:rPr>
          <w:color w:val="000000" w:themeColor="text1"/>
        </w:rPr>
        <w:t xml:space="preserve"> But when read in the context of Keats’s migrations between London and its surrounding countryside, and in light of the broader currents of migration which were pulling many Londoners to and from the city at the start of the nineteenth century, Keats’s insistent flights from the urban to the natural in his poems gain additional significance.</w:t>
      </w:r>
    </w:p>
    <w:p w14:paraId="5C8EB1A9" w14:textId="77777777" w:rsidR="008F5062" w:rsidRPr="008F5062" w:rsidRDefault="008F5062" w:rsidP="008F5062">
      <w:pPr>
        <w:spacing w:line="480" w:lineRule="auto"/>
        <w:ind w:firstLine="720"/>
        <w:rPr>
          <w:color w:val="000000" w:themeColor="text1"/>
        </w:rPr>
      </w:pPr>
      <w:r w:rsidRPr="008F5062">
        <w:rPr>
          <w:color w:val="000000" w:themeColor="text1"/>
        </w:rPr>
        <w:t>Born in Moorgate, Keats spent a substantial portion of his childhood and teens in Edmonton and Enfield; now firmly understood as part of Greater London, they were still very much outside of the city in Keats’s time, and his move to Southwark in his late teens to pursue his medical studies signified a shift back from a rural to an urban environment. This was a common experience: up to 10,000 people were moving to London from other parts of Britain annually in the period, typically to find work, and Keats therefore resembled many other migrants upon his return to the city centre.</w:t>
      </w:r>
      <w:r w:rsidRPr="008F5062">
        <w:rPr>
          <w:color w:val="000000" w:themeColor="text1"/>
          <w:vertAlign w:val="superscript"/>
        </w:rPr>
        <w:endnoteReference w:id="2"/>
      </w:r>
    </w:p>
    <w:p w14:paraId="012CD7BC" w14:textId="77777777" w:rsidR="008F5062" w:rsidRPr="008F5062" w:rsidRDefault="008F5062" w:rsidP="008F5062">
      <w:pPr>
        <w:spacing w:line="480" w:lineRule="auto"/>
        <w:ind w:firstLine="720"/>
        <w:rPr>
          <w:color w:val="000000" w:themeColor="text1"/>
        </w:rPr>
      </w:pPr>
      <w:r w:rsidRPr="008F5062">
        <w:rPr>
          <w:color w:val="000000" w:themeColor="text1"/>
        </w:rPr>
        <w:lastRenderedPageBreak/>
        <w:t>At once, the capital’s expansion was pushing the countryside further and further away as the city was, figuratively speaking, migrating into the countryside, and contributing to the increased cultural significance of nature in the city. By Keats's time, London was becoming large and well-connected enough for people to cross fairly substantial distances to relocate from one area of the city to another.</w:t>
      </w:r>
      <w:r w:rsidRPr="008F5062">
        <w:rPr>
          <w:b/>
          <w:color w:val="000000" w:themeColor="text1"/>
        </w:rPr>
        <w:t xml:space="preserve"> </w:t>
      </w:r>
      <w:r w:rsidRPr="008F5062">
        <w:rPr>
          <w:color w:val="000000" w:themeColor="text1"/>
        </w:rPr>
        <w:t xml:space="preserve">Now </w:t>
      </w:r>
      <w:proofErr w:type="gramStart"/>
      <w:r w:rsidRPr="008F5062">
        <w:rPr>
          <w:color w:val="000000" w:themeColor="text1"/>
        </w:rPr>
        <w:t>an</w:t>
      </w:r>
      <w:proofErr w:type="gramEnd"/>
      <w:r w:rsidRPr="008F5062">
        <w:rPr>
          <w:color w:val="000000" w:themeColor="text1"/>
        </w:rPr>
        <w:t xml:space="preserve"> ubiquitous part of the texture of the city, migrations of this kind began to be an increasingly significant part of Londoners’ lives by the start of the nineteenth century, when the city was at once becoming expansive enough to require such travel, and was developing the infrastructure to facilitate it. The insistent desire of Keats’s poems to imaginatively transport readers to natural settings can be read as reflective of these shifts, while considering Keats’s poems in this context in turn also helps us understand the varied experiences of migration.</w:t>
      </w:r>
    </w:p>
    <w:p w14:paraId="0000000A" w14:textId="3403989C" w:rsidR="008F5062" w:rsidRPr="008F5062" w:rsidRDefault="008F5062" w:rsidP="008F5062">
      <w:pPr>
        <w:spacing w:line="480" w:lineRule="auto"/>
        <w:ind w:firstLine="720"/>
        <w:rPr>
          <w:color w:val="000000" w:themeColor="text1"/>
        </w:rPr>
      </w:pPr>
      <w:r w:rsidRPr="008F5062">
        <w:rPr>
          <w:color w:val="000000" w:themeColor="text1"/>
        </w:rPr>
        <w:t>In ‘O Solitude’ (c.1815-16), which was the first of Keats’s poems to be published, and was written while he was living in Southwark, Keats makes his preference for a rural environment to the realities of the city apparent as he writes:</w:t>
      </w:r>
    </w:p>
    <w:p w14:paraId="0000000B" w14:textId="77777777" w:rsidR="008F5062" w:rsidRPr="008F5062" w:rsidRDefault="008F5062">
      <w:pPr>
        <w:spacing w:line="480" w:lineRule="auto"/>
        <w:ind w:firstLine="360"/>
        <w:rPr>
          <w:color w:val="000000" w:themeColor="text1"/>
        </w:rPr>
      </w:pPr>
    </w:p>
    <w:p w14:paraId="0000000C" w14:textId="77777777" w:rsidR="008F5062" w:rsidRPr="008F5062" w:rsidRDefault="008F5062">
      <w:pPr>
        <w:spacing w:line="480" w:lineRule="auto"/>
        <w:ind w:firstLine="360"/>
        <w:rPr>
          <w:color w:val="000000" w:themeColor="text1"/>
        </w:rPr>
      </w:pPr>
      <w:r w:rsidRPr="008F5062">
        <w:rPr>
          <w:color w:val="000000" w:themeColor="text1"/>
        </w:rPr>
        <w:t xml:space="preserve">O Solitude! If I must with thee dwell, </w:t>
      </w:r>
    </w:p>
    <w:p w14:paraId="0000000D" w14:textId="77777777" w:rsidR="008F5062" w:rsidRPr="008F5062" w:rsidRDefault="008F5062">
      <w:pPr>
        <w:spacing w:line="480" w:lineRule="auto"/>
        <w:ind w:firstLine="360"/>
        <w:rPr>
          <w:color w:val="000000" w:themeColor="text1"/>
        </w:rPr>
      </w:pPr>
      <w:r w:rsidRPr="008F5062">
        <w:rPr>
          <w:color w:val="000000" w:themeColor="text1"/>
        </w:rPr>
        <w:t xml:space="preserve">Let it not be among the jumbled heap </w:t>
      </w:r>
    </w:p>
    <w:p w14:paraId="0000000E" w14:textId="77777777" w:rsidR="008F5062" w:rsidRPr="008F5062" w:rsidRDefault="008F5062">
      <w:pPr>
        <w:spacing w:line="480" w:lineRule="auto"/>
        <w:ind w:firstLine="360"/>
        <w:rPr>
          <w:color w:val="000000" w:themeColor="text1"/>
        </w:rPr>
      </w:pPr>
      <w:r w:rsidRPr="008F5062">
        <w:rPr>
          <w:color w:val="000000" w:themeColor="text1"/>
        </w:rPr>
        <w:t xml:space="preserve">Of murky buildings; climb with me the steep, – </w:t>
      </w:r>
    </w:p>
    <w:p w14:paraId="0000000F" w14:textId="77777777" w:rsidR="008F5062" w:rsidRPr="008F5062" w:rsidRDefault="008F5062">
      <w:pPr>
        <w:spacing w:line="480" w:lineRule="auto"/>
        <w:ind w:firstLine="360"/>
        <w:rPr>
          <w:color w:val="000000" w:themeColor="text1"/>
        </w:rPr>
      </w:pPr>
      <w:r w:rsidRPr="008F5062">
        <w:rPr>
          <w:color w:val="000000" w:themeColor="text1"/>
        </w:rPr>
        <w:t>Nature’s observatory – whence the dell,</w:t>
      </w:r>
    </w:p>
    <w:p w14:paraId="00000010" w14:textId="77777777" w:rsidR="008F5062" w:rsidRPr="008F5062" w:rsidRDefault="008F5062">
      <w:pPr>
        <w:spacing w:line="480" w:lineRule="auto"/>
        <w:ind w:firstLine="360"/>
        <w:rPr>
          <w:color w:val="000000" w:themeColor="text1"/>
        </w:rPr>
      </w:pPr>
      <w:r w:rsidRPr="008F5062">
        <w:rPr>
          <w:color w:val="000000" w:themeColor="text1"/>
        </w:rPr>
        <w:t>Its flowery slopes, its river’s crystal swell,</w:t>
      </w:r>
    </w:p>
    <w:p w14:paraId="00000011" w14:textId="77777777" w:rsidR="008F5062" w:rsidRPr="008F5062" w:rsidRDefault="008F5062">
      <w:pPr>
        <w:spacing w:line="480" w:lineRule="auto"/>
        <w:ind w:firstLine="360"/>
        <w:rPr>
          <w:color w:val="000000" w:themeColor="text1"/>
        </w:rPr>
      </w:pPr>
      <w:r w:rsidRPr="008F5062">
        <w:rPr>
          <w:color w:val="000000" w:themeColor="text1"/>
        </w:rPr>
        <w:t>May seem a span</w:t>
      </w:r>
      <w:r w:rsidRPr="008F5062">
        <w:rPr>
          <w:color w:val="000000" w:themeColor="text1"/>
          <w:vertAlign w:val="superscript"/>
        </w:rPr>
        <w:endnoteReference w:id="3"/>
      </w:r>
    </w:p>
    <w:p w14:paraId="00000012" w14:textId="77777777" w:rsidR="008F5062" w:rsidRPr="008F5062" w:rsidRDefault="008F5062">
      <w:pPr>
        <w:spacing w:line="480" w:lineRule="auto"/>
        <w:ind w:firstLine="360"/>
        <w:rPr>
          <w:color w:val="000000" w:themeColor="text1"/>
        </w:rPr>
      </w:pPr>
    </w:p>
    <w:p w14:paraId="604A5374" w14:textId="2FED367E" w:rsidR="008F5062" w:rsidRPr="008F5062" w:rsidRDefault="008F5062" w:rsidP="008F5062">
      <w:pPr>
        <w:spacing w:line="480" w:lineRule="auto"/>
        <w:rPr>
          <w:color w:val="000000" w:themeColor="text1"/>
        </w:rPr>
      </w:pPr>
      <w:r w:rsidRPr="008F5062">
        <w:rPr>
          <w:color w:val="000000" w:themeColor="text1"/>
        </w:rPr>
        <w:t xml:space="preserve">Keats’s description of ‘the jumbled heap </w:t>
      </w:r>
      <w:r w:rsidR="00751EF2">
        <w:rPr>
          <w:color w:val="000000" w:themeColor="text1"/>
        </w:rPr>
        <w:t>|</w:t>
      </w:r>
      <w:r w:rsidRPr="008F5062">
        <w:rPr>
          <w:color w:val="000000" w:themeColor="text1"/>
        </w:rPr>
        <w:t xml:space="preserve"> Of murky buildings’ brings to mind the Georgian terraces which had by the early 1800s taken over the south side of the river; they appear stiflingly dense in the Rhinebeck Panorama of London (c.1806-7), the geometric pattern of </w:t>
      </w:r>
      <w:r w:rsidRPr="008F5062">
        <w:rPr>
          <w:color w:val="000000" w:themeColor="text1"/>
        </w:rPr>
        <w:lastRenderedPageBreak/>
        <w:t>the sharp roofs stretching into infinity.</w:t>
      </w:r>
      <w:r w:rsidRPr="008F5062">
        <w:rPr>
          <w:color w:val="000000" w:themeColor="text1"/>
          <w:vertAlign w:val="superscript"/>
        </w:rPr>
        <w:endnoteReference w:id="4"/>
      </w:r>
      <w:r w:rsidRPr="008F5062">
        <w:rPr>
          <w:color w:val="000000" w:themeColor="text1"/>
        </w:rPr>
        <w:t xml:space="preserve"> In Keats’s poem, the city and the countryside emerge as binary opposites, and the dark urban claustrophobia is evidently deemed inferior to the elevated vantage point of ‘Nature’s observatory’.</w:t>
      </w:r>
    </w:p>
    <w:p w14:paraId="6D90C87A" w14:textId="77777777" w:rsidR="008F5062" w:rsidRPr="008F5062" w:rsidRDefault="008F5062" w:rsidP="008F5062">
      <w:pPr>
        <w:spacing w:line="480" w:lineRule="auto"/>
        <w:ind w:firstLine="720"/>
        <w:rPr>
          <w:color w:val="000000" w:themeColor="text1"/>
        </w:rPr>
      </w:pPr>
      <w:r w:rsidRPr="008F5062">
        <w:rPr>
          <w:color w:val="000000" w:themeColor="text1"/>
        </w:rPr>
        <w:t>Keats’s preference for the rural, like that of many of his contemporaries, can be read as a result of London’s exponential growth in the period. In the early nineteenth century, London was the largest city in Europe: the 1801 census counted 866,000 inhabitants in inner London, and 1.1 million in what we would now term Greater London, and by 1850, its population would double.</w:t>
      </w:r>
      <w:r w:rsidRPr="008F5062">
        <w:rPr>
          <w:color w:val="000000" w:themeColor="text1"/>
          <w:vertAlign w:val="superscript"/>
        </w:rPr>
        <w:endnoteReference w:id="5"/>
      </w:r>
      <w:r w:rsidRPr="008F5062">
        <w:rPr>
          <w:color w:val="000000" w:themeColor="text1"/>
        </w:rPr>
        <w:t xml:space="preserve"> The result was a construction boom; in 1776, the writer and politician Horace Walpole remarked how ‘rows of houses shoot out everywhere like a polypus; and so great is the range of building everywhere, that if I stay here [at his country residence] a fortnight, without going to town, I look about to see if no new is built since I went last’.</w:t>
      </w:r>
      <w:r w:rsidRPr="008F5062">
        <w:rPr>
          <w:color w:val="000000" w:themeColor="text1"/>
          <w:vertAlign w:val="superscript"/>
        </w:rPr>
        <w:endnoteReference w:id="6"/>
      </w:r>
      <w:bookmarkStart w:id="0" w:name="_heading=h.gjdgxs" w:colFirst="0" w:colLast="0"/>
      <w:bookmarkEnd w:id="0"/>
    </w:p>
    <w:p w14:paraId="00000015" w14:textId="5869CAAA" w:rsidR="008F5062" w:rsidRPr="008F5062" w:rsidRDefault="008F5062" w:rsidP="008F5062">
      <w:pPr>
        <w:spacing w:line="480" w:lineRule="auto"/>
        <w:ind w:firstLine="720"/>
        <w:rPr>
          <w:color w:val="000000" w:themeColor="text1"/>
        </w:rPr>
      </w:pPr>
      <w:r w:rsidRPr="008F5062">
        <w:rPr>
          <w:color w:val="000000" w:themeColor="text1"/>
        </w:rPr>
        <w:t xml:space="preserve">London was spilling into, and submerging, the countryside around it, and the transition was not necessarily smooth, or always welcome. This is suggested by George Cruikshank’s etching ‘London going out of Town – or – The March of Bricks and Mortar!’ (1829), where Cruikshank satirises the sprawl of London’s urbanisation as a military charge against the surrounding countryside. Foreshadowing more recent discussions about gentrification in London resulting in population ‘shifts and ultimately displacement’, in Alberto </w:t>
      </w:r>
      <w:proofErr w:type="spellStart"/>
      <w:r w:rsidRPr="008F5062">
        <w:rPr>
          <w:color w:val="000000" w:themeColor="text1"/>
        </w:rPr>
        <w:t>Duman’s</w:t>
      </w:r>
      <w:proofErr w:type="spellEnd"/>
      <w:r w:rsidRPr="008F5062">
        <w:rPr>
          <w:color w:val="000000" w:themeColor="text1"/>
        </w:rPr>
        <w:t xml:space="preserve"> words, Cruikshank depicts the rural population emblematised as trees and hay bales, fleeing, with their livestock, from the showers of catapulted brick and the advancing army of anthropomorphised chimneys and building tools.</w:t>
      </w:r>
      <w:r w:rsidRPr="008F5062">
        <w:rPr>
          <w:color w:val="000000" w:themeColor="text1"/>
          <w:vertAlign w:val="superscript"/>
        </w:rPr>
        <w:endnoteReference w:id="7"/>
      </w:r>
      <w:r w:rsidRPr="008F5062">
        <w:rPr>
          <w:color w:val="000000" w:themeColor="text1"/>
        </w:rPr>
        <w:t xml:space="preserve"> It is not difficult to see where one’s sympathies are meant to lie.</w:t>
      </w:r>
    </w:p>
    <w:p w14:paraId="00000016" w14:textId="77777777" w:rsidR="008F5062" w:rsidRPr="008F5062" w:rsidRDefault="008F5062">
      <w:pPr>
        <w:spacing w:line="480" w:lineRule="auto"/>
        <w:ind w:firstLine="360"/>
        <w:rPr>
          <w:color w:val="000000" w:themeColor="text1"/>
        </w:rPr>
      </w:pPr>
    </w:p>
    <w:p w14:paraId="00000017" w14:textId="47EAAE72" w:rsidR="008F5062" w:rsidRPr="008F5062" w:rsidRDefault="008F5062">
      <w:pPr>
        <w:spacing w:line="480" w:lineRule="auto"/>
        <w:ind w:firstLine="360"/>
        <w:jc w:val="center"/>
        <w:rPr>
          <w:color w:val="000000" w:themeColor="text1"/>
        </w:rPr>
      </w:pPr>
      <w:r w:rsidRPr="008F5062">
        <w:rPr>
          <w:color w:val="000000" w:themeColor="text1"/>
        </w:rPr>
        <w:t>Figure 3</w:t>
      </w:r>
      <w:r w:rsidR="006D7BBA">
        <w:rPr>
          <w:color w:val="000000" w:themeColor="text1"/>
        </w:rPr>
        <w:t>3</w:t>
      </w:r>
      <w:r w:rsidRPr="008F5062">
        <w:rPr>
          <w:color w:val="000000" w:themeColor="text1"/>
        </w:rPr>
        <w:t xml:space="preserve">. George Cruikshank, ‘London Going Out of Town; Or, The March of Bricks and Mortar’ (1829) © Chronicle / </w:t>
      </w:r>
      <w:proofErr w:type="spellStart"/>
      <w:r w:rsidRPr="008F5062">
        <w:rPr>
          <w:color w:val="000000" w:themeColor="text1"/>
        </w:rPr>
        <w:t>Alamy</w:t>
      </w:r>
      <w:proofErr w:type="spellEnd"/>
      <w:r w:rsidRPr="008F5062">
        <w:rPr>
          <w:color w:val="000000" w:themeColor="text1"/>
        </w:rPr>
        <w:t xml:space="preserve"> Stock Photo</w:t>
      </w:r>
    </w:p>
    <w:p w14:paraId="00000018" w14:textId="77777777" w:rsidR="008F5062" w:rsidRPr="008F5062" w:rsidRDefault="008F5062">
      <w:pPr>
        <w:spacing w:line="480" w:lineRule="auto"/>
        <w:ind w:firstLine="360"/>
        <w:rPr>
          <w:color w:val="000000" w:themeColor="text1"/>
        </w:rPr>
      </w:pPr>
    </w:p>
    <w:p w14:paraId="6785BC44" w14:textId="77777777" w:rsidR="008F5062" w:rsidRPr="008F5062" w:rsidRDefault="008F5062" w:rsidP="008F5062">
      <w:pPr>
        <w:spacing w:line="480" w:lineRule="auto"/>
        <w:ind w:firstLine="720"/>
        <w:rPr>
          <w:color w:val="000000" w:themeColor="text1"/>
          <w:vertAlign w:val="superscript"/>
        </w:rPr>
      </w:pPr>
      <w:r w:rsidRPr="008F5062">
        <w:rPr>
          <w:color w:val="000000" w:themeColor="text1"/>
        </w:rPr>
        <w:t>Keats’s own experiences of different parts of London reflect this transition. Having lived in Moorgate for the first seven years of his life, he spent the next decade outside the city. He was at school in Enfield from 1803 until 1810, spending his school holidays with his grandmother near Edmonton, where he was then apprenticed to the local surgeon until 1814.</w:t>
      </w:r>
      <w:r w:rsidRPr="008F5062">
        <w:rPr>
          <w:color w:val="000000" w:themeColor="text1"/>
          <w:vertAlign w:val="superscript"/>
        </w:rPr>
        <w:endnoteReference w:id="8"/>
      </w:r>
      <w:r w:rsidRPr="008F5062">
        <w:rPr>
          <w:color w:val="000000" w:themeColor="text1"/>
        </w:rPr>
        <w:t xml:space="preserve"> The Enfield and Edmonton of Keats’s childhood were small towns, still village-like, each with less than 6,000 inhabitants.</w:t>
      </w:r>
      <w:r w:rsidRPr="008F5062">
        <w:rPr>
          <w:color w:val="000000" w:themeColor="text1"/>
          <w:vertAlign w:val="superscript"/>
        </w:rPr>
        <w:endnoteReference w:id="9"/>
      </w:r>
      <w:r w:rsidRPr="008F5062">
        <w:rPr>
          <w:color w:val="000000" w:themeColor="text1"/>
        </w:rPr>
        <w:t xml:space="preserve"> The walk from Clarke’s Academy to Keats’s grandmother’s end-of-terrace house led across meadows and country lanes; both buildings backed on to fields, and there were brooks and ponds nearby to paddle and swim in.</w:t>
      </w:r>
      <w:r w:rsidRPr="008F5062">
        <w:rPr>
          <w:color w:val="000000" w:themeColor="text1"/>
          <w:vertAlign w:val="superscript"/>
        </w:rPr>
        <w:endnoteReference w:id="10"/>
      </w:r>
      <w:r w:rsidRPr="008F5062">
        <w:rPr>
          <w:color w:val="000000" w:themeColor="text1"/>
        </w:rPr>
        <w:t xml:space="preserve"> In a letter to his sister Fanny, Keats recalls ‘how fond [he] used to be of Goldfinches, Tomtits, Minnows, Mice, </w:t>
      </w:r>
      <w:proofErr w:type="spellStart"/>
      <w:r w:rsidRPr="008F5062">
        <w:rPr>
          <w:color w:val="000000" w:themeColor="text1"/>
        </w:rPr>
        <w:t>Ticklebacks</w:t>
      </w:r>
      <w:proofErr w:type="spellEnd"/>
      <w:r w:rsidRPr="008F5062">
        <w:rPr>
          <w:color w:val="000000" w:themeColor="text1"/>
        </w:rPr>
        <w:t>, Dace, Cock salmons and all the whole tribe of the Bushes and the Brooks’, and his repeated returns to natural subjects in his poetry can be traced to his joy at his natural surroundings as a child.</w:t>
      </w:r>
      <w:r w:rsidRPr="008F5062">
        <w:rPr>
          <w:color w:val="000000" w:themeColor="text1"/>
          <w:vertAlign w:val="superscript"/>
        </w:rPr>
        <w:endnoteReference w:id="11"/>
      </w:r>
    </w:p>
    <w:p w14:paraId="0D77AD2B" w14:textId="77777777" w:rsidR="008F5062" w:rsidRPr="008F5062" w:rsidRDefault="008F5062" w:rsidP="008F5062">
      <w:pPr>
        <w:spacing w:line="480" w:lineRule="auto"/>
        <w:ind w:firstLine="720"/>
        <w:rPr>
          <w:color w:val="000000" w:themeColor="text1"/>
          <w:vertAlign w:val="superscript"/>
        </w:rPr>
      </w:pPr>
      <w:r w:rsidRPr="008F5062">
        <w:rPr>
          <w:color w:val="000000" w:themeColor="text1"/>
        </w:rPr>
        <w:t>London was 12 miles away: close enough for Keats’s friend and teacher Charles Cowden Clarke to recall walking there and back to attend plays in the West End, but the approximately three-and-a-half hour walk from Enfield to the city centre was distinctly rural, taking one along ‘the “Green Lanes”, as they were called, between Holloway and Enfield - through picturesque Hornsey, rural Wood Green, and hedge-rowed Winchmore Hill’.</w:t>
      </w:r>
      <w:r w:rsidRPr="008F5062">
        <w:rPr>
          <w:color w:val="000000" w:themeColor="text1"/>
          <w:vertAlign w:val="superscript"/>
        </w:rPr>
        <w:endnoteReference w:id="12"/>
      </w:r>
      <w:r w:rsidRPr="008F5062">
        <w:rPr>
          <w:color w:val="000000" w:themeColor="text1"/>
          <w:vertAlign w:val="superscript"/>
        </w:rPr>
        <w:t xml:space="preserve"> </w:t>
      </w:r>
      <w:r w:rsidRPr="008F5062">
        <w:rPr>
          <w:color w:val="000000" w:themeColor="text1"/>
        </w:rPr>
        <w:t>By the mid-nineteenth century, Enfield and Edmonton’s populations would double; advancements in transport technology were turning towns surrounding London into suburbs.</w:t>
      </w:r>
      <w:r w:rsidRPr="008F5062">
        <w:rPr>
          <w:color w:val="000000" w:themeColor="text1"/>
          <w:vertAlign w:val="superscript"/>
        </w:rPr>
        <w:endnoteReference w:id="13"/>
      </w:r>
      <w:r w:rsidRPr="008F5062">
        <w:rPr>
          <w:color w:val="000000" w:themeColor="text1"/>
        </w:rPr>
        <w:t xml:space="preserve"> The construction of canals enabled goods to be brought into London more cheaply, while the improvement of road management and the gradual introduction of macadam meant that some coach journey times, particularly those linking towns to London, halved in the last decades of the eighteenth century. This resulted in ribbon developments along the main travel routes, which were binding towns and villages to the city centre, and also increasing their </w:t>
      </w:r>
      <w:r w:rsidRPr="008F5062">
        <w:rPr>
          <w:color w:val="000000" w:themeColor="text1"/>
        </w:rPr>
        <w:lastRenderedPageBreak/>
        <w:t>dependence on London.</w:t>
      </w:r>
      <w:r w:rsidRPr="008F5062">
        <w:rPr>
          <w:color w:val="000000" w:themeColor="text1"/>
          <w:vertAlign w:val="superscript"/>
        </w:rPr>
        <w:endnoteReference w:id="14"/>
      </w:r>
      <w:r w:rsidRPr="008F5062">
        <w:rPr>
          <w:color w:val="000000" w:themeColor="text1"/>
        </w:rPr>
        <w:t xml:space="preserve"> Had Keats’s life not been cut short prematurely he would have seen the railway reach Enfield in 1849. The train station was initially housed in Keats’s old school building, pre-empting the countryside of his youth being subsumed into the urban sprawl of London which Enfield and Edmonton are part of today, with the Overground firmly tying them to central London.</w:t>
      </w:r>
      <w:r w:rsidRPr="008F5062">
        <w:rPr>
          <w:color w:val="000000" w:themeColor="text1"/>
          <w:vertAlign w:val="superscript"/>
        </w:rPr>
        <w:endnoteReference w:id="15"/>
      </w:r>
      <w:r w:rsidRPr="008F5062">
        <w:rPr>
          <w:color w:val="000000" w:themeColor="text1"/>
        </w:rPr>
        <w:t xml:space="preserve"> Keats would then have seen train carriages stopping on the ground where he had, along with Clarke Academy’s fellow students, enacted a living solar system in the playground, and where they had tended their garden plots and watered their strawberries.</w:t>
      </w:r>
      <w:r w:rsidRPr="008F5062">
        <w:rPr>
          <w:color w:val="000000" w:themeColor="text1"/>
          <w:vertAlign w:val="superscript"/>
        </w:rPr>
        <w:endnoteReference w:id="16"/>
      </w:r>
      <w:r w:rsidRPr="008F5062">
        <w:rPr>
          <w:color w:val="000000" w:themeColor="text1"/>
          <w:vertAlign w:val="superscript"/>
        </w:rPr>
        <w:t xml:space="preserve"> </w:t>
      </w:r>
    </w:p>
    <w:p w14:paraId="6DFCB6BE" w14:textId="478880A6" w:rsidR="008F5062" w:rsidRPr="008F5062" w:rsidRDefault="008F5062" w:rsidP="008F5062">
      <w:pPr>
        <w:spacing w:line="480" w:lineRule="auto"/>
        <w:ind w:firstLine="720"/>
        <w:rPr>
          <w:color w:val="000000" w:themeColor="text1"/>
          <w:vertAlign w:val="superscript"/>
        </w:rPr>
      </w:pPr>
      <w:r w:rsidRPr="008F5062">
        <w:rPr>
          <w:color w:val="000000" w:themeColor="text1"/>
        </w:rPr>
        <w:t xml:space="preserve">The longing for the nature of his childhood is evident in Keats’s sonnet ‘To One Who Has Been Long in City Pent’ (1816). Written in the summer of 1816, when Keats was living in Southwark and making frequent excursions to Hampstead, it describes the city-dweller delighting in a rural day trip: ‘To one who has been long in city pent, </w:t>
      </w:r>
      <w:r w:rsidR="00751EF2">
        <w:rPr>
          <w:color w:val="000000" w:themeColor="text1"/>
        </w:rPr>
        <w:t>|</w:t>
      </w:r>
      <w:r w:rsidRPr="008F5062">
        <w:rPr>
          <w:color w:val="000000" w:themeColor="text1"/>
        </w:rPr>
        <w:t xml:space="preserve"> ’Tis very sweet to look into the </w:t>
      </w:r>
      <w:proofErr w:type="gramStart"/>
      <w:r w:rsidRPr="008F5062">
        <w:rPr>
          <w:color w:val="000000" w:themeColor="text1"/>
        </w:rPr>
        <w:t>fair</w:t>
      </w:r>
      <w:proofErr w:type="gramEnd"/>
      <w:r w:rsidRPr="008F5062">
        <w:rPr>
          <w:color w:val="000000" w:themeColor="text1"/>
        </w:rPr>
        <w:t xml:space="preserve"> </w:t>
      </w:r>
      <w:r w:rsidR="00751EF2">
        <w:rPr>
          <w:color w:val="000000" w:themeColor="text1"/>
        </w:rPr>
        <w:t>|</w:t>
      </w:r>
      <w:r w:rsidRPr="008F5062">
        <w:rPr>
          <w:color w:val="000000" w:themeColor="text1"/>
        </w:rPr>
        <w:t xml:space="preserve"> And open face of heaven’ (</w:t>
      </w:r>
      <w:r w:rsidR="00751EF2">
        <w:rPr>
          <w:color w:val="000000" w:themeColor="text1"/>
        </w:rPr>
        <w:t>ll.</w:t>
      </w:r>
      <w:r w:rsidRPr="008F5062">
        <w:rPr>
          <w:color w:val="000000" w:themeColor="text1"/>
        </w:rPr>
        <w:t>1-3). The poem’s first line echoes Coleridge’s ‘Frost at Midnight’, whose speaker describes their own childhood in ‘the great city’, where they were ‘pent’ ‘mid cloisters dim’, which are in Coleridge’s poem contrasted with the sublime expansiveness of nature.</w:t>
      </w:r>
      <w:r w:rsidRPr="008F5062">
        <w:rPr>
          <w:color w:val="000000" w:themeColor="text1"/>
          <w:vertAlign w:val="superscript"/>
        </w:rPr>
        <w:endnoteReference w:id="17"/>
      </w:r>
      <w:r w:rsidRPr="008F5062">
        <w:rPr>
          <w:color w:val="000000" w:themeColor="text1"/>
        </w:rPr>
        <w:t xml:space="preserve"> For Coleridge’s speaker, nature offers us glimpses of divine order: ‘The lovely shapes and sounds intelligible </w:t>
      </w:r>
      <w:r w:rsidR="00751EF2">
        <w:rPr>
          <w:color w:val="000000" w:themeColor="text1"/>
        </w:rPr>
        <w:t>|</w:t>
      </w:r>
      <w:r w:rsidRPr="008F5062">
        <w:rPr>
          <w:color w:val="000000" w:themeColor="text1"/>
        </w:rPr>
        <w:t xml:space="preserve"> Of that eternal language, which thy God </w:t>
      </w:r>
      <w:r w:rsidR="00751EF2">
        <w:rPr>
          <w:color w:val="000000" w:themeColor="text1"/>
        </w:rPr>
        <w:t>|</w:t>
      </w:r>
      <w:r w:rsidRPr="008F5062">
        <w:rPr>
          <w:color w:val="000000" w:themeColor="text1"/>
        </w:rPr>
        <w:t xml:space="preserve"> Utters’.</w:t>
      </w:r>
      <w:r w:rsidRPr="008F5062">
        <w:rPr>
          <w:color w:val="000000" w:themeColor="text1"/>
          <w:vertAlign w:val="superscript"/>
        </w:rPr>
        <w:endnoteReference w:id="18"/>
      </w:r>
      <w:r w:rsidRPr="008F5062">
        <w:rPr>
          <w:color w:val="000000" w:themeColor="text1"/>
        </w:rPr>
        <w:t xml:space="preserve"> But the city is man-made, and as such emits no such eternal truth. In spite of evident urbanistic attempts at order, which the regularity of London’s terrace developments and squares of the eighteenth century suggest, these attempts are, for Coleridge and implicitly also for Keats, ultimately in vain: London is a ‘jumbled heap’, to recall Keats’s terms from ‘O Solitude!’, exposing humankind’s failure at keeping chaos at bay.</w:t>
      </w:r>
    </w:p>
    <w:p w14:paraId="0000001C" w14:textId="66B067A0" w:rsidR="008F5062" w:rsidRPr="008F5062" w:rsidRDefault="008F5062" w:rsidP="008F5062">
      <w:pPr>
        <w:spacing w:line="480" w:lineRule="auto"/>
        <w:ind w:firstLine="720"/>
        <w:rPr>
          <w:color w:val="000000" w:themeColor="text1"/>
          <w:vertAlign w:val="superscript"/>
        </w:rPr>
      </w:pPr>
      <w:r w:rsidRPr="008F5062">
        <w:rPr>
          <w:color w:val="000000" w:themeColor="text1"/>
        </w:rPr>
        <w:t xml:space="preserve">Keats reiterates Coleridge’s dichotomy, and its religious connotations, in ‘To One Who Has Been Long in City Pent’. The speaker delights in the ‘pleasant lair </w:t>
      </w:r>
      <w:r w:rsidR="00751EF2">
        <w:rPr>
          <w:color w:val="000000" w:themeColor="text1"/>
        </w:rPr>
        <w:t>|</w:t>
      </w:r>
      <w:r w:rsidRPr="008F5062">
        <w:rPr>
          <w:color w:val="000000" w:themeColor="text1"/>
        </w:rPr>
        <w:t xml:space="preserve"> Of wavy grass’ (</w:t>
      </w:r>
      <w:r w:rsidR="00751EF2">
        <w:rPr>
          <w:color w:val="000000" w:themeColor="text1"/>
        </w:rPr>
        <w:t>ll.</w:t>
      </w:r>
      <w:r w:rsidRPr="008F5062">
        <w:rPr>
          <w:color w:val="000000" w:themeColor="text1"/>
        </w:rPr>
        <w:t xml:space="preserve">6-7) from where they can perceive a wide, expansive ‘open face of heaven’ – the sky </w:t>
      </w:r>
      <w:r w:rsidRPr="008F5062">
        <w:rPr>
          <w:color w:val="000000" w:themeColor="text1"/>
        </w:rPr>
        <w:lastRenderedPageBreak/>
        <w:t xml:space="preserve">implicitly liberated from the confining frame of city buildings – ‘to breathe a prayer </w:t>
      </w:r>
      <w:r w:rsidR="00751EF2">
        <w:rPr>
          <w:color w:val="000000" w:themeColor="text1"/>
        </w:rPr>
        <w:t>|</w:t>
      </w:r>
      <w:r w:rsidRPr="008F5062">
        <w:rPr>
          <w:color w:val="000000" w:themeColor="text1"/>
        </w:rPr>
        <w:t xml:space="preserve"> Full in the smile of the blue firmament’ (</w:t>
      </w:r>
      <w:r w:rsidR="00751EF2">
        <w:rPr>
          <w:color w:val="000000" w:themeColor="text1"/>
        </w:rPr>
        <w:t>ll.</w:t>
      </w:r>
      <w:r w:rsidRPr="008F5062">
        <w:rPr>
          <w:color w:val="000000" w:themeColor="text1"/>
        </w:rPr>
        <w:t xml:space="preserve">3-4), before returning to their city home in the evening. But with the phrase ‘city pent’, both Keats and Coleridge are also recalling Milton’s wording in </w:t>
      </w:r>
      <w:r w:rsidRPr="008F5062">
        <w:rPr>
          <w:i/>
          <w:color w:val="000000" w:themeColor="text1"/>
        </w:rPr>
        <w:t xml:space="preserve">Paradise Lost </w:t>
      </w:r>
      <w:r w:rsidRPr="008F5062">
        <w:rPr>
          <w:color w:val="000000" w:themeColor="text1"/>
        </w:rPr>
        <w:t>(1667)</w:t>
      </w:r>
      <w:r w:rsidRPr="008F5062">
        <w:rPr>
          <w:i/>
          <w:color w:val="000000" w:themeColor="text1"/>
        </w:rPr>
        <w:t xml:space="preserve">, </w:t>
      </w:r>
      <w:r w:rsidRPr="008F5062">
        <w:rPr>
          <w:color w:val="000000" w:themeColor="text1"/>
        </w:rPr>
        <w:t xml:space="preserve">where he </w:t>
      </w:r>
      <w:proofErr w:type="gramStart"/>
      <w:r w:rsidRPr="008F5062">
        <w:rPr>
          <w:color w:val="000000" w:themeColor="text1"/>
        </w:rPr>
        <w:t>describe</w:t>
      </w:r>
      <w:proofErr w:type="gramEnd"/>
      <w:r w:rsidRPr="008F5062">
        <w:rPr>
          <w:color w:val="000000" w:themeColor="text1"/>
        </w:rPr>
        <w:t xml:space="preserve"> Satan emerging from Hell, and advancing towards Eden in order to corrupt Eve:</w:t>
      </w:r>
    </w:p>
    <w:p w14:paraId="0000001D" w14:textId="77777777" w:rsidR="008F5062" w:rsidRPr="008F5062" w:rsidRDefault="008F5062">
      <w:pPr>
        <w:spacing w:line="480" w:lineRule="auto"/>
        <w:rPr>
          <w:color w:val="000000" w:themeColor="text1"/>
        </w:rPr>
      </w:pPr>
    </w:p>
    <w:p w14:paraId="0000001E" w14:textId="77777777" w:rsidR="008F5062" w:rsidRPr="008F5062" w:rsidRDefault="008F5062" w:rsidP="008F5062">
      <w:pPr>
        <w:spacing w:line="480" w:lineRule="auto"/>
        <w:ind w:left="1440"/>
        <w:rPr>
          <w:color w:val="000000" w:themeColor="text1"/>
        </w:rPr>
      </w:pPr>
      <w:r w:rsidRPr="008F5062">
        <w:rPr>
          <w:color w:val="000000" w:themeColor="text1"/>
        </w:rPr>
        <w:t xml:space="preserve">As one who long in populous City pent, </w:t>
      </w:r>
    </w:p>
    <w:p w14:paraId="0000001F" w14:textId="77777777" w:rsidR="008F5062" w:rsidRPr="008F5062" w:rsidRDefault="008F5062" w:rsidP="008F5062">
      <w:pPr>
        <w:spacing w:line="480" w:lineRule="auto"/>
        <w:ind w:left="1440"/>
        <w:rPr>
          <w:color w:val="000000" w:themeColor="text1"/>
        </w:rPr>
      </w:pPr>
      <w:r w:rsidRPr="008F5062">
        <w:rPr>
          <w:color w:val="000000" w:themeColor="text1"/>
        </w:rPr>
        <w:t>Where houses thick and sewers annoy the air,</w:t>
      </w:r>
    </w:p>
    <w:p w14:paraId="00000020" w14:textId="77777777" w:rsidR="008F5062" w:rsidRPr="008F5062" w:rsidRDefault="008F5062" w:rsidP="008F5062">
      <w:pPr>
        <w:spacing w:line="480" w:lineRule="auto"/>
        <w:ind w:left="1440"/>
        <w:rPr>
          <w:color w:val="000000" w:themeColor="text1"/>
        </w:rPr>
      </w:pPr>
      <w:r w:rsidRPr="008F5062">
        <w:rPr>
          <w:color w:val="000000" w:themeColor="text1"/>
        </w:rPr>
        <w:t xml:space="preserve">Forth issuing on a summer’s morn to breathe </w:t>
      </w:r>
    </w:p>
    <w:p w14:paraId="00000021" w14:textId="77777777" w:rsidR="008F5062" w:rsidRPr="008F5062" w:rsidRDefault="008F5062" w:rsidP="008F5062">
      <w:pPr>
        <w:spacing w:line="480" w:lineRule="auto"/>
        <w:ind w:left="1440"/>
        <w:rPr>
          <w:color w:val="000000" w:themeColor="text1"/>
        </w:rPr>
      </w:pPr>
      <w:r w:rsidRPr="008F5062">
        <w:rPr>
          <w:color w:val="000000" w:themeColor="text1"/>
        </w:rPr>
        <w:t>Among the pleasant villages and farms</w:t>
      </w:r>
    </w:p>
    <w:p w14:paraId="00000022" w14:textId="77777777" w:rsidR="008F5062" w:rsidRPr="008F5062" w:rsidRDefault="008F5062" w:rsidP="008F5062">
      <w:pPr>
        <w:spacing w:line="480" w:lineRule="auto"/>
        <w:ind w:left="1440"/>
        <w:rPr>
          <w:color w:val="000000" w:themeColor="text1"/>
        </w:rPr>
      </w:pPr>
      <w:r w:rsidRPr="008F5062">
        <w:rPr>
          <w:color w:val="000000" w:themeColor="text1"/>
        </w:rPr>
        <w:t>Adjoined, from each thing met conceives delight,</w:t>
      </w:r>
    </w:p>
    <w:p w14:paraId="00000023" w14:textId="77777777" w:rsidR="008F5062" w:rsidRPr="008F5062" w:rsidRDefault="008F5062" w:rsidP="008F5062">
      <w:pPr>
        <w:spacing w:line="480" w:lineRule="auto"/>
        <w:ind w:left="1440"/>
        <w:rPr>
          <w:color w:val="000000" w:themeColor="text1"/>
        </w:rPr>
      </w:pPr>
      <w:r w:rsidRPr="008F5062">
        <w:rPr>
          <w:color w:val="000000" w:themeColor="text1"/>
        </w:rPr>
        <w:t xml:space="preserve">The smell of grain, or tedded grass, or </w:t>
      </w:r>
      <w:proofErr w:type="spellStart"/>
      <w:r w:rsidRPr="008F5062">
        <w:rPr>
          <w:color w:val="000000" w:themeColor="text1"/>
        </w:rPr>
        <w:t>kine</w:t>
      </w:r>
      <w:proofErr w:type="spellEnd"/>
      <w:r w:rsidRPr="008F5062">
        <w:rPr>
          <w:color w:val="000000" w:themeColor="text1"/>
        </w:rPr>
        <w:t>,</w:t>
      </w:r>
    </w:p>
    <w:p w14:paraId="00000025" w14:textId="7377877B" w:rsidR="008F5062" w:rsidRPr="008F5062" w:rsidRDefault="008F5062" w:rsidP="008F5062">
      <w:pPr>
        <w:spacing w:line="480" w:lineRule="auto"/>
        <w:ind w:left="1440"/>
        <w:rPr>
          <w:color w:val="000000" w:themeColor="text1"/>
        </w:rPr>
      </w:pPr>
      <w:r w:rsidRPr="008F5062">
        <w:rPr>
          <w:color w:val="000000" w:themeColor="text1"/>
        </w:rPr>
        <w:t xml:space="preserve">Or dairy, each rural sight, each rural sound (IX, </w:t>
      </w:r>
      <w:r w:rsidR="00751EF2">
        <w:rPr>
          <w:color w:val="000000" w:themeColor="text1"/>
        </w:rPr>
        <w:t>ll.</w:t>
      </w:r>
      <w:r w:rsidRPr="008F5062">
        <w:rPr>
          <w:color w:val="000000" w:themeColor="text1"/>
        </w:rPr>
        <w:t>445-52)</w:t>
      </w:r>
      <w:r w:rsidRPr="008F5062">
        <w:rPr>
          <w:color w:val="000000" w:themeColor="text1"/>
          <w:vertAlign w:val="superscript"/>
        </w:rPr>
        <w:endnoteReference w:id="19"/>
      </w:r>
    </w:p>
    <w:p w14:paraId="00000026" w14:textId="77777777" w:rsidR="008F5062" w:rsidRPr="008F5062" w:rsidRDefault="008F5062">
      <w:pPr>
        <w:spacing w:line="480" w:lineRule="auto"/>
        <w:rPr>
          <w:color w:val="000000" w:themeColor="text1"/>
        </w:rPr>
      </w:pPr>
    </w:p>
    <w:p w14:paraId="2DC2FA49" w14:textId="77777777" w:rsidR="008F5062" w:rsidRPr="008F5062" w:rsidRDefault="008F5062" w:rsidP="008F5062">
      <w:pPr>
        <w:spacing w:line="480" w:lineRule="auto"/>
        <w:rPr>
          <w:color w:val="000000" w:themeColor="text1"/>
        </w:rPr>
      </w:pPr>
      <w:r w:rsidRPr="008F5062">
        <w:rPr>
          <w:color w:val="000000" w:themeColor="text1"/>
        </w:rPr>
        <w:t>To think of London as hellish is not uncommon among Keats’s contemporaries; Shelley quips that ‘Hell is a city much like London’, and Byron scathingly describes it as the ‘Devil’s drawing room’.</w:t>
      </w:r>
      <w:r w:rsidRPr="008F5062">
        <w:rPr>
          <w:color w:val="000000" w:themeColor="text1"/>
          <w:vertAlign w:val="superscript"/>
        </w:rPr>
        <w:endnoteReference w:id="20"/>
      </w:r>
      <w:r w:rsidRPr="008F5062">
        <w:rPr>
          <w:color w:val="000000" w:themeColor="text1"/>
        </w:rPr>
        <w:t xml:space="preserve"> But Milton’s simile seems to go further: by comparing Satan with a Londoner taking a trip to a nearby rural tourist spot, the similarity of the latter to the former is also implied. If Satan’s delight to be free from Hell is like the day tripper’s delight in their respite from the city, the latter might also be understood to share, if inadvertently, some of Satan’s insidiously corruptive influence. As Satan is about to irrevocably disturb the happy tranquillity of Eve in Eden, the Londoner’s arrival to the countryside seems to threaten the nature which they have come to find, and this subtext remains present, if latently, in Keats’s allusion. Cruikshank’s etching makes a similar suggestion with its title, which draws parallels between London’s expansion and Londoners’ ‘going out of Town’ to the countryside for </w:t>
      </w:r>
      <w:r w:rsidRPr="008F5062">
        <w:rPr>
          <w:color w:val="000000" w:themeColor="text1"/>
        </w:rPr>
        <w:lastRenderedPageBreak/>
        <w:t>rural amusements: as London goes ‘out of Town’, it seems to take the town with itself. The quiet rural simplicity and undisturbed nature which Londoners hoped to find in the city’s rural environs is precisely what is eroded as a consequence of their arrival.</w:t>
      </w:r>
    </w:p>
    <w:p w14:paraId="138F670B" w14:textId="77777777" w:rsidR="008F5062" w:rsidRPr="008F5062" w:rsidRDefault="008F5062" w:rsidP="008F5062">
      <w:pPr>
        <w:spacing w:line="480" w:lineRule="auto"/>
        <w:ind w:firstLine="720"/>
        <w:rPr>
          <w:color w:val="000000" w:themeColor="text1"/>
        </w:rPr>
      </w:pPr>
      <w:r w:rsidRPr="008F5062">
        <w:rPr>
          <w:color w:val="000000" w:themeColor="text1"/>
        </w:rPr>
        <w:t>In 1757, Robert Lloyd had satirised this in his poem ‘The Cit’s Country-Box’: the construction of a small-scale landscape garden complete with a Chinese temple, a ha-ha, and a series of statues of classical deities to accompany a Londoner’s rural residence leaves nothing natural in sight.</w:t>
      </w:r>
      <w:r w:rsidRPr="008F5062">
        <w:rPr>
          <w:color w:val="000000" w:themeColor="text1"/>
          <w:vertAlign w:val="superscript"/>
        </w:rPr>
        <w:endnoteReference w:id="21"/>
      </w:r>
      <w:r w:rsidRPr="008F5062">
        <w:rPr>
          <w:color w:val="000000" w:themeColor="text1"/>
        </w:rPr>
        <w:t xml:space="preserve"> By the early decades of the 1800s, a compromise between nature and culture became accessible to the city’s middle classes as well; London’s surroundings were turning into suburbs as they provided country retreats for merchants and tradesmen.</w:t>
      </w:r>
      <w:r w:rsidRPr="008F5062">
        <w:rPr>
          <w:color w:val="000000" w:themeColor="text1"/>
          <w:vertAlign w:val="superscript"/>
        </w:rPr>
        <w:endnoteReference w:id="22"/>
      </w:r>
      <w:r w:rsidRPr="008F5062">
        <w:rPr>
          <w:color w:val="000000" w:themeColor="text1"/>
        </w:rPr>
        <w:t xml:space="preserve"> Hampstead was one area on such a trajectory. In 1837, Mary Shelley, writing to Leigh Hunt, a mutual friend of hers and Keats’s, and a fellow Hampstead resident, lamented ‘[h]ow altered’ she found Hampstead: ‘how </w:t>
      </w:r>
      <w:proofErr w:type="spellStart"/>
      <w:r w:rsidRPr="008F5062">
        <w:rPr>
          <w:color w:val="000000" w:themeColor="text1"/>
        </w:rPr>
        <w:t>bepainted</w:t>
      </w:r>
      <w:proofErr w:type="spellEnd"/>
      <w:r w:rsidRPr="008F5062">
        <w:rPr>
          <w:color w:val="000000" w:themeColor="text1"/>
        </w:rPr>
        <w:t xml:space="preserve"> &amp; </w:t>
      </w:r>
      <w:proofErr w:type="spellStart"/>
      <w:r w:rsidRPr="008F5062">
        <w:rPr>
          <w:color w:val="000000" w:themeColor="text1"/>
        </w:rPr>
        <w:t>becocnified</w:t>
      </w:r>
      <w:proofErr w:type="spellEnd"/>
      <w:r w:rsidRPr="008F5062">
        <w:rPr>
          <w:color w:val="000000" w:themeColor="text1"/>
        </w:rPr>
        <w:t xml:space="preserve"> are its little Cottages – &amp; all the old washerwomen’s cots turned into </w:t>
      </w:r>
      <w:proofErr w:type="spellStart"/>
      <w:r w:rsidRPr="008F5062">
        <w:rPr>
          <w:color w:val="000000" w:themeColor="text1"/>
        </w:rPr>
        <w:t>villinas</w:t>
      </w:r>
      <w:proofErr w:type="spellEnd"/>
      <w:r w:rsidRPr="008F5062">
        <w:rPr>
          <w:color w:val="000000" w:themeColor="text1"/>
        </w:rPr>
        <w:t xml:space="preserve"> &amp; a Villa’, in contrast to the Hampstead of her youth.</w:t>
      </w:r>
      <w:r w:rsidRPr="008F5062">
        <w:rPr>
          <w:color w:val="000000" w:themeColor="text1"/>
          <w:vertAlign w:val="superscript"/>
        </w:rPr>
        <w:endnoteReference w:id="23"/>
      </w:r>
      <w:r w:rsidRPr="008F5062">
        <w:rPr>
          <w:color w:val="000000" w:themeColor="text1"/>
        </w:rPr>
        <w:t xml:space="preserve"> </w:t>
      </w:r>
    </w:p>
    <w:p w14:paraId="352D6999" w14:textId="77777777" w:rsidR="008F5062" w:rsidRPr="008F5062" w:rsidRDefault="008F5062" w:rsidP="008F5062">
      <w:pPr>
        <w:spacing w:line="480" w:lineRule="auto"/>
        <w:ind w:firstLine="720"/>
        <w:rPr>
          <w:color w:val="000000" w:themeColor="text1"/>
        </w:rPr>
      </w:pPr>
      <w:r w:rsidRPr="008F5062">
        <w:rPr>
          <w:color w:val="000000" w:themeColor="text1"/>
        </w:rPr>
        <w:t>Keats, Hunt and others who had come to settle there in the early 1800s marked the beginning of this process, however; what is now Keats House, then called Wentworth Place, was built in the late 1810s, and was a brand new development in Keats’s time.</w:t>
      </w:r>
      <w:r w:rsidRPr="008F5062">
        <w:rPr>
          <w:color w:val="000000" w:themeColor="text1"/>
          <w:vertAlign w:val="superscript"/>
        </w:rPr>
        <w:endnoteReference w:id="24"/>
      </w:r>
      <w:r w:rsidRPr="008F5062">
        <w:rPr>
          <w:color w:val="000000" w:themeColor="text1"/>
        </w:rPr>
        <w:t xml:space="preserve"> Then, Hampstead was where the overflowing city still met the countryside, offering a desirable marriage between nature and culture for the middle classes.</w:t>
      </w:r>
      <w:r w:rsidRPr="008F5062">
        <w:rPr>
          <w:color w:val="000000" w:themeColor="text1"/>
          <w:vertAlign w:val="superscript"/>
        </w:rPr>
        <w:endnoteReference w:id="25"/>
      </w:r>
      <w:r w:rsidRPr="008F5062">
        <w:rPr>
          <w:color w:val="000000" w:themeColor="text1"/>
        </w:rPr>
        <w:t xml:space="preserve"> By the mid-nineteenth century, two thirds of London’s suburbs’ inhabitants had, like Keats in the 1810s, moved there from London’s rural surroundings, and Anne </w:t>
      </w:r>
      <w:proofErr w:type="spellStart"/>
      <w:r w:rsidRPr="008F5062">
        <w:rPr>
          <w:color w:val="000000" w:themeColor="text1"/>
        </w:rPr>
        <w:t>Bermingham</w:t>
      </w:r>
      <w:proofErr w:type="spellEnd"/>
      <w:r w:rsidRPr="008F5062">
        <w:rPr>
          <w:color w:val="000000" w:themeColor="text1"/>
        </w:rPr>
        <w:t xml:space="preserve"> goes as far as reading the suburb as ‘a refuge from the disappointing realities of both urban and rural life’.</w:t>
      </w:r>
      <w:r w:rsidRPr="008F5062">
        <w:rPr>
          <w:color w:val="000000" w:themeColor="text1"/>
          <w:vertAlign w:val="superscript"/>
        </w:rPr>
        <w:endnoteReference w:id="26"/>
      </w:r>
      <w:r w:rsidRPr="008F5062">
        <w:rPr>
          <w:color w:val="000000" w:themeColor="text1"/>
        </w:rPr>
        <w:t xml:space="preserve"> Indeed, Lockhart’s characterisation of Keats as a Cockney nature poet reflects this; the term ‘Cockney’ in the period becomes increasingly associated with the suburbs as places where distinctions between different classes, and between the city and the country, became blurred.</w:t>
      </w:r>
      <w:r w:rsidRPr="008F5062">
        <w:rPr>
          <w:color w:val="000000" w:themeColor="text1"/>
          <w:vertAlign w:val="superscript"/>
        </w:rPr>
        <w:endnoteReference w:id="27"/>
      </w:r>
    </w:p>
    <w:p w14:paraId="4B27D3A4" w14:textId="781D9C7D" w:rsidR="008F5062" w:rsidRPr="008F5062" w:rsidRDefault="008F5062" w:rsidP="008F5062">
      <w:pPr>
        <w:spacing w:line="480" w:lineRule="auto"/>
        <w:ind w:firstLine="720"/>
        <w:rPr>
          <w:color w:val="000000" w:themeColor="text1"/>
        </w:rPr>
      </w:pPr>
      <w:r w:rsidRPr="008F5062">
        <w:rPr>
          <w:color w:val="000000" w:themeColor="text1"/>
        </w:rPr>
        <w:lastRenderedPageBreak/>
        <w:t>This desire for a marriage between nature and culture also reveals itself in Keats’s poems, and is at the heart of Keats’s vision of literature.</w:t>
      </w:r>
      <w:r w:rsidRPr="008F5062">
        <w:rPr>
          <w:color w:val="000000" w:themeColor="text1"/>
          <w:vertAlign w:val="superscript"/>
        </w:rPr>
        <w:endnoteReference w:id="28"/>
      </w:r>
      <w:r w:rsidRPr="008F5062">
        <w:rPr>
          <w:color w:val="000000" w:themeColor="text1"/>
        </w:rPr>
        <w:t xml:space="preserve"> In ‘To One Who </w:t>
      </w:r>
      <w:proofErr w:type="gramStart"/>
      <w:r w:rsidRPr="008F5062">
        <w:rPr>
          <w:color w:val="000000" w:themeColor="text1"/>
        </w:rPr>
        <w:t>has</w:t>
      </w:r>
      <w:proofErr w:type="gramEnd"/>
      <w:r w:rsidRPr="008F5062">
        <w:rPr>
          <w:color w:val="000000" w:themeColor="text1"/>
        </w:rPr>
        <w:t xml:space="preserve"> Been Long in City Pent’, the city-dweller’s pleasure in their natural setting is exacerbated by their reading a ‘tale of love and languishment’ in the grass. Elsewhere, nature and poetry are evoked figuratively to describe one another. In ‘On the Grasshopper and Cricket’ (1816), Keats writes of ‘The poetry of earth’ (</w:t>
      </w:r>
      <w:r w:rsidR="00751EF2">
        <w:rPr>
          <w:color w:val="000000" w:themeColor="text1"/>
        </w:rPr>
        <w:t>l.</w:t>
      </w:r>
      <w:r w:rsidRPr="008F5062">
        <w:rPr>
          <w:color w:val="000000" w:themeColor="text1"/>
        </w:rPr>
        <w:t xml:space="preserve">1) to describe the sounds of the countryside; in ‘On Sitting Down to Read </w:t>
      </w:r>
      <w:r w:rsidRPr="008F5062">
        <w:rPr>
          <w:i/>
          <w:color w:val="000000" w:themeColor="text1"/>
        </w:rPr>
        <w:t>King Lear</w:t>
      </w:r>
      <w:r w:rsidRPr="008F5062">
        <w:rPr>
          <w:color w:val="000000" w:themeColor="text1"/>
        </w:rPr>
        <w:t xml:space="preserve"> Once Again’ (1818), he compares the experience of reading Shakespeare’s play with walking through an ‘old oak forest’ (</w:t>
      </w:r>
      <w:r w:rsidR="00751EF2">
        <w:rPr>
          <w:color w:val="000000" w:themeColor="text1"/>
        </w:rPr>
        <w:t>l.</w:t>
      </w:r>
      <w:r w:rsidRPr="008F5062">
        <w:rPr>
          <w:color w:val="000000" w:themeColor="text1"/>
        </w:rPr>
        <w:t xml:space="preserve">11). Similarly, in an echo of Wordsworth’s vision of poetry in his preface to </w:t>
      </w:r>
      <w:r w:rsidRPr="008F5062">
        <w:rPr>
          <w:i/>
          <w:color w:val="000000" w:themeColor="text1"/>
        </w:rPr>
        <w:t>Lyrical Ballads,</w:t>
      </w:r>
      <w:r w:rsidRPr="008F5062">
        <w:rPr>
          <w:color w:val="000000" w:themeColor="text1"/>
        </w:rPr>
        <w:t xml:space="preserve"> in an 1818 letter, Keats writes that ‘if Poetry comes not as naturally as the Leaves to a tree it had better not come at all’.</w:t>
      </w:r>
      <w:r w:rsidRPr="008F5062">
        <w:rPr>
          <w:color w:val="000000" w:themeColor="text1"/>
          <w:vertAlign w:val="superscript"/>
        </w:rPr>
        <w:endnoteReference w:id="29"/>
      </w:r>
      <w:r w:rsidRPr="008F5062">
        <w:rPr>
          <w:color w:val="000000" w:themeColor="text1"/>
        </w:rPr>
        <w:t xml:space="preserve"> </w:t>
      </w:r>
    </w:p>
    <w:p w14:paraId="53AA28C5" w14:textId="77777777" w:rsidR="008F5062" w:rsidRPr="008F5062" w:rsidRDefault="008F5062" w:rsidP="008F5062">
      <w:pPr>
        <w:spacing w:line="480" w:lineRule="auto"/>
        <w:ind w:firstLine="720"/>
        <w:rPr>
          <w:color w:val="000000" w:themeColor="text1"/>
        </w:rPr>
      </w:pPr>
      <w:r w:rsidRPr="008F5062">
        <w:rPr>
          <w:color w:val="000000" w:themeColor="text1"/>
        </w:rPr>
        <w:t>Keats’s ‘Ode to a Nightingale’ (1819) has been taken as testament to the notion of Keats’s fulfilment of his maxim: supposedly, Keats composed the poem in one sitting, under a plum tree in his Hampstead garden, in response to the song of a nightingale who had made its nest there in the spring of 1819.</w:t>
      </w:r>
      <w:r w:rsidRPr="008F5062">
        <w:rPr>
          <w:color w:val="000000" w:themeColor="text1"/>
          <w:vertAlign w:val="superscript"/>
        </w:rPr>
        <w:endnoteReference w:id="30"/>
      </w:r>
      <w:r w:rsidRPr="008F5062">
        <w:rPr>
          <w:color w:val="000000" w:themeColor="text1"/>
        </w:rPr>
        <w:t xml:space="preserve"> </w:t>
      </w:r>
      <w:proofErr w:type="spellStart"/>
      <w:r w:rsidRPr="008F5062">
        <w:rPr>
          <w:color w:val="000000" w:themeColor="text1"/>
        </w:rPr>
        <w:t>Lucasta</w:t>
      </w:r>
      <w:proofErr w:type="spellEnd"/>
      <w:r w:rsidRPr="008F5062">
        <w:rPr>
          <w:color w:val="000000" w:themeColor="text1"/>
        </w:rPr>
        <w:t xml:space="preserve"> Miller writes of the way that Keats ‘crushes images together’ in the poem, imparting a ‘sense of instability and boundary breaking’; further, the two images crushed together most intensely throughout are those of the nightingale’s song and the speaker’s poem, of nature and of poetry.</w:t>
      </w:r>
      <w:r w:rsidRPr="008F5062">
        <w:rPr>
          <w:color w:val="000000" w:themeColor="text1"/>
          <w:vertAlign w:val="superscript"/>
        </w:rPr>
        <w:endnoteReference w:id="31"/>
      </w:r>
      <w:r w:rsidRPr="008F5062">
        <w:rPr>
          <w:color w:val="000000" w:themeColor="text1"/>
        </w:rPr>
        <w:t xml:space="preserve"> The ‘immortal Bird’ shapes the ‘wings of Poesy’, while the nightingale is a ‘Dryad’, and its song cannot be heard without the echoes of a series of literary associations. If in ‘To One Who Has Been Long in City Pent’, the natural and the urban seem at a distance from one another, as Hampstead was from Southwark, in the Nightingale ode, composed in liminal, suburban, semi-urban Hampstead, nature and culture cannot but conglomerate.</w:t>
      </w:r>
    </w:p>
    <w:p w14:paraId="797B40DB" w14:textId="3AD0A078" w:rsidR="008F5062" w:rsidRPr="008F5062" w:rsidRDefault="008F5062" w:rsidP="008F5062">
      <w:pPr>
        <w:spacing w:line="480" w:lineRule="auto"/>
        <w:ind w:firstLine="720"/>
        <w:rPr>
          <w:color w:val="000000" w:themeColor="text1"/>
        </w:rPr>
      </w:pPr>
      <w:r w:rsidRPr="008F5062">
        <w:rPr>
          <w:color w:val="000000" w:themeColor="text1"/>
        </w:rPr>
        <w:t xml:space="preserve">Keats’s figurative intertwining of the nightingale’s song and the </w:t>
      </w:r>
      <w:proofErr w:type="gramStart"/>
      <w:r w:rsidRPr="008F5062">
        <w:rPr>
          <w:color w:val="000000" w:themeColor="text1"/>
        </w:rPr>
        <w:t>poet’s</w:t>
      </w:r>
      <w:proofErr w:type="gramEnd"/>
      <w:r w:rsidRPr="008F5062">
        <w:rPr>
          <w:color w:val="000000" w:themeColor="text1"/>
        </w:rPr>
        <w:t xml:space="preserve"> suggests the difficulty of viewing nature outside of the prism of the cultural frame. Similarly, when in ‘O </w:t>
      </w:r>
      <w:r w:rsidRPr="008F5062">
        <w:rPr>
          <w:color w:val="000000" w:themeColor="text1"/>
        </w:rPr>
        <w:lastRenderedPageBreak/>
        <w:t xml:space="preserve">Solitude!’, Keats is wishing to escape the ‘jumbled heap </w:t>
      </w:r>
      <w:r w:rsidR="00751EF2">
        <w:rPr>
          <w:color w:val="000000" w:themeColor="text1"/>
        </w:rPr>
        <w:t>|</w:t>
      </w:r>
      <w:r w:rsidRPr="008F5062">
        <w:rPr>
          <w:color w:val="000000" w:themeColor="text1"/>
        </w:rPr>
        <w:t xml:space="preserve"> Of murky buildings’ and immerse himself in nature, images of urban architecture intrude upon images of nature, suggesting the difficulty of experiencing one set apart from the other. ‘Let me thy [nature’s] vigils keep </w:t>
      </w:r>
      <w:r w:rsidR="00751EF2">
        <w:rPr>
          <w:color w:val="000000" w:themeColor="text1"/>
        </w:rPr>
        <w:t>|</w:t>
      </w:r>
      <w:r w:rsidRPr="008F5062">
        <w:rPr>
          <w:color w:val="000000" w:themeColor="text1"/>
        </w:rPr>
        <w:t xml:space="preserve"> ‘</w:t>
      </w:r>
      <w:proofErr w:type="spellStart"/>
      <w:r w:rsidRPr="008F5062">
        <w:rPr>
          <w:color w:val="000000" w:themeColor="text1"/>
        </w:rPr>
        <w:t>Mongst</w:t>
      </w:r>
      <w:proofErr w:type="spellEnd"/>
      <w:r w:rsidRPr="008F5062">
        <w:rPr>
          <w:color w:val="000000" w:themeColor="text1"/>
        </w:rPr>
        <w:t xml:space="preserve"> boughs </w:t>
      </w:r>
      <w:proofErr w:type="spellStart"/>
      <w:r w:rsidRPr="008F5062">
        <w:rPr>
          <w:color w:val="000000" w:themeColor="text1"/>
        </w:rPr>
        <w:t>pavillion’d</w:t>
      </w:r>
      <w:proofErr w:type="spellEnd"/>
      <w:r w:rsidRPr="008F5062">
        <w:rPr>
          <w:color w:val="000000" w:themeColor="text1"/>
        </w:rPr>
        <w:t>’ (</w:t>
      </w:r>
      <w:r w:rsidR="00751EF2">
        <w:rPr>
          <w:color w:val="000000" w:themeColor="text1"/>
        </w:rPr>
        <w:t>ll.</w:t>
      </w:r>
      <w:r w:rsidRPr="008F5062">
        <w:rPr>
          <w:color w:val="000000" w:themeColor="text1"/>
        </w:rPr>
        <w:t>6-7), Keats writes – but the notion of ‘</w:t>
      </w:r>
      <w:proofErr w:type="spellStart"/>
      <w:r w:rsidRPr="008F5062">
        <w:rPr>
          <w:color w:val="000000" w:themeColor="text1"/>
        </w:rPr>
        <w:t>pavillion’d</w:t>
      </w:r>
      <w:proofErr w:type="spellEnd"/>
      <w:r w:rsidRPr="008F5062">
        <w:rPr>
          <w:color w:val="000000" w:themeColor="text1"/>
        </w:rPr>
        <w:t xml:space="preserve">’ boughs suggests their resemblance to buildings, and Keats’s adjective encases the speaker’s desire for the genuine natural experience in a man-made, urban context. </w:t>
      </w:r>
    </w:p>
    <w:p w14:paraId="3362353B" w14:textId="77777777" w:rsidR="008F5062" w:rsidRPr="008F5062" w:rsidRDefault="008F5062" w:rsidP="008F5062">
      <w:pPr>
        <w:spacing w:line="480" w:lineRule="auto"/>
        <w:ind w:firstLine="720"/>
        <w:rPr>
          <w:color w:val="000000" w:themeColor="text1"/>
        </w:rPr>
      </w:pPr>
      <w:r w:rsidRPr="008F5062">
        <w:rPr>
          <w:color w:val="000000" w:themeColor="text1"/>
        </w:rPr>
        <w:t>Lockhart criticised Keats’s depictions of nature precisely in those terms, as ‘descriptions of flowers seen in window-pots, or cascades heard at Vauxhall’, suggesting that Keats’s poetry is continually revealing nature’s limitations rather than exalting its sublime expansiveness.</w:t>
      </w:r>
      <w:r w:rsidRPr="008F5062">
        <w:rPr>
          <w:color w:val="000000" w:themeColor="text1"/>
          <w:vertAlign w:val="superscript"/>
        </w:rPr>
        <w:endnoteReference w:id="32"/>
      </w:r>
      <w:r w:rsidRPr="008F5062">
        <w:rPr>
          <w:color w:val="000000" w:themeColor="text1"/>
        </w:rPr>
        <w:t xml:space="preserve"> The latter is a reference to the renowned artificial waterfall at Vauxhall Pleasure Gardens, where a system of tin sheets set in motion by mechanical means, accompanied by light and sound effects, imparted the illusion of flowing water. A representation of nature, the waterfall at Vauxhall for Lockhart suggests that nature encountered in London is ultimately fake: nature recreated in the image of the cultural idea of what nature is or should be. </w:t>
      </w:r>
    </w:p>
    <w:p w14:paraId="0000002E" w14:textId="698F23ED" w:rsidR="00C77584" w:rsidRPr="008F5062" w:rsidRDefault="00000000" w:rsidP="008F5062">
      <w:pPr>
        <w:spacing w:line="480" w:lineRule="auto"/>
        <w:ind w:firstLine="720"/>
        <w:rPr>
          <w:color w:val="000000" w:themeColor="text1"/>
        </w:rPr>
      </w:pPr>
      <w:r w:rsidRPr="008F5062">
        <w:rPr>
          <w:color w:val="000000" w:themeColor="text1"/>
        </w:rPr>
        <w:t>But Keats’s experiences of urban nature were shared by many Londoners, for whom it was physically contained by plant pots, fences, or buildings, and who encountered nature as a mingling of experience and representation; this is the case for many more Londoners now. And the artificial could be a helpful reminder of the real thing for many of Keats’s contemporaries, who shared his experience of migrating to London from its surroundings. An extract from ‘To Autumn’, glimpsed in an underground carriage where it sits squished between brashly-coloured adverts, reminds us to look out for the seasons when we emerge from the seasonless underground. The clouds, the gnats, the lambs, the redbreast and the cricket become part of the urban landscape as they keep the commuter company on their journey across - and beneath - the city.</w:t>
      </w:r>
    </w:p>
    <w:sectPr w:rsidR="00C77584" w:rsidRPr="008F5062" w:rsidSect="006D7BBA">
      <w:footerReference w:type="even" r:id="rId7"/>
      <w:footerReference w:type="default" r:id="rId8"/>
      <w:endnotePr>
        <w:numFmt w:val="decimal"/>
      </w:endnotePr>
      <w:pgSz w:w="11900" w:h="16840"/>
      <w:pgMar w:top="1440" w:right="1440" w:bottom="1440" w:left="1440" w:header="720" w:footer="720" w:gutter="0"/>
      <w:pgNumType w:start="34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0A708" w14:textId="77777777" w:rsidR="00A37B76" w:rsidRDefault="00A37B76">
      <w:r>
        <w:separator/>
      </w:r>
    </w:p>
  </w:endnote>
  <w:endnote w:type="continuationSeparator" w:id="0">
    <w:p w14:paraId="72738A94" w14:textId="77777777" w:rsidR="00A37B76" w:rsidRDefault="00A37B76">
      <w:r>
        <w:continuationSeparator/>
      </w:r>
    </w:p>
  </w:endnote>
  <w:endnote w:id="1">
    <w:p w14:paraId="0000004F" w14:textId="77777777" w:rsidR="008F5062" w:rsidRPr="008F5062" w:rsidRDefault="008F5062">
      <w:pPr>
        <w:rPr>
          <w:sz w:val="20"/>
          <w:szCs w:val="20"/>
        </w:rPr>
      </w:pPr>
      <w:r w:rsidRPr="008F5062">
        <w:rPr>
          <w:rStyle w:val="EndnoteReference"/>
          <w:sz w:val="20"/>
          <w:szCs w:val="20"/>
        </w:rPr>
        <w:endnoteRef/>
      </w:r>
      <w:r w:rsidRPr="008F5062">
        <w:rPr>
          <w:sz w:val="20"/>
          <w:szCs w:val="20"/>
        </w:rPr>
        <w:t xml:space="preserve"> Z [John Gibson Lockhart], </w:t>
      </w:r>
      <w:r w:rsidRPr="008F5062">
        <w:rPr>
          <w:i/>
          <w:sz w:val="20"/>
          <w:szCs w:val="20"/>
        </w:rPr>
        <w:t>Blackwood’s Edinburgh Magazine,</w:t>
      </w:r>
      <w:r w:rsidRPr="008F5062">
        <w:rPr>
          <w:sz w:val="20"/>
          <w:szCs w:val="20"/>
        </w:rPr>
        <w:t xml:space="preserve"> August 1818, 521.</w:t>
      </w:r>
    </w:p>
  </w:endnote>
  <w:endnote w:id="2">
    <w:p w14:paraId="00000050" w14:textId="77777777" w:rsidR="008F5062" w:rsidRPr="008F5062" w:rsidRDefault="008F5062">
      <w:pPr>
        <w:rPr>
          <w:sz w:val="20"/>
          <w:szCs w:val="20"/>
        </w:rPr>
      </w:pPr>
      <w:r w:rsidRPr="008F5062">
        <w:rPr>
          <w:rStyle w:val="EndnoteReference"/>
          <w:sz w:val="20"/>
          <w:szCs w:val="20"/>
        </w:rPr>
        <w:endnoteRef/>
      </w:r>
      <w:r w:rsidRPr="008F5062">
        <w:rPr>
          <w:sz w:val="20"/>
          <w:szCs w:val="20"/>
        </w:rPr>
        <w:t xml:space="preserve"> James K. Chandler and Kevin Gilmartin, ‘Introduction: Engaging the </w:t>
      </w:r>
      <w:r w:rsidRPr="008F5062">
        <w:rPr>
          <w:sz w:val="20"/>
          <w:szCs w:val="20"/>
        </w:rPr>
        <w:t xml:space="preserve">Eidometropolis’, in </w:t>
      </w:r>
      <w:r w:rsidRPr="008F5062">
        <w:rPr>
          <w:i/>
          <w:sz w:val="20"/>
          <w:szCs w:val="20"/>
        </w:rPr>
        <w:t>Romantic Metropolis: The Urban Scene of British Culture, 1780-1840</w:t>
      </w:r>
      <w:r w:rsidRPr="008F5062">
        <w:rPr>
          <w:sz w:val="20"/>
          <w:szCs w:val="20"/>
        </w:rPr>
        <w:t>, ed. James K. Chandler and Kevin Gilmartin (Cambridge: Cambridge University Press, 2005), 2.</w:t>
      </w:r>
    </w:p>
  </w:endnote>
  <w:endnote w:id="3">
    <w:p w14:paraId="0000002F" w14:textId="77777777" w:rsidR="008F5062" w:rsidRPr="008F5062" w:rsidRDefault="008F5062">
      <w:pPr>
        <w:pBdr>
          <w:top w:val="nil"/>
          <w:left w:val="nil"/>
          <w:bottom w:val="nil"/>
          <w:right w:val="nil"/>
          <w:between w:val="nil"/>
        </w:pBdr>
        <w:rPr>
          <w:color w:val="000000"/>
          <w:sz w:val="20"/>
          <w:szCs w:val="20"/>
        </w:rPr>
      </w:pPr>
      <w:r w:rsidRPr="008F5062">
        <w:rPr>
          <w:rStyle w:val="EndnoteReference"/>
          <w:sz w:val="20"/>
          <w:szCs w:val="20"/>
        </w:rPr>
        <w:endnoteRef/>
      </w:r>
      <w:r w:rsidRPr="008F5062">
        <w:rPr>
          <w:color w:val="000000"/>
          <w:sz w:val="20"/>
          <w:szCs w:val="20"/>
        </w:rPr>
        <w:t xml:space="preserve"> John Keats, </w:t>
      </w:r>
      <w:r w:rsidRPr="008F5062">
        <w:rPr>
          <w:i/>
          <w:color w:val="000000"/>
          <w:sz w:val="20"/>
          <w:szCs w:val="20"/>
        </w:rPr>
        <w:t>The Poems of John Keats</w:t>
      </w:r>
      <w:r w:rsidRPr="008F5062">
        <w:rPr>
          <w:color w:val="000000"/>
          <w:sz w:val="20"/>
          <w:szCs w:val="20"/>
        </w:rPr>
        <w:t xml:space="preserve">, ed. Jack </w:t>
      </w:r>
      <w:r w:rsidRPr="008F5062">
        <w:rPr>
          <w:color w:val="000000"/>
          <w:sz w:val="20"/>
          <w:szCs w:val="20"/>
        </w:rPr>
        <w:t>Stillinger (Cambridge, MA: Harvard University Press, 1978), lines 1-6.</w:t>
      </w:r>
    </w:p>
  </w:endnote>
  <w:endnote w:id="4">
    <w:p w14:paraId="00000030" w14:textId="77777777" w:rsidR="008F5062" w:rsidRPr="008F5062" w:rsidRDefault="008F5062">
      <w:pPr>
        <w:pBdr>
          <w:top w:val="nil"/>
          <w:left w:val="nil"/>
          <w:bottom w:val="nil"/>
          <w:right w:val="nil"/>
          <w:between w:val="nil"/>
        </w:pBdr>
        <w:rPr>
          <w:color w:val="000000"/>
          <w:sz w:val="20"/>
          <w:szCs w:val="20"/>
        </w:rPr>
      </w:pPr>
      <w:r w:rsidRPr="008F5062">
        <w:rPr>
          <w:rStyle w:val="EndnoteReference"/>
          <w:sz w:val="20"/>
          <w:szCs w:val="20"/>
        </w:rPr>
        <w:endnoteRef/>
      </w:r>
      <w:r w:rsidRPr="008F5062">
        <w:rPr>
          <w:color w:val="000000"/>
          <w:sz w:val="20"/>
          <w:szCs w:val="20"/>
        </w:rPr>
        <w:t xml:space="preserve"> John </w:t>
      </w:r>
      <w:r w:rsidRPr="008F5062">
        <w:rPr>
          <w:color w:val="000000"/>
          <w:sz w:val="20"/>
          <w:szCs w:val="20"/>
        </w:rPr>
        <w:t xml:space="preserve">Summerson, </w:t>
      </w:r>
      <w:r w:rsidRPr="008F5062">
        <w:rPr>
          <w:i/>
          <w:color w:val="000000"/>
          <w:sz w:val="20"/>
          <w:szCs w:val="20"/>
        </w:rPr>
        <w:t>Georgian London</w:t>
      </w:r>
      <w:r w:rsidRPr="008F5062">
        <w:rPr>
          <w:color w:val="000000"/>
          <w:sz w:val="20"/>
          <w:szCs w:val="20"/>
        </w:rPr>
        <w:t>, ed. Howard Colvin (New Haven, CT: Yale University Press, 2003), 330.</w:t>
      </w:r>
    </w:p>
  </w:endnote>
  <w:endnote w:id="5">
    <w:p w14:paraId="00000031" w14:textId="77777777" w:rsidR="008F5062" w:rsidRPr="008F5062" w:rsidRDefault="008F5062">
      <w:pPr>
        <w:pBdr>
          <w:top w:val="nil"/>
          <w:left w:val="nil"/>
          <w:bottom w:val="nil"/>
          <w:right w:val="nil"/>
          <w:between w:val="nil"/>
        </w:pBdr>
        <w:rPr>
          <w:color w:val="000000"/>
          <w:sz w:val="20"/>
          <w:szCs w:val="20"/>
        </w:rPr>
      </w:pPr>
      <w:r w:rsidRPr="008F5062">
        <w:rPr>
          <w:rStyle w:val="EndnoteReference"/>
          <w:sz w:val="20"/>
          <w:szCs w:val="20"/>
        </w:rPr>
        <w:endnoteRef/>
      </w:r>
      <w:r w:rsidRPr="008F5062">
        <w:rPr>
          <w:color w:val="000000"/>
          <w:sz w:val="20"/>
          <w:szCs w:val="20"/>
        </w:rPr>
        <w:t xml:space="preserve"> </w:t>
      </w:r>
      <w:r w:rsidRPr="008F5062">
        <w:rPr>
          <w:sz w:val="20"/>
          <w:szCs w:val="20"/>
        </w:rPr>
        <w:t xml:space="preserve">Jerry White, </w:t>
      </w:r>
      <w:r w:rsidRPr="008F5062">
        <w:rPr>
          <w:i/>
          <w:sz w:val="20"/>
          <w:szCs w:val="20"/>
        </w:rPr>
        <w:t>London in the Eighteenth Century: A Great and Monstrous Thing</w:t>
      </w:r>
      <w:r w:rsidRPr="008F5062">
        <w:rPr>
          <w:sz w:val="20"/>
          <w:szCs w:val="20"/>
        </w:rPr>
        <w:t xml:space="preserve"> (London: The Bodley Head, 2012)</w:t>
      </w:r>
      <w:r w:rsidRPr="008F5062">
        <w:rPr>
          <w:color w:val="000000"/>
          <w:sz w:val="20"/>
          <w:szCs w:val="20"/>
        </w:rPr>
        <w:t xml:space="preserve">, 79-80; </w:t>
      </w:r>
      <w:r w:rsidRPr="008F5062">
        <w:rPr>
          <w:sz w:val="20"/>
          <w:szCs w:val="20"/>
        </w:rPr>
        <w:t xml:space="preserve">Chandler and Gilmartin, </w:t>
      </w:r>
      <w:r w:rsidRPr="008F5062">
        <w:rPr>
          <w:color w:val="000000"/>
          <w:sz w:val="20"/>
          <w:szCs w:val="20"/>
        </w:rPr>
        <w:t>‘Introduction</w:t>
      </w:r>
      <w:r w:rsidRPr="008F5062">
        <w:rPr>
          <w:sz w:val="20"/>
          <w:szCs w:val="20"/>
        </w:rPr>
        <w:t>’</w:t>
      </w:r>
      <w:r w:rsidRPr="008F5062">
        <w:rPr>
          <w:color w:val="000000"/>
          <w:sz w:val="20"/>
          <w:szCs w:val="20"/>
        </w:rPr>
        <w:t>, 2.</w:t>
      </w:r>
    </w:p>
  </w:endnote>
  <w:endnote w:id="6">
    <w:p w14:paraId="00000032" w14:textId="77777777" w:rsidR="008F5062" w:rsidRPr="008F5062" w:rsidRDefault="008F5062">
      <w:pPr>
        <w:pBdr>
          <w:top w:val="nil"/>
          <w:left w:val="nil"/>
          <w:bottom w:val="nil"/>
          <w:right w:val="nil"/>
          <w:between w:val="nil"/>
        </w:pBdr>
        <w:rPr>
          <w:color w:val="000000"/>
          <w:sz w:val="20"/>
          <w:szCs w:val="20"/>
        </w:rPr>
      </w:pPr>
      <w:r w:rsidRPr="008F5062">
        <w:rPr>
          <w:rStyle w:val="EndnoteReference"/>
          <w:sz w:val="20"/>
          <w:szCs w:val="20"/>
        </w:rPr>
        <w:endnoteRef/>
      </w:r>
      <w:r w:rsidRPr="008F5062">
        <w:rPr>
          <w:color w:val="000000"/>
          <w:sz w:val="20"/>
          <w:szCs w:val="20"/>
        </w:rPr>
        <w:t xml:space="preserve"> Quoted in White, </w:t>
      </w:r>
      <w:r w:rsidRPr="008F5062">
        <w:rPr>
          <w:i/>
          <w:color w:val="000000"/>
          <w:sz w:val="20"/>
          <w:szCs w:val="20"/>
        </w:rPr>
        <w:t>London in the Eighteenth Century</w:t>
      </w:r>
      <w:r w:rsidRPr="008F5062">
        <w:rPr>
          <w:color w:val="000000"/>
          <w:sz w:val="20"/>
          <w:szCs w:val="20"/>
        </w:rPr>
        <w:t>, 76.</w:t>
      </w:r>
    </w:p>
  </w:endnote>
  <w:endnote w:id="7">
    <w:p w14:paraId="00000051" w14:textId="122C4A16" w:rsidR="008F5062" w:rsidRPr="008F5062" w:rsidRDefault="008F5062">
      <w:pPr>
        <w:rPr>
          <w:color w:val="0000FF"/>
          <w:sz w:val="20"/>
          <w:szCs w:val="20"/>
        </w:rPr>
      </w:pPr>
      <w:r w:rsidRPr="008F5062">
        <w:rPr>
          <w:rStyle w:val="EndnoteReference"/>
          <w:color w:val="000000" w:themeColor="text1"/>
          <w:sz w:val="20"/>
          <w:szCs w:val="20"/>
        </w:rPr>
        <w:endnoteRef/>
      </w:r>
      <w:r w:rsidRPr="008F5062">
        <w:rPr>
          <w:color w:val="000000" w:themeColor="text1"/>
          <w:sz w:val="20"/>
          <w:szCs w:val="20"/>
        </w:rPr>
        <w:t xml:space="preserve"> </w:t>
      </w:r>
      <w:r w:rsidR="00CD001F" w:rsidRPr="004153CB">
        <w:rPr>
          <w:sz w:val="20"/>
          <w:szCs w:val="20"/>
        </w:rPr>
        <w:t xml:space="preserve">Alberto </w:t>
      </w:r>
      <w:r w:rsidR="00CD001F" w:rsidRPr="004153CB">
        <w:rPr>
          <w:sz w:val="20"/>
          <w:szCs w:val="20"/>
        </w:rPr>
        <w:t xml:space="preserve">Duman, ‘Dispatches from “the Frontline of Gentrification”’, </w:t>
      </w:r>
      <w:r w:rsidR="00CD001F" w:rsidRPr="009935B4">
        <w:rPr>
          <w:i/>
          <w:iCs/>
          <w:sz w:val="20"/>
          <w:szCs w:val="20"/>
        </w:rPr>
        <w:t>City</w:t>
      </w:r>
      <w:r w:rsidR="00CD001F" w:rsidRPr="004153CB">
        <w:rPr>
          <w:sz w:val="20"/>
          <w:szCs w:val="20"/>
        </w:rPr>
        <w:t xml:space="preserve"> 16, no. 6 (2012): </w:t>
      </w:r>
      <w:r w:rsidRPr="008F5062">
        <w:rPr>
          <w:color w:val="000000" w:themeColor="text1"/>
          <w:sz w:val="20"/>
          <w:szCs w:val="20"/>
        </w:rPr>
        <w:t>676.</w:t>
      </w:r>
    </w:p>
  </w:endnote>
  <w:endnote w:id="8">
    <w:p w14:paraId="00000033" w14:textId="77777777" w:rsidR="008F5062" w:rsidRPr="008F5062" w:rsidRDefault="008F5062">
      <w:pPr>
        <w:pBdr>
          <w:top w:val="nil"/>
          <w:left w:val="nil"/>
          <w:bottom w:val="nil"/>
          <w:right w:val="nil"/>
          <w:between w:val="nil"/>
        </w:pBdr>
        <w:rPr>
          <w:color w:val="000000"/>
          <w:sz w:val="20"/>
          <w:szCs w:val="20"/>
        </w:rPr>
      </w:pPr>
      <w:r w:rsidRPr="008F5062">
        <w:rPr>
          <w:rStyle w:val="EndnoteReference"/>
          <w:sz w:val="20"/>
          <w:szCs w:val="20"/>
        </w:rPr>
        <w:endnoteRef/>
      </w:r>
      <w:r w:rsidRPr="008F5062">
        <w:rPr>
          <w:color w:val="000000"/>
          <w:sz w:val="20"/>
          <w:szCs w:val="20"/>
        </w:rPr>
        <w:t xml:space="preserve"> Nicholas Roe, </w:t>
      </w:r>
      <w:r w:rsidRPr="008F5062">
        <w:rPr>
          <w:i/>
          <w:color w:val="000000"/>
          <w:sz w:val="20"/>
          <w:szCs w:val="20"/>
        </w:rPr>
        <w:t>John Keats: A New Life</w:t>
      </w:r>
      <w:r w:rsidRPr="008F5062">
        <w:rPr>
          <w:color w:val="000000"/>
          <w:sz w:val="20"/>
          <w:szCs w:val="20"/>
        </w:rPr>
        <w:t xml:space="preserve"> (New Haven, CT: Yale University Press, 2012), 19, 44, 57.</w:t>
      </w:r>
    </w:p>
  </w:endnote>
  <w:endnote w:id="9">
    <w:p w14:paraId="00000034" w14:textId="77777777" w:rsidR="008F5062" w:rsidRPr="008F5062" w:rsidRDefault="008F5062">
      <w:pPr>
        <w:rPr>
          <w:sz w:val="20"/>
          <w:szCs w:val="20"/>
        </w:rPr>
      </w:pPr>
      <w:r w:rsidRPr="008F5062">
        <w:rPr>
          <w:rStyle w:val="EndnoteReference"/>
          <w:sz w:val="20"/>
          <w:szCs w:val="20"/>
        </w:rPr>
        <w:endnoteRef/>
      </w:r>
      <w:r w:rsidRPr="008F5062">
        <w:rPr>
          <w:sz w:val="20"/>
          <w:szCs w:val="20"/>
        </w:rPr>
        <w:t xml:space="preserve"> A. P. </w:t>
      </w:r>
      <w:r w:rsidRPr="008F5062">
        <w:rPr>
          <w:sz w:val="20"/>
          <w:szCs w:val="20"/>
        </w:rPr>
        <w:t xml:space="preserve">Baggs, Diane K. Bolton, Eileen P. Scarff, and G. C. Tyack, </w:t>
      </w:r>
      <w:r w:rsidRPr="008F5062">
        <w:rPr>
          <w:i/>
          <w:sz w:val="20"/>
          <w:szCs w:val="20"/>
        </w:rPr>
        <w:t>A History of the County of Middlesex: Hendon, Kingsbury, Great Stanmore, Little Stanmore, Edmonton Enfield, Monken Hadley, South Mimms, Tottenham</w:t>
      </w:r>
      <w:r w:rsidRPr="008F5062">
        <w:rPr>
          <w:sz w:val="20"/>
          <w:szCs w:val="20"/>
        </w:rPr>
        <w:t xml:space="preserve">, ed. T. F. T. Baker, 13 vols (London: Institute of Historical Research, 1976) V, 137-42, 212-18, </w:t>
      </w:r>
    </w:p>
  </w:endnote>
  <w:endnote w:id="10">
    <w:p w14:paraId="00000035" w14:textId="77777777" w:rsidR="008F5062" w:rsidRPr="008F5062" w:rsidRDefault="008F5062">
      <w:pPr>
        <w:pBdr>
          <w:top w:val="nil"/>
          <w:left w:val="nil"/>
          <w:bottom w:val="nil"/>
          <w:right w:val="nil"/>
          <w:between w:val="nil"/>
        </w:pBdr>
        <w:rPr>
          <w:b/>
          <w:color w:val="000000"/>
          <w:sz w:val="20"/>
          <w:szCs w:val="20"/>
        </w:rPr>
      </w:pPr>
      <w:r w:rsidRPr="008F5062">
        <w:rPr>
          <w:rStyle w:val="EndnoteReference"/>
          <w:sz w:val="20"/>
          <w:szCs w:val="20"/>
        </w:rPr>
        <w:endnoteRef/>
      </w:r>
      <w:r w:rsidRPr="008F5062">
        <w:rPr>
          <w:color w:val="000000"/>
          <w:sz w:val="20"/>
          <w:szCs w:val="20"/>
        </w:rPr>
        <w:t xml:space="preserve"> Roe, </w:t>
      </w:r>
      <w:r w:rsidRPr="008F5062">
        <w:rPr>
          <w:i/>
          <w:color w:val="000000"/>
          <w:sz w:val="20"/>
          <w:szCs w:val="20"/>
        </w:rPr>
        <w:t xml:space="preserve">John Keats, </w:t>
      </w:r>
      <w:r w:rsidRPr="008F5062">
        <w:rPr>
          <w:color w:val="000000"/>
          <w:sz w:val="20"/>
          <w:szCs w:val="20"/>
        </w:rPr>
        <w:t>33.</w:t>
      </w:r>
    </w:p>
  </w:endnote>
  <w:endnote w:id="11">
    <w:p w14:paraId="00000036" w14:textId="77777777" w:rsidR="008F5062" w:rsidRPr="008F5062" w:rsidRDefault="008F5062">
      <w:pPr>
        <w:pBdr>
          <w:top w:val="nil"/>
          <w:left w:val="nil"/>
          <w:bottom w:val="nil"/>
          <w:right w:val="nil"/>
          <w:between w:val="nil"/>
        </w:pBdr>
        <w:rPr>
          <w:color w:val="000000" w:themeColor="text1"/>
          <w:sz w:val="20"/>
          <w:szCs w:val="20"/>
        </w:rPr>
      </w:pPr>
      <w:r w:rsidRPr="008F5062">
        <w:rPr>
          <w:rStyle w:val="EndnoteReference"/>
          <w:color w:val="000000" w:themeColor="text1"/>
          <w:sz w:val="20"/>
          <w:szCs w:val="20"/>
        </w:rPr>
        <w:endnoteRef/>
      </w:r>
      <w:r w:rsidRPr="008F5062">
        <w:rPr>
          <w:color w:val="000000" w:themeColor="text1"/>
          <w:sz w:val="20"/>
          <w:szCs w:val="20"/>
        </w:rPr>
        <w:t xml:space="preserve"> John Keats, </w:t>
      </w:r>
      <w:r w:rsidRPr="008F5062">
        <w:rPr>
          <w:i/>
          <w:color w:val="000000" w:themeColor="text1"/>
          <w:sz w:val="20"/>
          <w:szCs w:val="20"/>
        </w:rPr>
        <w:t>The Letters of John Keats 1814-1821</w:t>
      </w:r>
      <w:r w:rsidRPr="008F5062">
        <w:rPr>
          <w:color w:val="000000" w:themeColor="text1"/>
          <w:sz w:val="20"/>
          <w:szCs w:val="20"/>
        </w:rPr>
        <w:t xml:space="preserve">, ed. </w:t>
      </w:r>
      <w:r w:rsidRPr="008F5062">
        <w:rPr>
          <w:color w:val="000000" w:themeColor="text1"/>
          <w:sz w:val="20"/>
          <w:szCs w:val="20"/>
        </w:rPr>
        <w:t>Hyder Edward Rollins, 2 vols (Cambridge, MA: Harvard University Press, 1958) II, 46.</w:t>
      </w:r>
    </w:p>
  </w:endnote>
  <w:endnote w:id="12">
    <w:p w14:paraId="00000052" w14:textId="77777777" w:rsidR="008F5062" w:rsidRPr="008F5062" w:rsidRDefault="008F5062">
      <w:pPr>
        <w:rPr>
          <w:color w:val="000000" w:themeColor="text1"/>
          <w:sz w:val="20"/>
          <w:szCs w:val="20"/>
        </w:rPr>
      </w:pPr>
      <w:r w:rsidRPr="008F5062">
        <w:rPr>
          <w:rStyle w:val="EndnoteReference"/>
          <w:color w:val="000000" w:themeColor="text1"/>
          <w:sz w:val="20"/>
          <w:szCs w:val="20"/>
        </w:rPr>
        <w:endnoteRef/>
      </w:r>
      <w:r w:rsidRPr="008F5062">
        <w:rPr>
          <w:color w:val="000000" w:themeColor="text1"/>
          <w:sz w:val="20"/>
          <w:szCs w:val="20"/>
        </w:rPr>
        <w:t xml:space="preserve"> Charles Cowden Clarke and Mary Cowden Clarke, </w:t>
      </w:r>
      <w:r w:rsidRPr="008F5062">
        <w:rPr>
          <w:i/>
          <w:color w:val="000000" w:themeColor="text1"/>
          <w:sz w:val="20"/>
          <w:szCs w:val="20"/>
        </w:rPr>
        <w:t>Recollections of Writers</w:t>
      </w:r>
      <w:r w:rsidRPr="008F5062">
        <w:rPr>
          <w:color w:val="000000" w:themeColor="text1"/>
          <w:sz w:val="20"/>
          <w:szCs w:val="20"/>
        </w:rPr>
        <w:t xml:space="preserve"> (London: Sampson Low, Marston, Searle, &amp; Rivington, 1878), 14. </w:t>
      </w:r>
    </w:p>
  </w:endnote>
  <w:endnote w:id="13">
    <w:p w14:paraId="00000037" w14:textId="77777777" w:rsidR="008F5062" w:rsidRPr="008F5062" w:rsidRDefault="008F5062">
      <w:pPr>
        <w:pBdr>
          <w:top w:val="nil"/>
          <w:left w:val="nil"/>
          <w:bottom w:val="nil"/>
          <w:right w:val="nil"/>
          <w:between w:val="nil"/>
        </w:pBdr>
        <w:rPr>
          <w:color w:val="000000" w:themeColor="text1"/>
          <w:sz w:val="20"/>
          <w:szCs w:val="20"/>
        </w:rPr>
      </w:pPr>
      <w:r w:rsidRPr="008F5062">
        <w:rPr>
          <w:rStyle w:val="EndnoteReference"/>
          <w:color w:val="000000" w:themeColor="text1"/>
          <w:sz w:val="20"/>
          <w:szCs w:val="20"/>
        </w:rPr>
        <w:endnoteRef/>
      </w:r>
      <w:r w:rsidRPr="008F5062">
        <w:rPr>
          <w:color w:val="000000" w:themeColor="text1"/>
          <w:sz w:val="20"/>
          <w:szCs w:val="20"/>
        </w:rPr>
        <w:t xml:space="preserve"> </w:t>
      </w:r>
      <w:r w:rsidRPr="008F5062">
        <w:rPr>
          <w:color w:val="000000" w:themeColor="text1"/>
          <w:sz w:val="20"/>
          <w:szCs w:val="20"/>
        </w:rPr>
        <w:t xml:space="preserve">Baggs, Bolton, Scarff, and Tyack, </w:t>
      </w:r>
      <w:r w:rsidRPr="008F5062">
        <w:rPr>
          <w:i/>
          <w:color w:val="000000" w:themeColor="text1"/>
          <w:sz w:val="20"/>
          <w:szCs w:val="20"/>
        </w:rPr>
        <w:t>A History of the County of Middlesex,</w:t>
      </w:r>
      <w:r w:rsidRPr="008F5062">
        <w:rPr>
          <w:color w:val="000000" w:themeColor="text1"/>
          <w:sz w:val="20"/>
          <w:szCs w:val="20"/>
        </w:rPr>
        <w:t xml:space="preserve"> 137-42, 212-18.</w:t>
      </w:r>
    </w:p>
  </w:endnote>
  <w:endnote w:id="14">
    <w:p w14:paraId="00000038" w14:textId="77777777" w:rsidR="008F5062" w:rsidRPr="008F5062" w:rsidRDefault="008F5062">
      <w:pPr>
        <w:pBdr>
          <w:top w:val="nil"/>
          <w:left w:val="nil"/>
          <w:bottom w:val="nil"/>
          <w:right w:val="nil"/>
          <w:between w:val="nil"/>
        </w:pBdr>
        <w:rPr>
          <w:b/>
          <w:color w:val="000000" w:themeColor="text1"/>
          <w:sz w:val="20"/>
          <w:szCs w:val="20"/>
        </w:rPr>
      </w:pPr>
      <w:r w:rsidRPr="008F5062">
        <w:rPr>
          <w:rStyle w:val="EndnoteReference"/>
          <w:color w:val="000000" w:themeColor="text1"/>
          <w:sz w:val="20"/>
          <w:szCs w:val="20"/>
        </w:rPr>
        <w:endnoteRef/>
      </w:r>
      <w:r w:rsidRPr="008F5062">
        <w:rPr>
          <w:color w:val="000000" w:themeColor="text1"/>
          <w:sz w:val="20"/>
          <w:szCs w:val="20"/>
        </w:rPr>
        <w:t xml:space="preserve"> White, </w:t>
      </w:r>
      <w:r w:rsidRPr="008F5062">
        <w:rPr>
          <w:i/>
          <w:color w:val="000000" w:themeColor="text1"/>
          <w:sz w:val="20"/>
          <w:szCs w:val="20"/>
        </w:rPr>
        <w:t>London in the Eighteenth Century</w:t>
      </w:r>
      <w:r w:rsidRPr="008F5062">
        <w:rPr>
          <w:color w:val="000000" w:themeColor="text1"/>
          <w:sz w:val="20"/>
          <w:szCs w:val="20"/>
        </w:rPr>
        <w:t xml:space="preserve">, 76; Andrew Motion, </w:t>
      </w:r>
      <w:r w:rsidRPr="008F5062">
        <w:rPr>
          <w:i/>
          <w:color w:val="000000" w:themeColor="text1"/>
          <w:sz w:val="20"/>
          <w:szCs w:val="20"/>
        </w:rPr>
        <w:t>Keats</w:t>
      </w:r>
      <w:r w:rsidRPr="008F5062">
        <w:rPr>
          <w:color w:val="000000" w:themeColor="text1"/>
          <w:sz w:val="20"/>
          <w:szCs w:val="20"/>
        </w:rPr>
        <w:t xml:space="preserve"> (London: Faber and Faber, 1997), 297; </w:t>
      </w:r>
      <w:r w:rsidRPr="008F5062">
        <w:rPr>
          <w:color w:val="000000" w:themeColor="text1"/>
          <w:sz w:val="20"/>
          <w:szCs w:val="20"/>
        </w:rPr>
        <w:t xml:space="preserve">Summerson, </w:t>
      </w:r>
      <w:r w:rsidRPr="008F5062">
        <w:rPr>
          <w:i/>
          <w:color w:val="000000" w:themeColor="text1"/>
          <w:sz w:val="20"/>
          <w:szCs w:val="20"/>
        </w:rPr>
        <w:t xml:space="preserve">Georgian London, </w:t>
      </w:r>
      <w:r w:rsidRPr="008F5062">
        <w:rPr>
          <w:color w:val="000000" w:themeColor="text1"/>
          <w:sz w:val="20"/>
          <w:szCs w:val="20"/>
        </w:rPr>
        <w:t xml:space="preserve">326-5; Ruth Livesey, </w:t>
      </w:r>
      <w:r w:rsidRPr="008F5062">
        <w:rPr>
          <w:i/>
          <w:color w:val="000000" w:themeColor="text1"/>
          <w:sz w:val="20"/>
          <w:szCs w:val="20"/>
        </w:rPr>
        <w:t>Writing the Stagecoach Nation</w:t>
      </w:r>
      <w:r w:rsidRPr="008F5062">
        <w:rPr>
          <w:color w:val="000000" w:themeColor="text1"/>
          <w:sz w:val="20"/>
          <w:szCs w:val="20"/>
        </w:rPr>
        <w:t xml:space="preserve"> (Oxford: Oxford University Press, 2016), 15, 18-9.</w:t>
      </w:r>
    </w:p>
  </w:endnote>
  <w:endnote w:id="15">
    <w:p w14:paraId="00000039" w14:textId="77777777" w:rsidR="008F5062" w:rsidRPr="008F5062" w:rsidRDefault="008F5062">
      <w:pPr>
        <w:rPr>
          <w:sz w:val="20"/>
          <w:szCs w:val="20"/>
        </w:rPr>
      </w:pPr>
      <w:r w:rsidRPr="008F5062">
        <w:rPr>
          <w:rStyle w:val="EndnoteReference"/>
          <w:color w:val="000000" w:themeColor="text1"/>
          <w:sz w:val="20"/>
          <w:szCs w:val="20"/>
        </w:rPr>
        <w:endnoteRef/>
      </w:r>
      <w:r w:rsidRPr="008F5062">
        <w:rPr>
          <w:color w:val="000000" w:themeColor="text1"/>
          <w:sz w:val="20"/>
          <w:szCs w:val="20"/>
        </w:rPr>
        <w:t xml:space="preserve"> William Page (ed.), </w:t>
      </w:r>
      <w:r w:rsidRPr="008F5062">
        <w:rPr>
          <w:i/>
          <w:color w:val="000000" w:themeColor="text1"/>
          <w:sz w:val="20"/>
          <w:szCs w:val="20"/>
        </w:rPr>
        <w:t>A History of the County of Middlesex: General; Ashford, East Bedfont With Hatton, Feltham, Hampton With Hampton Wick, Hanworth, Laleham, Littleton</w:t>
      </w:r>
      <w:r w:rsidRPr="008F5062">
        <w:rPr>
          <w:color w:val="000000" w:themeColor="text1"/>
          <w:sz w:val="20"/>
          <w:szCs w:val="20"/>
        </w:rPr>
        <w:t xml:space="preserve">, 13 vols (London: Institute of Historical Research 1911), II, 112-20. </w:t>
      </w:r>
    </w:p>
  </w:endnote>
  <w:endnote w:id="16">
    <w:p w14:paraId="0000003A" w14:textId="77777777" w:rsidR="008F5062" w:rsidRPr="008F5062" w:rsidRDefault="008F5062">
      <w:pPr>
        <w:pBdr>
          <w:top w:val="nil"/>
          <w:left w:val="nil"/>
          <w:bottom w:val="nil"/>
          <w:right w:val="nil"/>
          <w:between w:val="nil"/>
        </w:pBdr>
        <w:rPr>
          <w:color w:val="000000"/>
          <w:sz w:val="20"/>
          <w:szCs w:val="20"/>
        </w:rPr>
      </w:pPr>
      <w:r w:rsidRPr="008F5062">
        <w:rPr>
          <w:rStyle w:val="EndnoteReference"/>
          <w:sz w:val="20"/>
          <w:szCs w:val="20"/>
        </w:rPr>
        <w:endnoteRef/>
      </w:r>
      <w:r w:rsidRPr="008F5062">
        <w:rPr>
          <w:color w:val="000000"/>
          <w:sz w:val="20"/>
          <w:szCs w:val="20"/>
        </w:rPr>
        <w:t xml:space="preserve"> Roe, </w:t>
      </w:r>
      <w:r w:rsidRPr="008F5062">
        <w:rPr>
          <w:i/>
          <w:color w:val="000000"/>
          <w:sz w:val="20"/>
          <w:szCs w:val="20"/>
        </w:rPr>
        <w:t xml:space="preserve">John Keats, </w:t>
      </w:r>
      <w:r w:rsidRPr="008F5062">
        <w:rPr>
          <w:color w:val="000000"/>
          <w:sz w:val="20"/>
          <w:szCs w:val="20"/>
        </w:rPr>
        <w:t>20, 22-3, 29, 33.</w:t>
      </w:r>
    </w:p>
  </w:endnote>
  <w:endnote w:id="17">
    <w:p w14:paraId="0000003B" w14:textId="77777777" w:rsidR="008F5062" w:rsidRPr="008F5062" w:rsidRDefault="008F5062">
      <w:pPr>
        <w:pBdr>
          <w:top w:val="nil"/>
          <w:left w:val="nil"/>
          <w:bottom w:val="nil"/>
          <w:right w:val="nil"/>
          <w:between w:val="nil"/>
        </w:pBdr>
        <w:rPr>
          <w:color w:val="000000"/>
          <w:sz w:val="20"/>
          <w:szCs w:val="20"/>
        </w:rPr>
      </w:pPr>
      <w:r w:rsidRPr="008F5062">
        <w:rPr>
          <w:rStyle w:val="EndnoteReference"/>
          <w:sz w:val="20"/>
          <w:szCs w:val="20"/>
        </w:rPr>
        <w:endnoteRef/>
      </w:r>
      <w:r w:rsidRPr="008F5062">
        <w:rPr>
          <w:color w:val="000000"/>
          <w:sz w:val="20"/>
          <w:szCs w:val="20"/>
        </w:rPr>
        <w:t xml:space="preserve"> Fiona Stafford, </w:t>
      </w:r>
      <w:r w:rsidRPr="008F5062">
        <w:rPr>
          <w:i/>
          <w:color w:val="000000"/>
          <w:sz w:val="20"/>
          <w:szCs w:val="20"/>
        </w:rPr>
        <w:t>Local Attachments: The Province of Poetry</w:t>
      </w:r>
      <w:r w:rsidRPr="008F5062">
        <w:rPr>
          <w:color w:val="000000"/>
          <w:sz w:val="20"/>
          <w:szCs w:val="20"/>
        </w:rPr>
        <w:t xml:space="preserve"> (Oxford: Oxford University Press, 2010)</w:t>
      </w:r>
      <w:r w:rsidRPr="008F5062">
        <w:rPr>
          <w:i/>
          <w:color w:val="000000"/>
          <w:sz w:val="20"/>
          <w:szCs w:val="20"/>
        </w:rPr>
        <w:t>,</w:t>
      </w:r>
      <w:r w:rsidRPr="008F5062">
        <w:rPr>
          <w:color w:val="000000"/>
          <w:sz w:val="20"/>
          <w:szCs w:val="20"/>
        </w:rPr>
        <w:t xml:space="preserve"> 230.</w:t>
      </w:r>
    </w:p>
  </w:endnote>
  <w:endnote w:id="18">
    <w:p w14:paraId="0000003C" w14:textId="77777777" w:rsidR="008F5062" w:rsidRPr="008F5062" w:rsidRDefault="008F5062">
      <w:pPr>
        <w:pBdr>
          <w:top w:val="nil"/>
          <w:left w:val="nil"/>
          <w:bottom w:val="nil"/>
          <w:right w:val="nil"/>
          <w:between w:val="nil"/>
        </w:pBdr>
        <w:rPr>
          <w:color w:val="000000"/>
          <w:sz w:val="20"/>
          <w:szCs w:val="20"/>
        </w:rPr>
      </w:pPr>
      <w:r w:rsidRPr="008F5062">
        <w:rPr>
          <w:rStyle w:val="EndnoteReference"/>
          <w:sz w:val="20"/>
          <w:szCs w:val="20"/>
        </w:rPr>
        <w:endnoteRef/>
      </w:r>
      <w:r w:rsidRPr="008F5062">
        <w:rPr>
          <w:color w:val="000000"/>
          <w:sz w:val="20"/>
          <w:szCs w:val="20"/>
        </w:rPr>
        <w:t xml:space="preserve"> Samuel Taylor Coleridge, ‘Frost at Midnight’, in </w:t>
      </w:r>
      <w:r w:rsidRPr="008F5062">
        <w:rPr>
          <w:i/>
          <w:color w:val="000000"/>
          <w:sz w:val="20"/>
          <w:szCs w:val="20"/>
        </w:rPr>
        <w:t>The Complete Poems,</w:t>
      </w:r>
      <w:r w:rsidRPr="008F5062">
        <w:rPr>
          <w:color w:val="000000"/>
          <w:sz w:val="20"/>
          <w:szCs w:val="20"/>
        </w:rPr>
        <w:t xml:space="preserve"> ed. William </w:t>
      </w:r>
      <w:r w:rsidRPr="008F5062">
        <w:rPr>
          <w:color w:val="000000"/>
          <w:sz w:val="20"/>
          <w:szCs w:val="20"/>
        </w:rPr>
        <w:t>Keach</w:t>
      </w:r>
      <w:r w:rsidRPr="008F5062">
        <w:rPr>
          <w:i/>
          <w:color w:val="000000"/>
          <w:sz w:val="20"/>
          <w:szCs w:val="20"/>
        </w:rPr>
        <w:t xml:space="preserve"> </w:t>
      </w:r>
      <w:r w:rsidRPr="008F5062">
        <w:rPr>
          <w:color w:val="000000"/>
          <w:sz w:val="20"/>
          <w:szCs w:val="20"/>
        </w:rPr>
        <w:t>(London: Penguin, 1997), 123.</w:t>
      </w:r>
    </w:p>
  </w:endnote>
  <w:endnote w:id="19">
    <w:p w14:paraId="0000003D" w14:textId="0ACB4B83" w:rsidR="008F5062" w:rsidRPr="008F5062" w:rsidRDefault="008F5062">
      <w:pPr>
        <w:pBdr>
          <w:top w:val="nil"/>
          <w:left w:val="nil"/>
          <w:bottom w:val="nil"/>
          <w:right w:val="nil"/>
          <w:between w:val="nil"/>
        </w:pBdr>
        <w:rPr>
          <w:color w:val="000000" w:themeColor="text1"/>
          <w:sz w:val="20"/>
          <w:szCs w:val="20"/>
        </w:rPr>
      </w:pPr>
      <w:r w:rsidRPr="008F5062">
        <w:rPr>
          <w:rStyle w:val="EndnoteReference"/>
          <w:color w:val="000000" w:themeColor="text1"/>
          <w:sz w:val="20"/>
          <w:szCs w:val="20"/>
        </w:rPr>
        <w:endnoteRef/>
      </w:r>
      <w:r w:rsidRPr="008F5062">
        <w:rPr>
          <w:color w:val="000000" w:themeColor="text1"/>
          <w:sz w:val="20"/>
          <w:szCs w:val="20"/>
        </w:rPr>
        <w:t xml:space="preserve"> John Milton, </w:t>
      </w:r>
      <w:r w:rsidRPr="008F5062">
        <w:rPr>
          <w:i/>
          <w:color w:val="000000" w:themeColor="text1"/>
          <w:sz w:val="20"/>
          <w:szCs w:val="20"/>
        </w:rPr>
        <w:t xml:space="preserve">Paradise Lost, </w:t>
      </w:r>
      <w:r w:rsidRPr="008F5062">
        <w:rPr>
          <w:color w:val="000000" w:themeColor="text1"/>
          <w:sz w:val="20"/>
          <w:szCs w:val="20"/>
        </w:rPr>
        <w:t xml:space="preserve">ed. Stephen Orgel and Jonathan Goldberg (Oxford: Oxford University Press, 2004); Keats, </w:t>
      </w:r>
      <w:r w:rsidRPr="008F5062">
        <w:rPr>
          <w:i/>
          <w:color w:val="000000" w:themeColor="text1"/>
          <w:sz w:val="20"/>
          <w:szCs w:val="20"/>
        </w:rPr>
        <w:t>The Poems of John Keats,</w:t>
      </w:r>
      <w:r w:rsidRPr="008F5062">
        <w:rPr>
          <w:color w:val="000000" w:themeColor="text1"/>
          <w:sz w:val="20"/>
          <w:szCs w:val="20"/>
        </w:rPr>
        <w:t xml:space="preserve"> 421; Harry </w:t>
      </w:r>
      <w:r w:rsidRPr="008F5062">
        <w:rPr>
          <w:color w:val="000000" w:themeColor="text1"/>
          <w:sz w:val="20"/>
          <w:szCs w:val="20"/>
        </w:rPr>
        <w:t xml:space="preserve">Buxon Forman, </w:t>
      </w:r>
      <w:r w:rsidRPr="008F5062">
        <w:rPr>
          <w:i/>
          <w:color w:val="000000" w:themeColor="text1"/>
          <w:sz w:val="20"/>
          <w:szCs w:val="20"/>
        </w:rPr>
        <w:t>The Poetical Works and Other Writings of John Keats</w:t>
      </w:r>
      <w:r w:rsidRPr="008F5062">
        <w:rPr>
          <w:color w:val="000000" w:themeColor="text1"/>
          <w:sz w:val="20"/>
          <w:szCs w:val="20"/>
        </w:rPr>
        <w:t>, 4 vols (London: Reeves &amp; Turner, 1883)</w:t>
      </w:r>
      <w:r w:rsidR="00CD001F">
        <w:rPr>
          <w:color w:val="000000" w:themeColor="text1"/>
          <w:sz w:val="20"/>
          <w:szCs w:val="20"/>
        </w:rPr>
        <w:t xml:space="preserve"> I, </w:t>
      </w:r>
      <w:r w:rsidRPr="008F5062">
        <w:rPr>
          <w:color w:val="000000" w:themeColor="text1"/>
          <w:sz w:val="20"/>
          <w:szCs w:val="20"/>
        </w:rPr>
        <w:t>75, n. 1.</w:t>
      </w:r>
    </w:p>
  </w:endnote>
  <w:endnote w:id="20">
    <w:p w14:paraId="0000003E" w14:textId="77777777" w:rsidR="008F5062" w:rsidRPr="008F5062" w:rsidRDefault="008F5062">
      <w:pPr>
        <w:rPr>
          <w:sz w:val="20"/>
          <w:szCs w:val="20"/>
        </w:rPr>
      </w:pPr>
      <w:r w:rsidRPr="008F5062">
        <w:rPr>
          <w:rStyle w:val="EndnoteReference"/>
          <w:color w:val="000000" w:themeColor="text1"/>
          <w:sz w:val="20"/>
          <w:szCs w:val="20"/>
        </w:rPr>
        <w:endnoteRef/>
      </w:r>
      <w:r w:rsidRPr="008F5062">
        <w:rPr>
          <w:color w:val="000000" w:themeColor="text1"/>
          <w:sz w:val="20"/>
          <w:szCs w:val="20"/>
        </w:rPr>
        <w:t xml:space="preserve"> George Gordon, Lord Byron, </w:t>
      </w:r>
      <w:r w:rsidRPr="008F5062">
        <w:rPr>
          <w:i/>
          <w:color w:val="000000" w:themeColor="text1"/>
          <w:sz w:val="20"/>
          <w:szCs w:val="20"/>
        </w:rPr>
        <w:t>The Complete Poetical Works</w:t>
      </w:r>
      <w:r w:rsidRPr="008F5062">
        <w:rPr>
          <w:color w:val="000000" w:themeColor="text1"/>
          <w:sz w:val="20"/>
          <w:szCs w:val="20"/>
        </w:rPr>
        <w:t xml:space="preserve">, ed. Jerome J. McGann, 7 vols (Oxford: Clarendon Press, 1988-93) V, 461; Percy Bysshe Shelley, </w:t>
      </w:r>
      <w:r w:rsidRPr="008F5062">
        <w:rPr>
          <w:i/>
          <w:color w:val="000000" w:themeColor="text1"/>
          <w:sz w:val="20"/>
          <w:szCs w:val="20"/>
        </w:rPr>
        <w:t>The Poems of Shelley</w:t>
      </w:r>
      <w:r w:rsidRPr="008F5062">
        <w:rPr>
          <w:color w:val="000000" w:themeColor="text1"/>
          <w:sz w:val="20"/>
          <w:szCs w:val="20"/>
        </w:rPr>
        <w:t>, ed. Michael Rossington, Jack Donovan, and Kelvin Everest, 4 vols (Harlow: Longman, 1989-2014) III, 103</w:t>
      </w:r>
      <w:r w:rsidRPr="008F5062">
        <w:rPr>
          <w:color w:val="000000"/>
          <w:sz w:val="20"/>
          <w:szCs w:val="20"/>
        </w:rPr>
        <w:t>.</w:t>
      </w:r>
    </w:p>
  </w:endnote>
  <w:endnote w:id="21">
    <w:p w14:paraId="0000003F" w14:textId="77777777" w:rsidR="008F5062" w:rsidRPr="008F5062" w:rsidRDefault="008F5062">
      <w:pPr>
        <w:pBdr>
          <w:top w:val="nil"/>
          <w:left w:val="nil"/>
          <w:bottom w:val="nil"/>
          <w:right w:val="nil"/>
          <w:between w:val="nil"/>
        </w:pBdr>
        <w:rPr>
          <w:color w:val="000000"/>
          <w:sz w:val="20"/>
          <w:szCs w:val="20"/>
        </w:rPr>
      </w:pPr>
      <w:r w:rsidRPr="008F5062">
        <w:rPr>
          <w:rStyle w:val="EndnoteReference"/>
          <w:sz w:val="20"/>
          <w:szCs w:val="20"/>
        </w:rPr>
        <w:endnoteRef/>
      </w:r>
      <w:r w:rsidRPr="008F5062">
        <w:rPr>
          <w:color w:val="000000"/>
          <w:sz w:val="20"/>
          <w:szCs w:val="20"/>
        </w:rPr>
        <w:t xml:space="preserve"> Robert Lloyd, ‘The Cit’s Country-Box’, in </w:t>
      </w:r>
      <w:r w:rsidRPr="008F5062">
        <w:rPr>
          <w:i/>
          <w:color w:val="000000"/>
          <w:sz w:val="20"/>
          <w:szCs w:val="20"/>
        </w:rPr>
        <w:t>Eighteenth-Century Poetry:</w:t>
      </w:r>
      <w:r w:rsidRPr="008F5062">
        <w:rPr>
          <w:i/>
          <w:sz w:val="20"/>
          <w:szCs w:val="20"/>
        </w:rPr>
        <w:t xml:space="preserve"> An Annotated Anthology</w:t>
      </w:r>
      <w:r w:rsidRPr="008F5062">
        <w:rPr>
          <w:sz w:val="20"/>
          <w:szCs w:val="20"/>
        </w:rPr>
        <w:t>, ed. David Fairer and Christine Gerrard (Oxford: Blackwell, 2015), 478-82.</w:t>
      </w:r>
    </w:p>
  </w:endnote>
  <w:endnote w:id="22">
    <w:p w14:paraId="00000040" w14:textId="77777777" w:rsidR="008F5062" w:rsidRPr="008F5062" w:rsidRDefault="008F5062">
      <w:pPr>
        <w:pBdr>
          <w:top w:val="nil"/>
          <w:left w:val="nil"/>
          <w:bottom w:val="nil"/>
          <w:right w:val="nil"/>
          <w:between w:val="nil"/>
        </w:pBdr>
        <w:rPr>
          <w:color w:val="000000"/>
          <w:sz w:val="20"/>
          <w:szCs w:val="20"/>
        </w:rPr>
      </w:pPr>
      <w:r w:rsidRPr="008F5062">
        <w:rPr>
          <w:rStyle w:val="EndnoteReference"/>
          <w:sz w:val="20"/>
          <w:szCs w:val="20"/>
        </w:rPr>
        <w:endnoteRef/>
      </w:r>
      <w:r w:rsidRPr="008F5062">
        <w:rPr>
          <w:color w:val="000000"/>
          <w:sz w:val="20"/>
          <w:szCs w:val="20"/>
        </w:rPr>
        <w:t xml:space="preserve"> Jerry White, </w:t>
      </w:r>
      <w:r w:rsidRPr="008F5062">
        <w:rPr>
          <w:i/>
          <w:color w:val="000000"/>
          <w:sz w:val="20"/>
          <w:szCs w:val="20"/>
        </w:rPr>
        <w:t>London in the Eighteenth Century</w:t>
      </w:r>
      <w:r w:rsidRPr="008F5062">
        <w:rPr>
          <w:color w:val="000000"/>
          <w:sz w:val="20"/>
          <w:szCs w:val="20"/>
        </w:rPr>
        <w:t>, 78-9.</w:t>
      </w:r>
    </w:p>
  </w:endnote>
  <w:endnote w:id="23">
    <w:p w14:paraId="00000041" w14:textId="77777777" w:rsidR="008F5062" w:rsidRPr="008F5062" w:rsidRDefault="008F5062">
      <w:pPr>
        <w:pBdr>
          <w:top w:val="nil"/>
          <w:left w:val="nil"/>
          <w:bottom w:val="nil"/>
          <w:right w:val="nil"/>
          <w:between w:val="nil"/>
        </w:pBdr>
        <w:rPr>
          <w:color w:val="000000"/>
          <w:sz w:val="20"/>
          <w:szCs w:val="20"/>
        </w:rPr>
      </w:pPr>
      <w:r w:rsidRPr="008F5062">
        <w:rPr>
          <w:rStyle w:val="EndnoteReference"/>
          <w:sz w:val="20"/>
          <w:szCs w:val="20"/>
        </w:rPr>
        <w:endnoteRef/>
      </w:r>
      <w:r w:rsidRPr="008F5062">
        <w:rPr>
          <w:color w:val="000000"/>
          <w:sz w:val="20"/>
          <w:szCs w:val="20"/>
        </w:rPr>
        <w:t xml:space="preserve"> Mary Wollstonecraft Shelley, </w:t>
      </w:r>
      <w:r w:rsidRPr="008F5062">
        <w:rPr>
          <w:i/>
          <w:color w:val="000000"/>
          <w:sz w:val="20"/>
          <w:szCs w:val="20"/>
        </w:rPr>
        <w:t>The Letters of Mary Wollstonecraft Shelley</w:t>
      </w:r>
      <w:r w:rsidRPr="008F5062">
        <w:rPr>
          <w:color w:val="000000"/>
          <w:sz w:val="20"/>
          <w:szCs w:val="20"/>
        </w:rPr>
        <w:t>, ed. Betty T. Bennett, 2 vols (Baltimore, MD: The John Hopkins University Press, 1983) II, 286-7.</w:t>
      </w:r>
    </w:p>
  </w:endnote>
  <w:endnote w:id="24">
    <w:p w14:paraId="00000042" w14:textId="77777777" w:rsidR="008F5062" w:rsidRPr="008F5062" w:rsidRDefault="008F5062">
      <w:pPr>
        <w:pBdr>
          <w:top w:val="nil"/>
          <w:left w:val="nil"/>
          <w:bottom w:val="nil"/>
          <w:right w:val="nil"/>
          <w:between w:val="nil"/>
        </w:pBdr>
        <w:rPr>
          <w:color w:val="000000"/>
          <w:sz w:val="20"/>
          <w:szCs w:val="20"/>
        </w:rPr>
      </w:pPr>
      <w:r w:rsidRPr="008F5062">
        <w:rPr>
          <w:rStyle w:val="EndnoteReference"/>
          <w:sz w:val="20"/>
          <w:szCs w:val="20"/>
        </w:rPr>
        <w:endnoteRef/>
      </w:r>
      <w:r w:rsidRPr="008F5062">
        <w:rPr>
          <w:color w:val="000000"/>
          <w:sz w:val="20"/>
          <w:szCs w:val="20"/>
        </w:rPr>
        <w:t xml:space="preserve"> Kenneth Page, ‘Wentworth Place: “A Small Cottage, Pleasantly Situate”’, in </w:t>
      </w:r>
      <w:r w:rsidRPr="008F5062">
        <w:rPr>
          <w:i/>
          <w:color w:val="000000"/>
          <w:sz w:val="20"/>
          <w:szCs w:val="20"/>
        </w:rPr>
        <w:t>Keats’s Places</w:t>
      </w:r>
      <w:r w:rsidRPr="008F5062">
        <w:rPr>
          <w:color w:val="000000"/>
          <w:sz w:val="20"/>
          <w:szCs w:val="20"/>
        </w:rPr>
        <w:t xml:space="preserve">, ed. Richard </w:t>
      </w:r>
      <w:r w:rsidRPr="008F5062">
        <w:rPr>
          <w:color w:val="000000"/>
          <w:sz w:val="20"/>
          <w:szCs w:val="20"/>
        </w:rPr>
        <w:t>Marggraf Turley (London: Plagrave Macmillan, 2018), 246-7, 255.</w:t>
      </w:r>
    </w:p>
  </w:endnote>
  <w:endnote w:id="25">
    <w:p w14:paraId="00000043" w14:textId="77777777" w:rsidR="008F5062" w:rsidRPr="008F5062" w:rsidRDefault="008F5062">
      <w:pPr>
        <w:pBdr>
          <w:top w:val="nil"/>
          <w:left w:val="nil"/>
          <w:bottom w:val="nil"/>
          <w:right w:val="nil"/>
          <w:between w:val="nil"/>
        </w:pBdr>
        <w:rPr>
          <w:color w:val="000000"/>
          <w:sz w:val="20"/>
          <w:szCs w:val="20"/>
        </w:rPr>
      </w:pPr>
      <w:r w:rsidRPr="008F5062">
        <w:rPr>
          <w:rStyle w:val="EndnoteReference"/>
          <w:sz w:val="20"/>
          <w:szCs w:val="20"/>
        </w:rPr>
        <w:endnoteRef/>
      </w:r>
      <w:r w:rsidRPr="008F5062">
        <w:rPr>
          <w:color w:val="000000"/>
          <w:sz w:val="20"/>
          <w:szCs w:val="20"/>
        </w:rPr>
        <w:t xml:space="preserve"> </w:t>
      </w:r>
      <w:r w:rsidRPr="008F5062">
        <w:rPr>
          <w:color w:val="000000"/>
          <w:sz w:val="20"/>
          <w:szCs w:val="20"/>
        </w:rPr>
        <w:t xml:space="preserve">Summerson, </w:t>
      </w:r>
      <w:r w:rsidRPr="008F5062">
        <w:rPr>
          <w:i/>
          <w:color w:val="000000"/>
          <w:sz w:val="20"/>
          <w:szCs w:val="20"/>
        </w:rPr>
        <w:t>Georgian London</w:t>
      </w:r>
      <w:r w:rsidRPr="008F5062">
        <w:rPr>
          <w:color w:val="000000"/>
          <w:sz w:val="20"/>
          <w:szCs w:val="20"/>
        </w:rPr>
        <w:t>, 317-8.</w:t>
      </w:r>
    </w:p>
  </w:endnote>
  <w:endnote w:id="26">
    <w:p w14:paraId="00000044" w14:textId="77777777" w:rsidR="008F5062" w:rsidRPr="008F5062" w:rsidRDefault="008F5062">
      <w:pPr>
        <w:pBdr>
          <w:top w:val="nil"/>
          <w:left w:val="nil"/>
          <w:bottom w:val="nil"/>
          <w:right w:val="nil"/>
          <w:between w:val="nil"/>
        </w:pBdr>
        <w:rPr>
          <w:color w:val="000000"/>
          <w:sz w:val="20"/>
          <w:szCs w:val="20"/>
        </w:rPr>
      </w:pPr>
      <w:r w:rsidRPr="008F5062">
        <w:rPr>
          <w:rStyle w:val="EndnoteReference"/>
          <w:sz w:val="20"/>
          <w:szCs w:val="20"/>
        </w:rPr>
        <w:endnoteRef/>
      </w:r>
      <w:r w:rsidRPr="008F5062">
        <w:rPr>
          <w:color w:val="000000"/>
          <w:sz w:val="20"/>
          <w:szCs w:val="20"/>
        </w:rPr>
        <w:t xml:space="preserve"> Ann </w:t>
      </w:r>
      <w:r w:rsidRPr="008F5062">
        <w:rPr>
          <w:color w:val="000000"/>
          <w:sz w:val="20"/>
          <w:szCs w:val="20"/>
        </w:rPr>
        <w:t xml:space="preserve">Bermingham, </w:t>
      </w:r>
      <w:r w:rsidRPr="008F5062">
        <w:rPr>
          <w:i/>
          <w:color w:val="000000"/>
          <w:sz w:val="20"/>
          <w:szCs w:val="20"/>
        </w:rPr>
        <w:t xml:space="preserve">Landscape and Ideology: The English Rustic Tradition, 1740-1860 </w:t>
      </w:r>
      <w:r w:rsidRPr="008F5062">
        <w:rPr>
          <w:color w:val="000000"/>
          <w:sz w:val="20"/>
          <w:szCs w:val="20"/>
        </w:rPr>
        <w:t xml:space="preserve">(Berkeley: University of California Press, 1986), 168; Gregory Dart, </w:t>
      </w:r>
      <w:r w:rsidRPr="008F5062">
        <w:rPr>
          <w:i/>
          <w:color w:val="000000"/>
          <w:sz w:val="20"/>
          <w:szCs w:val="20"/>
        </w:rPr>
        <w:t>Metropolitan Art and Literature, 1810–1840: Cockney Adventures</w:t>
      </w:r>
      <w:r w:rsidRPr="008F5062">
        <w:rPr>
          <w:color w:val="000000"/>
          <w:sz w:val="20"/>
          <w:szCs w:val="20"/>
        </w:rPr>
        <w:t xml:space="preserve">, (Cambridge: Cambridge University Press, 2012), 12; Elizabeth Jones, ‘Keats in the Suburbs’, </w:t>
      </w:r>
      <w:r w:rsidRPr="008F5062">
        <w:rPr>
          <w:i/>
          <w:color w:val="000000"/>
          <w:sz w:val="20"/>
          <w:szCs w:val="20"/>
        </w:rPr>
        <w:t>Keats-Shelley Journal</w:t>
      </w:r>
      <w:r w:rsidRPr="008F5062">
        <w:rPr>
          <w:color w:val="000000"/>
          <w:sz w:val="20"/>
          <w:szCs w:val="20"/>
        </w:rPr>
        <w:t>, 45 (1996), 43.</w:t>
      </w:r>
    </w:p>
  </w:endnote>
  <w:endnote w:id="27">
    <w:p w14:paraId="00000045" w14:textId="77777777" w:rsidR="008F5062" w:rsidRPr="008F5062" w:rsidRDefault="008F5062">
      <w:pPr>
        <w:pBdr>
          <w:top w:val="nil"/>
          <w:left w:val="nil"/>
          <w:bottom w:val="nil"/>
          <w:right w:val="nil"/>
          <w:between w:val="nil"/>
        </w:pBdr>
        <w:rPr>
          <w:color w:val="000000"/>
          <w:sz w:val="20"/>
          <w:szCs w:val="20"/>
        </w:rPr>
      </w:pPr>
      <w:r w:rsidRPr="008F5062">
        <w:rPr>
          <w:rStyle w:val="EndnoteReference"/>
          <w:sz w:val="20"/>
          <w:szCs w:val="20"/>
        </w:rPr>
        <w:endnoteRef/>
      </w:r>
      <w:r w:rsidRPr="008F5062">
        <w:rPr>
          <w:color w:val="000000"/>
          <w:sz w:val="20"/>
          <w:szCs w:val="20"/>
        </w:rPr>
        <w:t xml:space="preserve"> Dart, </w:t>
      </w:r>
      <w:r w:rsidRPr="008F5062">
        <w:rPr>
          <w:i/>
          <w:color w:val="000000"/>
          <w:sz w:val="20"/>
          <w:szCs w:val="20"/>
        </w:rPr>
        <w:t>Metropolitan Art and Literature</w:t>
      </w:r>
      <w:r w:rsidRPr="008F5062">
        <w:rPr>
          <w:color w:val="000000"/>
          <w:sz w:val="20"/>
          <w:szCs w:val="20"/>
        </w:rPr>
        <w:t>, 8, 28, 31.</w:t>
      </w:r>
    </w:p>
  </w:endnote>
  <w:endnote w:id="28">
    <w:p w14:paraId="00000046" w14:textId="77777777" w:rsidR="008F5062" w:rsidRPr="008F5062" w:rsidRDefault="008F5062">
      <w:pPr>
        <w:pBdr>
          <w:top w:val="nil"/>
          <w:left w:val="nil"/>
          <w:bottom w:val="nil"/>
          <w:right w:val="nil"/>
          <w:between w:val="nil"/>
        </w:pBdr>
        <w:rPr>
          <w:color w:val="000000"/>
          <w:sz w:val="20"/>
          <w:szCs w:val="20"/>
        </w:rPr>
      </w:pPr>
      <w:r w:rsidRPr="008F5062">
        <w:rPr>
          <w:rStyle w:val="EndnoteReference"/>
          <w:sz w:val="20"/>
          <w:szCs w:val="20"/>
        </w:rPr>
        <w:endnoteRef/>
      </w:r>
      <w:r w:rsidRPr="008F5062">
        <w:rPr>
          <w:color w:val="000000"/>
          <w:sz w:val="20"/>
          <w:szCs w:val="20"/>
        </w:rPr>
        <w:t xml:space="preserve"> </w:t>
      </w:r>
      <w:r w:rsidRPr="008F5062">
        <w:rPr>
          <w:color w:val="000000"/>
          <w:sz w:val="20"/>
          <w:szCs w:val="20"/>
        </w:rPr>
        <w:t xml:space="preserve">Summerson, </w:t>
      </w:r>
      <w:r w:rsidRPr="008F5062">
        <w:rPr>
          <w:i/>
          <w:color w:val="000000"/>
          <w:sz w:val="20"/>
          <w:szCs w:val="20"/>
        </w:rPr>
        <w:t>Georgian London,</w:t>
      </w:r>
      <w:r w:rsidRPr="008F5062">
        <w:rPr>
          <w:color w:val="000000"/>
          <w:sz w:val="20"/>
          <w:szCs w:val="20"/>
        </w:rPr>
        <w:t xml:space="preserve"> 317-18.</w:t>
      </w:r>
    </w:p>
  </w:endnote>
  <w:endnote w:id="29">
    <w:p w14:paraId="00000047" w14:textId="77777777" w:rsidR="008F5062" w:rsidRPr="008F5062" w:rsidRDefault="008F5062">
      <w:pPr>
        <w:pBdr>
          <w:top w:val="nil"/>
          <w:left w:val="nil"/>
          <w:bottom w:val="nil"/>
          <w:right w:val="nil"/>
          <w:between w:val="nil"/>
        </w:pBdr>
        <w:rPr>
          <w:color w:val="000000"/>
          <w:sz w:val="20"/>
          <w:szCs w:val="20"/>
        </w:rPr>
      </w:pPr>
      <w:r w:rsidRPr="008F5062">
        <w:rPr>
          <w:rStyle w:val="EndnoteReference"/>
          <w:sz w:val="20"/>
          <w:szCs w:val="20"/>
        </w:rPr>
        <w:endnoteRef/>
      </w:r>
      <w:r w:rsidRPr="008F5062">
        <w:rPr>
          <w:color w:val="000000"/>
          <w:sz w:val="20"/>
          <w:szCs w:val="20"/>
        </w:rPr>
        <w:t xml:space="preserve"> Keats, </w:t>
      </w:r>
      <w:r w:rsidRPr="008F5062">
        <w:rPr>
          <w:i/>
          <w:color w:val="000000"/>
          <w:sz w:val="20"/>
          <w:szCs w:val="20"/>
        </w:rPr>
        <w:t>Letters</w:t>
      </w:r>
      <w:r w:rsidRPr="008F5062">
        <w:rPr>
          <w:color w:val="000000"/>
          <w:sz w:val="20"/>
          <w:szCs w:val="20"/>
        </w:rPr>
        <w:t>, I, 238-9.</w:t>
      </w:r>
    </w:p>
  </w:endnote>
  <w:endnote w:id="30">
    <w:p w14:paraId="00000048" w14:textId="77777777" w:rsidR="008F5062" w:rsidRPr="008F5062" w:rsidRDefault="008F5062">
      <w:pPr>
        <w:pBdr>
          <w:top w:val="nil"/>
          <w:left w:val="nil"/>
          <w:bottom w:val="nil"/>
          <w:right w:val="nil"/>
          <w:between w:val="nil"/>
        </w:pBdr>
        <w:rPr>
          <w:color w:val="000000"/>
          <w:sz w:val="20"/>
          <w:szCs w:val="20"/>
        </w:rPr>
      </w:pPr>
      <w:r w:rsidRPr="008F5062">
        <w:rPr>
          <w:rStyle w:val="EndnoteReference"/>
          <w:sz w:val="20"/>
          <w:szCs w:val="20"/>
        </w:rPr>
        <w:endnoteRef/>
      </w:r>
      <w:r w:rsidRPr="008F5062">
        <w:rPr>
          <w:color w:val="000000"/>
          <w:sz w:val="20"/>
          <w:szCs w:val="20"/>
        </w:rPr>
        <w:t xml:space="preserve"> </w:t>
      </w:r>
      <w:r w:rsidRPr="008F5062">
        <w:rPr>
          <w:color w:val="000000"/>
          <w:sz w:val="20"/>
          <w:szCs w:val="20"/>
        </w:rPr>
        <w:t xml:space="preserve">Lucasta Miller, </w:t>
      </w:r>
      <w:r w:rsidRPr="008F5062">
        <w:rPr>
          <w:i/>
          <w:color w:val="000000"/>
          <w:sz w:val="20"/>
          <w:szCs w:val="20"/>
        </w:rPr>
        <w:t xml:space="preserve">Keats: A Brief Life in Nine Poems and One Epitaph </w:t>
      </w:r>
      <w:r w:rsidRPr="008F5062">
        <w:rPr>
          <w:color w:val="000000"/>
          <w:sz w:val="20"/>
          <w:szCs w:val="20"/>
        </w:rPr>
        <w:t>(London: Jonathan Cape, 2021), 224.</w:t>
      </w:r>
    </w:p>
  </w:endnote>
  <w:endnote w:id="31">
    <w:p w14:paraId="00000049" w14:textId="77777777" w:rsidR="008F5062" w:rsidRPr="008F5062" w:rsidRDefault="008F5062">
      <w:pPr>
        <w:pBdr>
          <w:top w:val="nil"/>
          <w:left w:val="nil"/>
          <w:bottom w:val="nil"/>
          <w:right w:val="nil"/>
          <w:between w:val="nil"/>
        </w:pBdr>
        <w:rPr>
          <w:color w:val="000000"/>
          <w:sz w:val="20"/>
          <w:szCs w:val="20"/>
        </w:rPr>
      </w:pPr>
      <w:r w:rsidRPr="008F5062">
        <w:rPr>
          <w:rStyle w:val="EndnoteReference"/>
          <w:sz w:val="20"/>
          <w:szCs w:val="20"/>
        </w:rPr>
        <w:endnoteRef/>
      </w:r>
      <w:r w:rsidRPr="008F5062">
        <w:rPr>
          <w:color w:val="000000"/>
          <w:sz w:val="20"/>
          <w:szCs w:val="20"/>
        </w:rPr>
        <w:t xml:space="preserve"> Miller, </w:t>
      </w:r>
      <w:r w:rsidRPr="008F5062">
        <w:rPr>
          <w:i/>
          <w:color w:val="000000"/>
          <w:sz w:val="20"/>
          <w:szCs w:val="20"/>
        </w:rPr>
        <w:t xml:space="preserve">Keats, </w:t>
      </w:r>
      <w:r w:rsidRPr="008F5062">
        <w:rPr>
          <w:color w:val="000000"/>
          <w:sz w:val="20"/>
          <w:szCs w:val="20"/>
        </w:rPr>
        <w:t>220, 222.</w:t>
      </w:r>
    </w:p>
  </w:endnote>
  <w:endnote w:id="32">
    <w:p w14:paraId="0000004A" w14:textId="77777777" w:rsidR="008F5062" w:rsidRPr="008F5062" w:rsidRDefault="008F5062">
      <w:pPr>
        <w:pBdr>
          <w:top w:val="nil"/>
          <w:left w:val="nil"/>
          <w:bottom w:val="nil"/>
          <w:right w:val="nil"/>
          <w:between w:val="nil"/>
        </w:pBdr>
        <w:rPr>
          <w:color w:val="000000"/>
          <w:sz w:val="20"/>
          <w:szCs w:val="20"/>
        </w:rPr>
      </w:pPr>
      <w:r w:rsidRPr="008F5062">
        <w:rPr>
          <w:rStyle w:val="EndnoteReference"/>
          <w:sz w:val="20"/>
          <w:szCs w:val="20"/>
        </w:rPr>
        <w:endnoteRef/>
      </w:r>
      <w:r w:rsidRPr="008F5062">
        <w:rPr>
          <w:color w:val="000000"/>
          <w:sz w:val="20"/>
          <w:szCs w:val="20"/>
        </w:rPr>
        <w:t xml:space="preserve"> Z [Lockhart], 521.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7552321"/>
      <w:docPartObj>
        <w:docPartGallery w:val="Page Numbers (Bottom of Page)"/>
        <w:docPartUnique/>
      </w:docPartObj>
    </w:sdtPr>
    <w:sdtContent>
      <w:p w14:paraId="101767D3" w14:textId="5FF23ADC" w:rsidR="008F5062" w:rsidRDefault="008F5062" w:rsidP="009B2A8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349</w:t>
        </w:r>
        <w:r>
          <w:rPr>
            <w:rStyle w:val="PageNumber"/>
          </w:rPr>
          <w:fldChar w:fldCharType="end"/>
        </w:r>
      </w:p>
    </w:sdtContent>
  </w:sdt>
  <w:p w14:paraId="0000004B" w14:textId="79D233BA" w:rsidR="00C77584" w:rsidRDefault="00C77584">
    <w:pPr>
      <w:pBdr>
        <w:top w:val="nil"/>
        <w:left w:val="nil"/>
        <w:bottom w:val="nil"/>
        <w:right w:val="nil"/>
        <w:between w:val="nil"/>
      </w:pBdr>
      <w:tabs>
        <w:tab w:val="center" w:pos="4513"/>
        <w:tab w:val="right" w:pos="9026"/>
      </w:tabs>
      <w:jc w:val="center"/>
      <w:rPr>
        <w:color w:val="000000"/>
      </w:rPr>
    </w:pPr>
  </w:p>
  <w:p w14:paraId="0000004C" w14:textId="77777777" w:rsidR="00C77584" w:rsidRDefault="00C77584">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2924694"/>
      <w:docPartObj>
        <w:docPartGallery w:val="Page Numbers (Bottom of Page)"/>
        <w:docPartUnique/>
      </w:docPartObj>
    </w:sdtPr>
    <w:sdtContent>
      <w:p w14:paraId="7203B6A6" w14:textId="7C10E36C" w:rsidR="008F5062" w:rsidRDefault="008F5062" w:rsidP="009B2A8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336</w:t>
        </w:r>
        <w:r>
          <w:rPr>
            <w:rStyle w:val="PageNumber"/>
          </w:rPr>
          <w:fldChar w:fldCharType="end"/>
        </w:r>
      </w:p>
    </w:sdtContent>
  </w:sdt>
  <w:p w14:paraId="0000004D" w14:textId="0F4C025F" w:rsidR="00C77584" w:rsidRDefault="00C77584">
    <w:pPr>
      <w:pBdr>
        <w:top w:val="nil"/>
        <w:left w:val="nil"/>
        <w:bottom w:val="nil"/>
        <w:right w:val="nil"/>
        <w:between w:val="nil"/>
      </w:pBdr>
      <w:tabs>
        <w:tab w:val="center" w:pos="4513"/>
        <w:tab w:val="right" w:pos="9026"/>
      </w:tabs>
      <w:jc w:val="center"/>
      <w:rPr>
        <w:color w:val="000000"/>
      </w:rPr>
    </w:pPr>
  </w:p>
  <w:p w14:paraId="0000004E" w14:textId="77777777" w:rsidR="00C77584" w:rsidRDefault="00C77584">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4F8AF" w14:textId="77777777" w:rsidR="00A37B76" w:rsidRDefault="00A37B76">
      <w:r>
        <w:separator/>
      </w:r>
    </w:p>
  </w:footnote>
  <w:footnote w:type="continuationSeparator" w:id="0">
    <w:p w14:paraId="56C57A7E" w14:textId="77777777" w:rsidR="00A37B76" w:rsidRDefault="00A37B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84"/>
    <w:rsid w:val="00297771"/>
    <w:rsid w:val="00614317"/>
    <w:rsid w:val="006D7BBA"/>
    <w:rsid w:val="00751EF2"/>
    <w:rsid w:val="007E1E45"/>
    <w:rsid w:val="008F5062"/>
    <w:rsid w:val="00A37B76"/>
    <w:rsid w:val="00C77584"/>
    <w:rsid w:val="00CD001F"/>
    <w:rsid w:val="00E83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C48E67"/>
  <w15:docId w15:val="{954335B4-70E5-0F47-A5B1-725843BD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9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basedOn w:val="DefaultParagraphFont"/>
    <w:uiPriority w:val="99"/>
    <w:unhideWhenUsed/>
    <w:rsid w:val="00632E97"/>
    <w:rPr>
      <w:vertAlign w:val="superscript"/>
    </w:rPr>
  </w:style>
  <w:style w:type="paragraph" w:styleId="BalloonText">
    <w:name w:val="Balloon Text"/>
    <w:basedOn w:val="Normal"/>
    <w:link w:val="BalloonTextChar"/>
    <w:uiPriority w:val="99"/>
    <w:semiHidden/>
    <w:unhideWhenUsed/>
    <w:rsid w:val="00632E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2E97"/>
    <w:rPr>
      <w:rFonts w:ascii="Lucida Grande" w:eastAsia="Times New Roman" w:hAnsi="Lucida Grande" w:cs="Lucida Grande"/>
      <w:sz w:val="18"/>
      <w:szCs w:val="18"/>
      <w:lang w:eastAsia="en-GB"/>
    </w:rPr>
  </w:style>
  <w:style w:type="paragraph" w:styleId="FootnoteText">
    <w:name w:val="footnote text"/>
    <w:basedOn w:val="Normal"/>
    <w:link w:val="FootnoteTextChar"/>
    <w:uiPriority w:val="99"/>
    <w:unhideWhenUsed/>
    <w:rsid w:val="001A768D"/>
  </w:style>
  <w:style w:type="character" w:customStyle="1" w:styleId="FootnoteTextChar">
    <w:name w:val="Footnote Text Char"/>
    <w:basedOn w:val="DefaultParagraphFont"/>
    <w:link w:val="FootnoteText"/>
    <w:uiPriority w:val="99"/>
    <w:rsid w:val="001A768D"/>
    <w:rPr>
      <w:rFonts w:ascii="Times New Roman" w:eastAsia="Times New Roman" w:hAnsi="Times New Roman" w:cs="Times New Roman"/>
      <w:lang w:eastAsia="en-GB"/>
    </w:rPr>
  </w:style>
  <w:style w:type="character" w:customStyle="1" w:styleId="lrzxr">
    <w:name w:val="lrzxr"/>
    <w:basedOn w:val="DefaultParagraphFont"/>
    <w:rsid w:val="00D1073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EndnoteText">
    <w:name w:val="endnote text"/>
    <w:basedOn w:val="Normal"/>
    <w:link w:val="EndnoteTextChar"/>
    <w:uiPriority w:val="99"/>
    <w:semiHidden/>
    <w:unhideWhenUsed/>
    <w:rsid w:val="00123253"/>
    <w:rPr>
      <w:sz w:val="20"/>
      <w:szCs w:val="20"/>
    </w:rPr>
  </w:style>
  <w:style w:type="character" w:customStyle="1" w:styleId="EndnoteTextChar">
    <w:name w:val="Endnote Text Char"/>
    <w:basedOn w:val="DefaultParagraphFont"/>
    <w:link w:val="EndnoteText"/>
    <w:uiPriority w:val="99"/>
    <w:semiHidden/>
    <w:rsid w:val="00123253"/>
    <w:rPr>
      <w:sz w:val="20"/>
      <w:szCs w:val="20"/>
    </w:rPr>
  </w:style>
  <w:style w:type="character" w:styleId="EndnoteReference">
    <w:name w:val="endnote reference"/>
    <w:basedOn w:val="DefaultParagraphFont"/>
    <w:uiPriority w:val="99"/>
    <w:semiHidden/>
    <w:unhideWhenUsed/>
    <w:rsid w:val="00123253"/>
    <w:rPr>
      <w:vertAlign w:val="superscript"/>
    </w:rPr>
  </w:style>
  <w:style w:type="paragraph" w:styleId="Footer">
    <w:name w:val="footer"/>
    <w:basedOn w:val="Normal"/>
    <w:link w:val="FooterChar"/>
    <w:uiPriority w:val="99"/>
    <w:unhideWhenUsed/>
    <w:rsid w:val="009C4433"/>
    <w:pPr>
      <w:tabs>
        <w:tab w:val="center" w:pos="4513"/>
        <w:tab w:val="right" w:pos="9026"/>
      </w:tabs>
    </w:pPr>
  </w:style>
  <w:style w:type="character" w:customStyle="1" w:styleId="FooterChar">
    <w:name w:val="Footer Char"/>
    <w:basedOn w:val="DefaultParagraphFont"/>
    <w:link w:val="Footer"/>
    <w:uiPriority w:val="99"/>
    <w:rsid w:val="009C4433"/>
  </w:style>
  <w:style w:type="character" w:styleId="PageNumber">
    <w:name w:val="page number"/>
    <w:basedOn w:val="DefaultParagraphFont"/>
    <w:uiPriority w:val="99"/>
    <w:semiHidden/>
    <w:unhideWhenUsed/>
    <w:rsid w:val="009C4433"/>
  </w:style>
  <w:style w:type="paragraph" w:styleId="Header">
    <w:name w:val="header"/>
    <w:basedOn w:val="Normal"/>
    <w:link w:val="HeaderChar"/>
    <w:uiPriority w:val="99"/>
    <w:unhideWhenUsed/>
    <w:rsid w:val="009C4433"/>
    <w:pPr>
      <w:tabs>
        <w:tab w:val="center" w:pos="4513"/>
        <w:tab w:val="right" w:pos="9026"/>
      </w:tabs>
    </w:pPr>
  </w:style>
  <w:style w:type="character" w:customStyle="1" w:styleId="HeaderChar">
    <w:name w:val="Header Char"/>
    <w:basedOn w:val="DefaultParagraphFont"/>
    <w:link w:val="Header"/>
    <w:uiPriority w:val="99"/>
    <w:rsid w:val="009C4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JLUSYTrd71u2BkoomsvcpfW1ADw==">AMUW2mXVCPLzrQ3jFrPXfFiuXBdwVuF+W4brEBWEukOHhwtElZ9FbLmeCuT6wwe+hHe9LagBdsG2iwNv2Zw6RbnKIF1NApDuGhoeDWa6GHig3bHx3ChOxbtWlJEO8Wg/jeaY4/dIqTIb9A3ShIrZARsQ/cGFBZqpNgWSTwfX/w5EGDNyQNB7Ygk=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2656</Words>
  <Characters>15142</Characters>
  <Application>Microsoft Office Word</Application>
  <DocSecurity>0</DocSecurity>
  <Lines>126</Lines>
  <Paragraphs>35</Paragraphs>
  <ScaleCrop>false</ScaleCrop>
  <Company/>
  <LinksUpToDate>false</LinksUpToDate>
  <CharactersWithSpaces>17763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dc:creator>
  <cp:lastModifiedBy>Alistair Robinson</cp:lastModifiedBy>
  <cp:revision>6</cp:revision>
  <dcterms:created xsi:type="dcterms:W3CDTF">2022-08-29T12:49:00Z</dcterms:created>
  <dcterms:modified xsi:type="dcterms:W3CDTF">2023-03-31T15:11:00Z</dcterms:modified>
</cp:coreProperties>
</file>